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rPr>
        <w:id w:val="-872385295"/>
        <w:docPartObj>
          <w:docPartGallery w:val="Cover Pages"/>
          <w:docPartUnique/>
        </w:docPartObj>
      </w:sdtPr>
      <w:sdtContent>
        <w:p w14:paraId="26946FD4" w14:textId="77777777" w:rsidR="00C06F03" w:rsidRPr="002508A5" w:rsidRDefault="00C06F03" w:rsidP="00C06F03">
          <w:pPr>
            <w:spacing w:before="240" w:after="240"/>
            <w:rPr>
              <w:rFonts w:asciiTheme="majorHAnsi" w:hAnsiTheme="majorHAnsi" w:cstheme="majorHAnsi"/>
            </w:rPr>
          </w:pPr>
          <w:r w:rsidRPr="002508A5">
            <w:rPr>
              <w:rFonts w:asciiTheme="majorHAnsi" w:hAnsiTheme="majorHAnsi" w:cstheme="majorHAnsi"/>
              <w:noProof/>
            </w:rPr>
            <mc:AlternateContent>
              <mc:Choice Requires="wpg">
                <w:drawing>
                  <wp:anchor distT="0" distB="0" distL="114300" distR="114300" simplePos="0" relativeHeight="251659264" behindDoc="0" locked="0" layoutInCell="1" allowOverlap="1" wp14:anchorId="324A2285" wp14:editId="611B0DC6">
                    <wp:simplePos x="0" y="0"/>
                    <wp:positionH relativeFrom="page">
                      <wp:align>right</wp:align>
                    </wp:positionH>
                    <wp:positionV relativeFrom="page">
                      <wp:align>top</wp:align>
                    </wp:positionV>
                    <wp:extent cx="3113670" cy="10058400"/>
                    <wp:effectExtent l="0" t="0" r="508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chemeClr val="accent5">
                                <a:lumMod val="50000"/>
                              </a:schemeClr>
                            </a:solidFill>
                          </wpg:grpSpPr>
                          <wps:wsp>
                            <wps:cNvPr id="459" name="Rectángulo 459" descr="Light vertical"/>
                            <wps:cNvSpPr>
                              <a:spLocks noChangeArrowheads="1"/>
                            </wps:cNvSpPr>
                            <wps:spPr bwMode="auto">
                              <a:xfrm>
                                <a:off x="0" y="0"/>
                                <a:ext cx="138545" cy="10058400"/>
                              </a:xfrm>
                              <a:prstGeom prst="rect">
                                <a:avLst/>
                              </a:prstGeom>
                              <a:solidFill>
                                <a:schemeClr val="accent5">
                                  <a:lumMod val="60000"/>
                                  <a:lumOff val="4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5">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solidFill>
                                <a:schemeClr val="accent5">
                                  <a:lumMod val="60000"/>
                                  <a:lumOff val="4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mbria" w:hAnsi="Cambria"/>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fullDate="2024-01-01T00:00:00Z">
                                      <w:dateFormat w:val="yyyy"/>
                                      <w:lid w:val="es-ES"/>
                                      <w:storeMappedDataAs w:val="dateTime"/>
                                      <w:calendar w:val="gregorian"/>
                                    </w:date>
                                  </w:sdtPr>
                                  <w:sdtContent>
                                    <w:p w14:paraId="57893909" w14:textId="77777777" w:rsidR="00941411" w:rsidRPr="008C47D8" w:rsidRDefault="00941411" w:rsidP="00C06F03">
                                      <w:pPr>
                                        <w:pStyle w:val="Sinespaciado"/>
                                        <w:rPr>
                                          <w:rFonts w:ascii="Cambria" w:hAnsi="Cambria"/>
                                          <w:color w:val="FFFFFF" w:themeColor="background1"/>
                                          <w:sz w:val="96"/>
                                          <w:szCs w:val="96"/>
                                        </w:rPr>
                                      </w:pPr>
                                      <w:r>
                                        <w:rPr>
                                          <w:rFonts w:ascii="Cambria" w:hAnsi="Cambria"/>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mbria" w:hAnsi="Cambria"/>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1E478D32" w14:textId="6CDB3C0C" w:rsidR="00941411" w:rsidRPr="008C47D8" w:rsidRDefault="00941411" w:rsidP="00C06F03">
                                      <w:pPr>
                                        <w:pStyle w:val="Sinespaciado"/>
                                        <w:spacing w:line="360" w:lineRule="auto"/>
                                        <w:rPr>
                                          <w:rFonts w:ascii="Cambria" w:hAnsi="Cambria"/>
                                          <w:color w:val="FFFFFF" w:themeColor="background1"/>
                                        </w:rPr>
                                      </w:pPr>
                                      <w:r>
                                        <w:rPr>
                                          <w:rFonts w:ascii="Cambria" w:hAnsi="Cambria"/>
                                          <w:color w:val="FFFFFF" w:themeColor="background1"/>
                                        </w:rPr>
                                        <w:t>Ministerio de Energía y Minas</w:t>
                                      </w:r>
                                    </w:p>
                                  </w:sdtContent>
                                </w:sdt>
                                <w:sdt>
                                  <w:sdtPr>
                                    <w:rPr>
                                      <w:rFonts w:ascii="Cambria" w:hAnsi="Cambria"/>
                                      <w:color w:val="FFFFFF" w:themeColor="background1"/>
                                    </w:rPr>
                                    <w:alias w:val="Compañía"/>
                                    <w:id w:val="1760174317"/>
                                    <w:showingPlcHdr/>
                                    <w:dataBinding w:prefixMappings="xmlns:ns0='http://schemas.openxmlformats.org/officeDocument/2006/extended-properties'" w:xpath="/ns0:Properties[1]/ns0:Company[1]" w:storeItemID="{6668398D-A668-4E3E-A5EB-62B293D839F1}"/>
                                    <w:text/>
                                  </w:sdtPr>
                                  <w:sdtContent>
                                    <w:p w14:paraId="3A007EF2" w14:textId="77777777" w:rsidR="00941411" w:rsidRPr="008C47D8" w:rsidRDefault="00941411" w:rsidP="00C06F03">
                                      <w:pPr>
                                        <w:pStyle w:val="Sinespaciado"/>
                                        <w:spacing w:line="360" w:lineRule="auto"/>
                                        <w:rPr>
                                          <w:rFonts w:ascii="Cambria" w:hAnsi="Cambria"/>
                                          <w:color w:val="FFFFFF" w:themeColor="background1"/>
                                        </w:rPr>
                                      </w:pPr>
                                      <w:r>
                                        <w:rPr>
                                          <w:rFonts w:ascii="Cambria" w:hAnsi="Cambria"/>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24A2285" id="Grupo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" fillcolor="#9cc2e5 [1944]" stroked="f" strokecolor="white" strokeweight="1pt">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" fillcolor="#9cc2e5 [1944]"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" fillcolor="#9cc2e5 [1944]" stroked="f" strokecolor="white" strokeweight="1pt">
                      <v:shadow color="#d8d8d8" offset="3pt,3pt"/>
                      <v:textbox inset="28.8pt,14.4pt,14.4pt,14.4pt">
                        <w:txbxContent>
                          <w:sdt>
                            <w:sdtPr>
                              <w:rPr>
                                <w:rFonts w:ascii="Cambria" w:hAnsi="Cambria"/>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fullDate="2024-01-01T00:00:00Z">
                                <w:dateFormat w:val="yyyy"/>
                                <w:lid w:val="es-ES"/>
                                <w:storeMappedDataAs w:val="dateTime"/>
                                <w:calendar w:val="gregorian"/>
                              </w:date>
                            </w:sdtPr>
                            <w:sdtContent>
                              <w:p w14:paraId="57893909" w14:textId="77777777" w:rsidR="00941411" w:rsidRPr="008C47D8" w:rsidRDefault="00941411" w:rsidP="00C06F03">
                                <w:pPr>
                                  <w:pStyle w:val="Sinespaciado"/>
                                  <w:rPr>
                                    <w:rFonts w:ascii="Cambria" w:hAnsi="Cambria"/>
                                    <w:color w:val="FFFFFF" w:themeColor="background1"/>
                                    <w:sz w:val="96"/>
                                    <w:szCs w:val="96"/>
                                  </w:rPr>
                                </w:pPr>
                                <w:r>
                                  <w:rPr>
                                    <w:rFonts w:ascii="Cambria" w:hAnsi="Cambria"/>
                                    <w:color w:val="FFFFFF" w:themeColor="background1"/>
                                    <w:sz w:val="96"/>
                                    <w:szCs w:val="96"/>
                                  </w:rPr>
                                  <w:t xml:space="preserve">     </w:t>
                                </w:r>
                              </w:p>
                            </w:sdtContent>
                          </w:sdt>
                        </w:txbxContent>
                      </v:textbox>
                    </v:rect>
                    <v:rect id="Rectángul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rPr>
                                <w:rFonts w:ascii="Cambria" w:hAnsi="Cambria"/>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1E478D32" w14:textId="6CDB3C0C" w:rsidR="00941411" w:rsidRPr="008C47D8" w:rsidRDefault="00941411" w:rsidP="00C06F03">
                                <w:pPr>
                                  <w:pStyle w:val="Sinespaciado"/>
                                  <w:spacing w:line="360" w:lineRule="auto"/>
                                  <w:rPr>
                                    <w:rFonts w:ascii="Cambria" w:hAnsi="Cambria"/>
                                    <w:color w:val="FFFFFF" w:themeColor="background1"/>
                                  </w:rPr>
                                </w:pPr>
                                <w:r>
                                  <w:rPr>
                                    <w:rFonts w:ascii="Cambria" w:hAnsi="Cambria"/>
                                    <w:color w:val="FFFFFF" w:themeColor="background1"/>
                                  </w:rPr>
                                  <w:t>Ministerio de Energía y Minas</w:t>
                                </w:r>
                              </w:p>
                            </w:sdtContent>
                          </w:sdt>
                          <w:sdt>
                            <w:sdtPr>
                              <w:rPr>
                                <w:rFonts w:ascii="Cambria" w:hAnsi="Cambria"/>
                                <w:color w:val="FFFFFF" w:themeColor="background1"/>
                              </w:rPr>
                              <w:alias w:val="Compañía"/>
                              <w:id w:val="1760174317"/>
                              <w:showingPlcHdr/>
                              <w:dataBinding w:prefixMappings="xmlns:ns0='http://schemas.openxmlformats.org/officeDocument/2006/extended-properties'" w:xpath="/ns0:Properties[1]/ns0:Company[1]" w:storeItemID="{6668398D-A668-4E3E-A5EB-62B293D839F1}"/>
                              <w:text/>
                            </w:sdtPr>
                            <w:sdtContent>
                              <w:p w14:paraId="3A007EF2" w14:textId="77777777" w:rsidR="00941411" w:rsidRPr="008C47D8" w:rsidRDefault="00941411" w:rsidP="00C06F03">
                                <w:pPr>
                                  <w:pStyle w:val="Sinespaciado"/>
                                  <w:spacing w:line="360" w:lineRule="auto"/>
                                  <w:rPr>
                                    <w:rFonts w:ascii="Cambria" w:hAnsi="Cambria"/>
                                    <w:color w:val="FFFFFF" w:themeColor="background1"/>
                                  </w:rPr>
                                </w:pPr>
                                <w:r>
                                  <w:rPr>
                                    <w:rFonts w:ascii="Cambria" w:hAnsi="Cambria"/>
                                    <w:color w:val="FFFFFF" w:themeColor="background1"/>
                                  </w:rPr>
                                  <w:t xml:space="preserve">     </w:t>
                                </w:r>
                              </w:p>
                            </w:sdtContent>
                          </w:sdt>
                        </w:txbxContent>
                      </v:textbox>
                    </v:rect>
                    <w10:wrap anchorx="page" anchory="page"/>
                  </v:group>
                </w:pict>
              </mc:Fallback>
            </mc:AlternateContent>
          </w:r>
          <w:r w:rsidRPr="002508A5">
            <w:rPr>
              <w:rFonts w:asciiTheme="majorHAnsi" w:hAnsiTheme="majorHAnsi" w:cstheme="majorHAnsi"/>
              <w:noProof/>
            </w:rPr>
            <mc:AlternateContent>
              <mc:Choice Requires="wps">
                <w:drawing>
                  <wp:anchor distT="0" distB="0" distL="114300" distR="114300" simplePos="0" relativeHeight="251660288" behindDoc="0" locked="0" layoutInCell="0" allowOverlap="1" wp14:anchorId="65EC4D61" wp14:editId="3561640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7145"/>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noFill/>
                            <a:ln w="19050">
                              <a:solidFill>
                                <a:schemeClr val="tx1"/>
                              </a:solidFill>
                              <a:miter lim="800000"/>
                              <a:headEnd/>
                              <a:tailEnd/>
                            </a:ln>
                          </wps:spPr>
                          <wps:txbx>
                            <w:txbxContent>
                              <w:p w14:paraId="2FC97403" w14:textId="496ADF01" w:rsidR="00941411" w:rsidRPr="005F05EE" w:rsidRDefault="00941411" w:rsidP="005F05EE">
                                <w:pPr>
                                  <w:pStyle w:val="Sinespaciado"/>
                                  <w:rPr>
                                    <w:rFonts w:ascii="Cambria" w:hAnsi="Cambria"/>
                                    <w:color w:val="002060"/>
                                    <w:sz w:val="56"/>
                                    <w:szCs w:val="56"/>
                                  </w:rPr>
                                </w:pPr>
                                <w:r w:rsidRPr="005F05EE">
                                  <w:rPr>
                                    <w:rFonts w:ascii="Cambria" w:hAnsi="Cambria"/>
                                    <w:color w:val="002060"/>
                                    <w:sz w:val="56"/>
                                    <w:szCs w:val="56"/>
                                  </w:rPr>
                                  <w:t>Rendición de Cuentas</w:t>
                                </w:r>
                                <w:r>
                                  <w:rPr>
                                    <w:rFonts w:ascii="Cambria" w:hAnsi="Cambria"/>
                                    <w:color w:val="002060"/>
                                    <w:sz w:val="56"/>
                                    <w:szCs w:val="56"/>
                                  </w:rPr>
                                  <w:t xml:space="preserve"> Ministerio de Energía y Minas </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5EC4D61" id="Rectángulo 16" o:spid="_x0000_s1031" style="position:absolute;margin-left:0;margin-top:0;width:548.85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" o:allowincell="f" filled="f" strokecolor="black [3213]" strokeweight="1.5pt">
                    <v:textbox style="mso-fit-shape-to-text:t" inset="14.4pt,,14.4pt">
                      <w:txbxContent>
                        <w:p w14:paraId="2FC97403" w14:textId="496ADF01" w:rsidR="00941411" w:rsidRPr="005F05EE" w:rsidRDefault="00941411" w:rsidP="005F05EE">
                          <w:pPr>
                            <w:pStyle w:val="Sinespaciado"/>
                            <w:rPr>
                              <w:rFonts w:ascii="Cambria" w:hAnsi="Cambria"/>
                              <w:color w:val="002060"/>
                              <w:sz w:val="56"/>
                              <w:szCs w:val="56"/>
                            </w:rPr>
                          </w:pPr>
                          <w:r w:rsidRPr="005F05EE">
                            <w:rPr>
                              <w:rFonts w:ascii="Cambria" w:hAnsi="Cambria"/>
                              <w:color w:val="002060"/>
                              <w:sz w:val="56"/>
                              <w:szCs w:val="56"/>
                            </w:rPr>
                            <w:t>Rendición de Cuentas</w:t>
                          </w:r>
                          <w:r>
                            <w:rPr>
                              <w:rFonts w:ascii="Cambria" w:hAnsi="Cambria"/>
                              <w:color w:val="002060"/>
                              <w:sz w:val="56"/>
                              <w:szCs w:val="56"/>
                            </w:rPr>
                            <w:t xml:space="preserve"> Ministerio de Energía y Minas </w:t>
                          </w:r>
                        </w:p>
                      </w:txbxContent>
                    </v:textbox>
                    <w10:wrap anchorx="page" anchory="page"/>
                  </v:rect>
                </w:pict>
              </mc:Fallback>
            </mc:AlternateContent>
          </w:r>
        </w:p>
        <w:p w14:paraId="2792CE1E" w14:textId="77777777" w:rsidR="00C06F03" w:rsidRPr="002508A5" w:rsidRDefault="00C06F03" w:rsidP="00C06F03">
          <w:pPr>
            <w:spacing w:before="240" w:after="240"/>
            <w:rPr>
              <w:rFonts w:asciiTheme="majorHAnsi" w:hAnsiTheme="majorHAnsi" w:cstheme="majorHAnsi"/>
            </w:rPr>
          </w:pPr>
          <w:r w:rsidRPr="002508A5">
            <w:rPr>
              <w:rFonts w:asciiTheme="majorHAnsi" w:hAnsiTheme="majorHAnsi" w:cstheme="majorHAnsi"/>
            </w:rPr>
            <w:br w:type="page"/>
          </w:r>
        </w:p>
      </w:sdtContent>
    </w:sdt>
    <w:sdt>
      <w:sdtPr>
        <w:rPr>
          <w:rFonts w:eastAsiaTheme="minorHAnsi" w:cstheme="majorHAnsi"/>
          <w:color w:val="auto"/>
          <w:sz w:val="22"/>
          <w:szCs w:val="22"/>
          <w:lang w:val="es-ES" w:eastAsia="en-US"/>
        </w:rPr>
        <w:id w:val="-770011453"/>
        <w:docPartObj>
          <w:docPartGallery w:val="Table of Contents"/>
          <w:docPartUnique/>
        </w:docPartObj>
      </w:sdtPr>
      <w:sdtEndPr>
        <w:rPr>
          <w:b/>
          <w:bCs/>
        </w:rPr>
      </w:sdtEndPr>
      <w:sdtContent>
        <w:p w14:paraId="5F4E9C28" w14:textId="2D8322EA" w:rsidR="00C06F03" w:rsidRPr="00190089" w:rsidRDefault="00C06F03" w:rsidP="003B0F6F">
          <w:pPr>
            <w:pStyle w:val="TtuloTDC"/>
            <w:rPr>
              <w:rFonts w:cstheme="majorHAnsi"/>
              <w:sz w:val="26"/>
              <w:szCs w:val="26"/>
            </w:rPr>
          </w:pPr>
          <w:r w:rsidRPr="00190089">
            <w:rPr>
              <w:rFonts w:cstheme="majorHAnsi"/>
              <w:sz w:val="26"/>
              <w:szCs w:val="26"/>
              <w:lang w:val="es-ES"/>
            </w:rPr>
            <w:t>Contenido</w:t>
          </w:r>
        </w:p>
        <w:p w14:paraId="3E7E4296" w14:textId="1B2F4340" w:rsidR="00190089" w:rsidRDefault="00C06F03">
          <w:pPr>
            <w:pStyle w:val="TDC2"/>
            <w:rPr>
              <w:rFonts w:asciiTheme="minorHAnsi" w:eastAsiaTheme="minorEastAsia" w:hAnsiTheme="minorHAnsi" w:cstheme="minorBidi"/>
              <w:b w:val="0"/>
              <w:lang w:val="es-EC"/>
            </w:rPr>
          </w:pPr>
          <w:r w:rsidRPr="00190089">
            <w:rPr>
              <w:rFonts w:asciiTheme="majorHAnsi" w:hAnsiTheme="majorHAnsi" w:cstheme="majorHAnsi"/>
            </w:rPr>
            <w:fldChar w:fldCharType="begin"/>
          </w:r>
          <w:r w:rsidRPr="00190089">
            <w:rPr>
              <w:rFonts w:asciiTheme="majorHAnsi" w:hAnsiTheme="majorHAnsi" w:cstheme="majorHAnsi"/>
            </w:rPr>
            <w:instrText xml:space="preserve"> TOC \o "1-3" \h \z \u </w:instrText>
          </w:r>
          <w:r w:rsidRPr="00190089">
            <w:rPr>
              <w:rFonts w:asciiTheme="majorHAnsi" w:hAnsiTheme="majorHAnsi" w:cstheme="majorHAnsi"/>
            </w:rPr>
            <w:fldChar w:fldCharType="separate"/>
          </w:r>
          <w:hyperlink w:anchor="_Toc199759535" w:history="1">
            <w:r w:rsidR="00190089" w:rsidRPr="00386283">
              <w:rPr>
                <w:rStyle w:val="Hipervnculo"/>
              </w:rPr>
              <w:t>Índice de Tablas</w:t>
            </w:r>
            <w:r w:rsidR="00190089">
              <w:rPr>
                <w:webHidden/>
              </w:rPr>
              <w:tab/>
            </w:r>
            <w:r w:rsidR="00190089">
              <w:rPr>
                <w:webHidden/>
              </w:rPr>
              <w:fldChar w:fldCharType="begin"/>
            </w:r>
            <w:r w:rsidR="00190089">
              <w:rPr>
                <w:webHidden/>
              </w:rPr>
              <w:instrText xml:space="preserve"> PAGEREF _Toc199759535 \h </w:instrText>
            </w:r>
            <w:r w:rsidR="00190089">
              <w:rPr>
                <w:webHidden/>
              </w:rPr>
            </w:r>
            <w:r w:rsidR="00190089">
              <w:rPr>
                <w:webHidden/>
              </w:rPr>
              <w:fldChar w:fldCharType="separate"/>
            </w:r>
            <w:r w:rsidR="00190089">
              <w:rPr>
                <w:webHidden/>
              </w:rPr>
              <w:t>2</w:t>
            </w:r>
            <w:r w:rsidR="00190089">
              <w:rPr>
                <w:webHidden/>
              </w:rPr>
              <w:fldChar w:fldCharType="end"/>
            </w:r>
          </w:hyperlink>
        </w:p>
        <w:p w14:paraId="0CCD578D" w14:textId="166FB5AA" w:rsidR="00190089" w:rsidRDefault="00190089">
          <w:pPr>
            <w:pStyle w:val="TDC2"/>
            <w:rPr>
              <w:rFonts w:asciiTheme="minorHAnsi" w:eastAsiaTheme="minorEastAsia" w:hAnsiTheme="minorHAnsi" w:cstheme="minorBidi"/>
              <w:b w:val="0"/>
              <w:lang w:val="es-EC"/>
            </w:rPr>
          </w:pPr>
          <w:hyperlink w:anchor="_Toc199759536" w:history="1">
            <w:r w:rsidRPr="00386283">
              <w:rPr>
                <w:rStyle w:val="Hipervnculo"/>
              </w:rPr>
              <w:t>Índice de figuras</w:t>
            </w:r>
            <w:r>
              <w:rPr>
                <w:webHidden/>
              </w:rPr>
              <w:tab/>
            </w:r>
            <w:r>
              <w:rPr>
                <w:webHidden/>
              </w:rPr>
              <w:fldChar w:fldCharType="begin"/>
            </w:r>
            <w:r>
              <w:rPr>
                <w:webHidden/>
              </w:rPr>
              <w:instrText xml:space="preserve"> PAGEREF _Toc199759536 \h </w:instrText>
            </w:r>
            <w:r>
              <w:rPr>
                <w:webHidden/>
              </w:rPr>
            </w:r>
            <w:r>
              <w:rPr>
                <w:webHidden/>
              </w:rPr>
              <w:fldChar w:fldCharType="separate"/>
            </w:r>
            <w:r>
              <w:rPr>
                <w:webHidden/>
              </w:rPr>
              <w:t>3</w:t>
            </w:r>
            <w:r>
              <w:rPr>
                <w:webHidden/>
              </w:rPr>
              <w:fldChar w:fldCharType="end"/>
            </w:r>
          </w:hyperlink>
        </w:p>
        <w:p w14:paraId="3CA474A5" w14:textId="22D15B86" w:rsidR="00190089" w:rsidRDefault="00190089">
          <w:pPr>
            <w:pStyle w:val="TDC2"/>
            <w:rPr>
              <w:rFonts w:asciiTheme="minorHAnsi" w:eastAsiaTheme="minorEastAsia" w:hAnsiTheme="minorHAnsi" w:cstheme="minorBidi"/>
              <w:b w:val="0"/>
              <w:lang w:val="es-EC"/>
            </w:rPr>
          </w:pPr>
          <w:hyperlink w:anchor="_Toc199759537" w:history="1">
            <w:r w:rsidRPr="00386283">
              <w:rPr>
                <w:rStyle w:val="Hipervnculo"/>
              </w:rPr>
              <w:t>Índice de ilustraciones</w:t>
            </w:r>
            <w:r>
              <w:rPr>
                <w:webHidden/>
              </w:rPr>
              <w:tab/>
            </w:r>
            <w:r>
              <w:rPr>
                <w:webHidden/>
              </w:rPr>
              <w:fldChar w:fldCharType="begin"/>
            </w:r>
            <w:r>
              <w:rPr>
                <w:webHidden/>
              </w:rPr>
              <w:instrText xml:space="preserve"> PAGEREF _Toc199759537 \h </w:instrText>
            </w:r>
            <w:r>
              <w:rPr>
                <w:webHidden/>
              </w:rPr>
            </w:r>
            <w:r>
              <w:rPr>
                <w:webHidden/>
              </w:rPr>
              <w:fldChar w:fldCharType="separate"/>
            </w:r>
            <w:r>
              <w:rPr>
                <w:webHidden/>
              </w:rPr>
              <w:t>3</w:t>
            </w:r>
            <w:r>
              <w:rPr>
                <w:webHidden/>
              </w:rPr>
              <w:fldChar w:fldCharType="end"/>
            </w:r>
          </w:hyperlink>
        </w:p>
        <w:p w14:paraId="0C1BAF2B" w14:textId="0134CA8B" w:rsidR="00190089" w:rsidRDefault="00190089">
          <w:pPr>
            <w:pStyle w:val="TDC2"/>
            <w:rPr>
              <w:rFonts w:asciiTheme="minorHAnsi" w:eastAsiaTheme="minorEastAsia" w:hAnsiTheme="minorHAnsi" w:cstheme="minorBidi"/>
              <w:b w:val="0"/>
              <w:lang w:val="es-EC"/>
            </w:rPr>
          </w:pPr>
          <w:hyperlink w:anchor="_Toc199759538" w:history="1">
            <w:r w:rsidRPr="00386283">
              <w:rPr>
                <w:rStyle w:val="Hipervnculo"/>
              </w:rPr>
              <w:t>Índice de Acrónimos</w:t>
            </w:r>
            <w:r>
              <w:rPr>
                <w:webHidden/>
              </w:rPr>
              <w:tab/>
            </w:r>
            <w:r>
              <w:rPr>
                <w:webHidden/>
              </w:rPr>
              <w:fldChar w:fldCharType="begin"/>
            </w:r>
            <w:r>
              <w:rPr>
                <w:webHidden/>
              </w:rPr>
              <w:instrText xml:space="preserve"> PAGEREF _Toc199759538 \h </w:instrText>
            </w:r>
            <w:r>
              <w:rPr>
                <w:webHidden/>
              </w:rPr>
            </w:r>
            <w:r>
              <w:rPr>
                <w:webHidden/>
              </w:rPr>
              <w:fldChar w:fldCharType="separate"/>
            </w:r>
            <w:r>
              <w:rPr>
                <w:webHidden/>
              </w:rPr>
              <w:t>4</w:t>
            </w:r>
            <w:r>
              <w:rPr>
                <w:webHidden/>
              </w:rPr>
              <w:fldChar w:fldCharType="end"/>
            </w:r>
          </w:hyperlink>
        </w:p>
        <w:p w14:paraId="1D1BB434" w14:textId="33576A0A" w:rsidR="00190089" w:rsidRDefault="00190089">
          <w:pPr>
            <w:pStyle w:val="TDC2"/>
            <w:rPr>
              <w:rFonts w:asciiTheme="minorHAnsi" w:eastAsiaTheme="minorEastAsia" w:hAnsiTheme="minorHAnsi" w:cstheme="minorBidi"/>
              <w:b w:val="0"/>
              <w:lang w:val="es-EC"/>
            </w:rPr>
          </w:pPr>
          <w:hyperlink w:anchor="_Toc199759539" w:history="1">
            <w:r w:rsidRPr="00386283">
              <w:rPr>
                <w:rStyle w:val="Hipervnculo"/>
              </w:rPr>
              <w:t>Introducción</w:t>
            </w:r>
            <w:r>
              <w:rPr>
                <w:webHidden/>
              </w:rPr>
              <w:tab/>
            </w:r>
            <w:r>
              <w:rPr>
                <w:webHidden/>
              </w:rPr>
              <w:fldChar w:fldCharType="begin"/>
            </w:r>
            <w:r>
              <w:rPr>
                <w:webHidden/>
              </w:rPr>
              <w:instrText xml:space="preserve"> PAGEREF _Toc199759539 \h </w:instrText>
            </w:r>
            <w:r>
              <w:rPr>
                <w:webHidden/>
              </w:rPr>
            </w:r>
            <w:r>
              <w:rPr>
                <w:webHidden/>
              </w:rPr>
              <w:fldChar w:fldCharType="separate"/>
            </w:r>
            <w:r>
              <w:rPr>
                <w:webHidden/>
              </w:rPr>
              <w:t>6</w:t>
            </w:r>
            <w:r>
              <w:rPr>
                <w:webHidden/>
              </w:rPr>
              <w:fldChar w:fldCharType="end"/>
            </w:r>
          </w:hyperlink>
        </w:p>
        <w:p w14:paraId="4ADCEF7A" w14:textId="6D6AF185" w:rsidR="00190089" w:rsidRDefault="00190089">
          <w:pPr>
            <w:pStyle w:val="TDC2"/>
            <w:rPr>
              <w:rFonts w:asciiTheme="minorHAnsi" w:eastAsiaTheme="minorEastAsia" w:hAnsiTheme="minorHAnsi" w:cstheme="minorBidi"/>
              <w:b w:val="0"/>
              <w:lang w:val="es-EC"/>
            </w:rPr>
          </w:pPr>
          <w:hyperlink w:anchor="_Toc199759540" w:history="1">
            <w:r w:rsidRPr="00386283">
              <w:rPr>
                <w:rStyle w:val="Hipervnculo"/>
                <w:rFonts w:cstheme="majorHAnsi"/>
              </w:rPr>
              <w:t>Misión</w:t>
            </w:r>
            <w:r>
              <w:rPr>
                <w:webHidden/>
              </w:rPr>
              <w:tab/>
            </w:r>
            <w:r>
              <w:rPr>
                <w:webHidden/>
              </w:rPr>
              <w:fldChar w:fldCharType="begin"/>
            </w:r>
            <w:r>
              <w:rPr>
                <w:webHidden/>
              </w:rPr>
              <w:instrText xml:space="preserve"> PAGEREF _Toc199759540 \h </w:instrText>
            </w:r>
            <w:r>
              <w:rPr>
                <w:webHidden/>
              </w:rPr>
            </w:r>
            <w:r>
              <w:rPr>
                <w:webHidden/>
              </w:rPr>
              <w:fldChar w:fldCharType="separate"/>
            </w:r>
            <w:r>
              <w:rPr>
                <w:webHidden/>
              </w:rPr>
              <w:t>6</w:t>
            </w:r>
            <w:r>
              <w:rPr>
                <w:webHidden/>
              </w:rPr>
              <w:fldChar w:fldCharType="end"/>
            </w:r>
          </w:hyperlink>
        </w:p>
        <w:p w14:paraId="18DC0B31" w14:textId="6EE58450" w:rsidR="00190089" w:rsidRDefault="00190089">
          <w:pPr>
            <w:pStyle w:val="TDC2"/>
            <w:rPr>
              <w:rFonts w:asciiTheme="minorHAnsi" w:eastAsiaTheme="minorEastAsia" w:hAnsiTheme="minorHAnsi" w:cstheme="minorBidi"/>
              <w:b w:val="0"/>
              <w:lang w:val="es-EC"/>
            </w:rPr>
          </w:pPr>
          <w:hyperlink w:anchor="_Toc199759541" w:history="1">
            <w:r w:rsidRPr="00386283">
              <w:rPr>
                <w:rStyle w:val="Hipervnculo"/>
                <w:rFonts w:cstheme="majorHAnsi"/>
              </w:rPr>
              <w:t>Visión</w:t>
            </w:r>
            <w:r>
              <w:rPr>
                <w:webHidden/>
              </w:rPr>
              <w:tab/>
            </w:r>
            <w:r>
              <w:rPr>
                <w:webHidden/>
              </w:rPr>
              <w:fldChar w:fldCharType="begin"/>
            </w:r>
            <w:r>
              <w:rPr>
                <w:webHidden/>
              </w:rPr>
              <w:instrText xml:space="preserve"> PAGEREF _Toc199759541 \h </w:instrText>
            </w:r>
            <w:r>
              <w:rPr>
                <w:webHidden/>
              </w:rPr>
            </w:r>
            <w:r>
              <w:rPr>
                <w:webHidden/>
              </w:rPr>
              <w:fldChar w:fldCharType="separate"/>
            </w:r>
            <w:r>
              <w:rPr>
                <w:webHidden/>
              </w:rPr>
              <w:t>6</w:t>
            </w:r>
            <w:r>
              <w:rPr>
                <w:webHidden/>
              </w:rPr>
              <w:fldChar w:fldCharType="end"/>
            </w:r>
          </w:hyperlink>
        </w:p>
        <w:p w14:paraId="4CA6118B" w14:textId="597A12B7" w:rsidR="00190089" w:rsidRDefault="00190089">
          <w:pPr>
            <w:pStyle w:val="TDC2"/>
            <w:rPr>
              <w:rFonts w:asciiTheme="minorHAnsi" w:eastAsiaTheme="minorEastAsia" w:hAnsiTheme="minorHAnsi" w:cstheme="minorBidi"/>
              <w:b w:val="0"/>
              <w:lang w:val="es-EC"/>
            </w:rPr>
          </w:pPr>
          <w:hyperlink w:anchor="_Toc199759542" w:history="1">
            <w:r w:rsidRPr="00386283">
              <w:rPr>
                <w:rStyle w:val="Hipervnculo"/>
                <w:rFonts w:cstheme="majorHAnsi"/>
              </w:rPr>
              <w:t>Valores</w:t>
            </w:r>
            <w:r>
              <w:rPr>
                <w:webHidden/>
              </w:rPr>
              <w:tab/>
            </w:r>
            <w:r>
              <w:rPr>
                <w:webHidden/>
              </w:rPr>
              <w:fldChar w:fldCharType="begin"/>
            </w:r>
            <w:r>
              <w:rPr>
                <w:webHidden/>
              </w:rPr>
              <w:instrText xml:space="preserve"> PAGEREF _Toc199759542 \h </w:instrText>
            </w:r>
            <w:r>
              <w:rPr>
                <w:webHidden/>
              </w:rPr>
            </w:r>
            <w:r>
              <w:rPr>
                <w:webHidden/>
              </w:rPr>
              <w:fldChar w:fldCharType="separate"/>
            </w:r>
            <w:r>
              <w:rPr>
                <w:webHidden/>
              </w:rPr>
              <w:t>6</w:t>
            </w:r>
            <w:r>
              <w:rPr>
                <w:webHidden/>
              </w:rPr>
              <w:fldChar w:fldCharType="end"/>
            </w:r>
          </w:hyperlink>
        </w:p>
        <w:p w14:paraId="19FBEAEC" w14:textId="568E8148" w:rsidR="00190089" w:rsidRDefault="00190089">
          <w:pPr>
            <w:pStyle w:val="TDC1"/>
            <w:tabs>
              <w:tab w:val="right" w:leader="dot" w:pos="8494"/>
            </w:tabs>
            <w:rPr>
              <w:rFonts w:eastAsiaTheme="minorEastAsia"/>
              <w:noProof/>
              <w:sz w:val="22"/>
              <w:szCs w:val="22"/>
              <w:lang w:eastAsia="es-EC"/>
            </w:rPr>
          </w:pPr>
          <w:hyperlink w:anchor="_Toc199759543" w:history="1">
            <w:r w:rsidRPr="00386283">
              <w:rPr>
                <w:rStyle w:val="Hipervnculo"/>
                <w:noProof/>
              </w:rPr>
              <w:t>Contexto Estratégico del Sector Energético y Minero del Ecuador</w:t>
            </w:r>
            <w:r>
              <w:rPr>
                <w:noProof/>
                <w:webHidden/>
              </w:rPr>
              <w:tab/>
            </w:r>
            <w:r>
              <w:rPr>
                <w:noProof/>
                <w:webHidden/>
              </w:rPr>
              <w:fldChar w:fldCharType="begin"/>
            </w:r>
            <w:r>
              <w:rPr>
                <w:noProof/>
                <w:webHidden/>
              </w:rPr>
              <w:instrText xml:space="preserve"> PAGEREF _Toc199759543 \h </w:instrText>
            </w:r>
            <w:r>
              <w:rPr>
                <w:noProof/>
                <w:webHidden/>
              </w:rPr>
            </w:r>
            <w:r>
              <w:rPr>
                <w:noProof/>
                <w:webHidden/>
              </w:rPr>
              <w:fldChar w:fldCharType="separate"/>
            </w:r>
            <w:r>
              <w:rPr>
                <w:noProof/>
                <w:webHidden/>
              </w:rPr>
              <w:t>6</w:t>
            </w:r>
            <w:r>
              <w:rPr>
                <w:noProof/>
                <w:webHidden/>
              </w:rPr>
              <w:fldChar w:fldCharType="end"/>
            </w:r>
          </w:hyperlink>
        </w:p>
        <w:p w14:paraId="70702903" w14:textId="1CD8921C" w:rsidR="00190089" w:rsidRDefault="00190089">
          <w:pPr>
            <w:pStyle w:val="TDC2"/>
            <w:rPr>
              <w:rFonts w:asciiTheme="minorHAnsi" w:eastAsiaTheme="minorEastAsia" w:hAnsiTheme="minorHAnsi" w:cstheme="minorBidi"/>
              <w:b w:val="0"/>
              <w:lang w:val="es-EC"/>
            </w:rPr>
          </w:pPr>
          <w:hyperlink w:anchor="_Toc199759544" w:history="1">
            <w:r w:rsidRPr="00386283">
              <w:rPr>
                <w:rStyle w:val="Hipervnculo"/>
                <w:rFonts w:cstheme="majorHAnsi"/>
              </w:rPr>
              <w:t>Modelo de Gestión del Sector Energético Minero</w:t>
            </w:r>
            <w:r>
              <w:rPr>
                <w:webHidden/>
              </w:rPr>
              <w:tab/>
            </w:r>
            <w:r>
              <w:rPr>
                <w:webHidden/>
              </w:rPr>
              <w:fldChar w:fldCharType="begin"/>
            </w:r>
            <w:r>
              <w:rPr>
                <w:webHidden/>
              </w:rPr>
              <w:instrText xml:space="preserve"> PAGEREF _Toc199759544 \h </w:instrText>
            </w:r>
            <w:r>
              <w:rPr>
                <w:webHidden/>
              </w:rPr>
            </w:r>
            <w:r>
              <w:rPr>
                <w:webHidden/>
              </w:rPr>
              <w:fldChar w:fldCharType="separate"/>
            </w:r>
            <w:r>
              <w:rPr>
                <w:webHidden/>
              </w:rPr>
              <w:t>6</w:t>
            </w:r>
            <w:r>
              <w:rPr>
                <w:webHidden/>
              </w:rPr>
              <w:fldChar w:fldCharType="end"/>
            </w:r>
          </w:hyperlink>
        </w:p>
        <w:p w14:paraId="19E24AA8" w14:textId="53290DF9" w:rsidR="00190089" w:rsidRDefault="00190089">
          <w:pPr>
            <w:pStyle w:val="TDC2"/>
            <w:rPr>
              <w:rFonts w:asciiTheme="minorHAnsi" w:eastAsiaTheme="minorEastAsia" w:hAnsiTheme="minorHAnsi" w:cstheme="minorBidi"/>
              <w:b w:val="0"/>
              <w:lang w:val="es-EC"/>
            </w:rPr>
          </w:pPr>
          <w:hyperlink w:anchor="_Toc199759545" w:history="1">
            <w:r w:rsidRPr="00386283">
              <w:rPr>
                <w:rStyle w:val="Hipervnculo"/>
                <w:rFonts w:cstheme="majorHAnsi"/>
              </w:rPr>
              <w:t>Alineación del Plan Nacional de Desarrollo, con los Objetivos Estratégicos Institucionales</w:t>
            </w:r>
            <w:r>
              <w:rPr>
                <w:webHidden/>
              </w:rPr>
              <w:tab/>
            </w:r>
            <w:r>
              <w:rPr>
                <w:webHidden/>
              </w:rPr>
              <w:fldChar w:fldCharType="begin"/>
            </w:r>
            <w:r>
              <w:rPr>
                <w:webHidden/>
              </w:rPr>
              <w:instrText xml:space="preserve"> PAGEREF _Toc199759545 \h </w:instrText>
            </w:r>
            <w:r>
              <w:rPr>
                <w:webHidden/>
              </w:rPr>
            </w:r>
            <w:r>
              <w:rPr>
                <w:webHidden/>
              </w:rPr>
              <w:fldChar w:fldCharType="separate"/>
            </w:r>
            <w:r>
              <w:rPr>
                <w:webHidden/>
              </w:rPr>
              <w:t>7</w:t>
            </w:r>
            <w:r>
              <w:rPr>
                <w:webHidden/>
              </w:rPr>
              <w:fldChar w:fldCharType="end"/>
            </w:r>
          </w:hyperlink>
        </w:p>
        <w:p w14:paraId="1956DE88" w14:textId="69E96884" w:rsidR="00190089" w:rsidRDefault="00190089">
          <w:pPr>
            <w:pStyle w:val="TDC1"/>
            <w:tabs>
              <w:tab w:val="right" w:leader="dot" w:pos="8494"/>
            </w:tabs>
            <w:rPr>
              <w:rFonts w:eastAsiaTheme="minorEastAsia"/>
              <w:noProof/>
              <w:sz w:val="22"/>
              <w:szCs w:val="22"/>
              <w:lang w:eastAsia="es-EC"/>
            </w:rPr>
          </w:pPr>
          <w:hyperlink w:anchor="_Toc199759546" w:history="1">
            <w:r w:rsidRPr="00386283">
              <w:rPr>
                <w:rStyle w:val="Hipervnculo"/>
                <w:noProof/>
              </w:rPr>
              <w:t>Ejecución Presupuestaria.</w:t>
            </w:r>
            <w:r>
              <w:rPr>
                <w:noProof/>
                <w:webHidden/>
              </w:rPr>
              <w:tab/>
            </w:r>
            <w:r>
              <w:rPr>
                <w:noProof/>
                <w:webHidden/>
              </w:rPr>
              <w:fldChar w:fldCharType="begin"/>
            </w:r>
            <w:r>
              <w:rPr>
                <w:noProof/>
                <w:webHidden/>
              </w:rPr>
              <w:instrText xml:space="preserve"> PAGEREF _Toc199759546 \h </w:instrText>
            </w:r>
            <w:r>
              <w:rPr>
                <w:noProof/>
                <w:webHidden/>
              </w:rPr>
            </w:r>
            <w:r>
              <w:rPr>
                <w:noProof/>
                <w:webHidden/>
              </w:rPr>
              <w:fldChar w:fldCharType="separate"/>
            </w:r>
            <w:r>
              <w:rPr>
                <w:noProof/>
                <w:webHidden/>
              </w:rPr>
              <w:t>9</w:t>
            </w:r>
            <w:r>
              <w:rPr>
                <w:noProof/>
                <w:webHidden/>
              </w:rPr>
              <w:fldChar w:fldCharType="end"/>
            </w:r>
          </w:hyperlink>
        </w:p>
        <w:p w14:paraId="34A3D688" w14:textId="7561EDCF" w:rsidR="00190089" w:rsidRDefault="00190089">
          <w:pPr>
            <w:pStyle w:val="TDC2"/>
            <w:rPr>
              <w:rFonts w:asciiTheme="minorHAnsi" w:eastAsiaTheme="minorEastAsia" w:hAnsiTheme="minorHAnsi" w:cstheme="minorBidi"/>
              <w:b w:val="0"/>
              <w:lang w:val="es-EC"/>
            </w:rPr>
          </w:pPr>
          <w:hyperlink w:anchor="_Toc199759547" w:history="1">
            <w:r w:rsidRPr="00386283">
              <w:rPr>
                <w:rStyle w:val="Hipervnculo"/>
              </w:rPr>
              <w:t>Gasto No Permanente</w:t>
            </w:r>
            <w:r>
              <w:rPr>
                <w:webHidden/>
              </w:rPr>
              <w:tab/>
            </w:r>
            <w:r>
              <w:rPr>
                <w:webHidden/>
              </w:rPr>
              <w:fldChar w:fldCharType="begin"/>
            </w:r>
            <w:r>
              <w:rPr>
                <w:webHidden/>
              </w:rPr>
              <w:instrText xml:space="preserve"> PAGEREF _Toc199759547 \h </w:instrText>
            </w:r>
            <w:r>
              <w:rPr>
                <w:webHidden/>
              </w:rPr>
            </w:r>
            <w:r>
              <w:rPr>
                <w:webHidden/>
              </w:rPr>
              <w:fldChar w:fldCharType="separate"/>
            </w:r>
            <w:r>
              <w:rPr>
                <w:webHidden/>
              </w:rPr>
              <w:t>10</w:t>
            </w:r>
            <w:r>
              <w:rPr>
                <w:webHidden/>
              </w:rPr>
              <w:fldChar w:fldCharType="end"/>
            </w:r>
          </w:hyperlink>
        </w:p>
        <w:p w14:paraId="0C69F20E" w14:textId="6BF5675B" w:rsidR="00190089" w:rsidRDefault="00190089">
          <w:pPr>
            <w:pStyle w:val="TDC2"/>
            <w:rPr>
              <w:rFonts w:asciiTheme="minorHAnsi" w:eastAsiaTheme="minorEastAsia" w:hAnsiTheme="minorHAnsi" w:cstheme="minorBidi"/>
              <w:b w:val="0"/>
              <w:lang w:val="es-EC"/>
            </w:rPr>
          </w:pPr>
          <w:hyperlink w:anchor="_Toc199759548" w:history="1">
            <w:r w:rsidRPr="00386283">
              <w:rPr>
                <w:rStyle w:val="Hipervnculo"/>
              </w:rPr>
              <w:t>Gasto Permanente.</w:t>
            </w:r>
            <w:r>
              <w:rPr>
                <w:webHidden/>
              </w:rPr>
              <w:tab/>
            </w:r>
            <w:r>
              <w:rPr>
                <w:webHidden/>
              </w:rPr>
              <w:fldChar w:fldCharType="begin"/>
            </w:r>
            <w:r>
              <w:rPr>
                <w:webHidden/>
              </w:rPr>
              <w:instrText xml:space="preserve"> PAGEREF _Toc199759548 \h </w:instrText>
            </w:r>
            <w:r>
              <w:rPr>
                <w:webHidden/>
              </w:rPr>
            </w:r>
            <w:r>
              <w:rPr>
                <w:webHidden/>
              </w:rPr>
              <w:fldChar w:fldCharType="separate"/>
            </w:r>
            <w:r>
              <w:rPr>
                <w:webHidden/>
              </w:rPr>
              <w:t>11</w:t>
            </w:r>
            <w:r>
              <w:rPr>
                <w:webHidden/>
              </w:rPr>
              <w:fldChar w:fldCharType="end"/>
            </w:r>
          </w:hyperlink>
        </w:p>
        <w:p w14:paraId="5777C3F9" w14:textId="39D8A949" w:rsidR="00190089" w:rsidRDefault="00190089">
          <w:pPr>
            <w:pStyle w:val="TDC2"/>
            <w:rPr>
              <w:rFonts w:asciiTheme="minorHAnsi" w:eastAsiaTheme="minorEastAsia" w:hAnsiTheme="minorHAnsi" w:cstheme="minorBidi"/>
              <w:b w:val="0"/>
              <w:lang w:val="es-EC"/>
            </w:rPr>
          </w:pPr>
          <w:hyperlink w:anchor="_Toc199759549" w:history="1">
            <w:r w:rsidRPr="00386283">
              <w:rPr>
                <w:rStyle w:val="Hipervnculo"/>
              </w:rPr>
              <w:t>Gestión de Adquisiciones y Compras Públicas</w:t>
            </w:r>
            <w:r>
              <w:rPr>
                <w:webHidden/>
              </w:rPr>
              <w:tab/>
            </w:r>
            <w:r>
              <w:rPr>
                <w:webHidden/>
              </w:rPr>
              <w:fldChar w:fldCharType="begin"/>
            </w:r>
            <w:r>
              <w:rPr>
                <w:webHidden/>
              </w:rPr>
              <w:instrText xml:space="preserve"> PAGEREF _Toc199759549 \h </w:instrText>
            </w:r>
            <w:r>
              <w:rPr>
                <w:webHidden/>
              </w:rPr>
            </w:r>
            <w:r>
              <w:rPr>
                <w:webHidden/>
              </w:rPr>
              <w:fldChar w:fldCharType="separate"/>
            </w:r>
            <w:r>
              <w:rPr>
                <w:webHidden/>
              </w:rPr>
              <w:t>12</w:t>
            </w:r>
            <w:r>
              <w:rPr>
                <w:webHidden/>
              </w:rPr>
              <w:fldChar w:fldCharType="end"/>
            </w:r>
          </w:hyperlink>
        </w:p>
        <w:p w14:paraId="28A60CD6" w14:textId="561851AB" w:rsidR="00190089" w:rsidRDefault="00190089">
          <w:pPr>
            <w:pStyle w:val="TDC1"/>
            <w:tabs>
              <w:tab w:val="right" w:leader="dot" w:pos="8494"/>
            </w:tabs>
            <w:rPr>
              <w:rFonts w:eastAsiaTheme="minorEastAsia"/>
              <w:noProof/>
              <w:sz w:val="22"/>
              <w:szCs w:val="22"/>
              <w:lang w:eastAsia="es-EC"/>
            </w:rPr>
          </w:pPr>
          <w:hyperlink w:anchor="_Toc199759550" w:history="1">
            <w:r w:rsidRPr="00386283">
              <w:rPr>
                <w:rStyle w:val="Hipervnculo"/>
                <w:noProof/>
              </w:rPr>
              <w:t>Gestión de Asuntos Internacionales</w:t>
            </w:r>
            <w:r>
              <w:rPr>
                <w:noProof/>
                <w:webHidden/>
              </w:rPr>
              <w:tab/>
            </w:r>
            <w:r>
              <w:rPr>
                <w:noProof/>
                <w:webHidden/>
              </w:rPr>
              <w:fldChar w:fldCharType="begin"/>
            </w:r>
            <w:r>
              <w:rPr>
                <w:noProof/>
                <w:webHidden/>
              </w:rPr>
              <w:instrText xml:space="preserve"> PAGEREF _Toc199759550 \h </w:instrText>
            </w:r>
            <w:r>
              <w:rPr>
                <w:noProof/>
                <w:webHidden/>
              </w:rPr>
            </w:r>
            <w:r>
              <w:rPr>
                <w:noProof/>
                <w:webHidden/>
              </w:rPr>
              <w:fldChar w:fldCharType="separate"/>
            </w:r>
            <w:r>
              <w:rPr>
                <w:noProof/>
                <w:webHidden/>
              </w:rPr>
              <w:t>12</w:t>
            </w:r>
            <w:r>
              <w:rPr>
                <w:noProof/>
                <w:webHidden/>
              </w:rPr>
              <w:fldChar w:fldCharType="end"/>
            </w:r>
          </w:hyperlink>
        </w:p>
        <w:p w14:paraId="05473E5E" w14:textId="5940015A" w:rsidR="00190089" w:rsidRDefault="00190089">
          <w:pPr>
            <w:pStyle w:val="TDC3"/>
            <w:tabs>
              <w:tab w:val="right" w:leader="dot" w:pos="8494"/>
            </w:tabs>
            <w:rPr>
              <w:rFonts w:eastAsiaTheme="minorEastAsia"/>
              <w:noProof/>
              <w:sz w:val="22"/>
              <w:szCs w:val="22"/>
              <w:lang w:eastAsia="es-EC"/>
            </w:rPr>
          </w:pPr>
          <w:hyperlink w:anchor="_Toc199759551" w:history="1">
            <w:r w:rsidRPr="00386283">
              <w:rPr>
                <w:rStyle w:val="Hipervnculo"/>
                <w:noProof/>
              </w:rPr>
              <w:t>Cooperación y Asistencia Técnica.</w:t>
            </w:r>
            <w:r>
              <w:rPr>
                <w:noProof/>
                <w:webHidden/>
              </w:rPr>
              <w:tab/>
            </w:r>
            <w:r>
              <w:rPr>
                <w:noProof/>
                <w:webHidden/>
              </w:rPr>
              <w:fldChar w:fldCharType="begin"/>
            </w:r>
            <w:r>
              <w:rPr>
                <w:noProof/>
                <w:webHidden/>
              </w:rPr>
              <w:instrText xml:space="preserve"> PAGEREF _Toc199759551 \h </w:instrText>
            </w:r>
            <w:r>
              <w:rPr>
                <w:noProof/>
                <w:webHidden/>
              </w:rPr>
            </w:r>
            <w:r>
              <w:rPr>
                <w:noProof/>
                <w:webHidden/>
              </w:rPr>
              <w:fldChar w:fldCharType="separate"/>
            </w:r>
            <w:r>
              <w:rPr>
                <w:noProof/>
                <w:webHidden/>
              </w:rPr>
              <w:t>12</w:t>
            </w:r>
            <w:r>
              <w:rPr>
                <w:noProof/>
                <w:webHidden/>
              </w:rPr>
              <w:fldChar w:fldCharType="end"/>
            </w:r>
          </w:hyperlink>
        </w:p>
        <w:p w14:paraId="193060B6" w14:textId="4E411608" w:rsidR="00190089" w:rsidRDefault="00190089">
          <w:pPr>
            <w:pStyle w:val="TDC3"/>
            <w:tabs>
              <w:tab w:val="right" w:leader="dot" w:pos="8494"/>
            </w:tabs>
            <w:rPr>
              <w:rFonts w:eastAsiaTheme="minorEastAsia"/>
              <w:noProof/>
              <w:sz w:val="22"/>
              <w:szCs w:val="22"/>
              <w:lang w:eastAsia="es-EC"/>
            </w:rPr>
          </w:pPr>
          <w:hyperlink w:anchor="_Toc199759552" w:history="1">
            <w:r w:rsidRPr="00386283">
              <w:rPr>
                <w:rStyle w:val="Hipervnculo"/>
                <w:noProof/>
              </w:rPr>
              <w:t>Gestión con Organismos Internacionales.</w:t>
            </w:r>
            <w:r>
              <w:rPr>
                <w:noProof/>
                <w:webHidden/>
              </w:rPr>
              <w:tab/>
            </w:r>
            <w:r>
              <w:rPr>
                <w:noProof/>
                <w:webHidden/>
              </w:rPr>
              <w:fldChar w:fldCharType="begin"/>
            </w:r>
            <w:r>
              <w:rPr>
                <w:noProof/>
                <w:webHidden/>
              </w:rPr>
              <w:instrText xml:space="preserve"> PAGEREF _Toc199759552 \h </w:instrText>
            </w:r>
            <w:r>
              <w:rPr>
                <w:noProof/>
                <w:webHidden/>
              </w:rPr>
            </w:r>
            <w:r>
              <w:rPr>
                <w:noProof/>
                <w:webHidden/>
              </w:rPr>
              <w:fldChar w:fldCharType="separate"/>
            </w:r>
            <w:r>
              <w:rPr>
                <w:noProof/>
                <w:webHidden/>
              </w:rPr>
              <w:t>13</w:t>
            </w:r>
            <w:r>
              <w:rPr>
                <w:noProof/>
                <w:webHidden/>
              </w:rPr>
              <w:fldChar w:fldCharType="end"/>
            </w:r>
          </w:hyperlink>
        </w:p>
        <w:p w14:paraId="6FFAE14F" w14:textId="4C8594AB" w:rsidR="00190089" w:rsidRDefault="00190089">
          <w:pPr>
            <w:pStyle w:val="TDC3"/>
            <w:tabs>
              <w:tab w:val="right" w:leader="dot" w:pos="8494"/>
            </w:tabs>
            <w:rPr>
              <w:rFonts w:eastAsiaTheme="minorEastAsia"/>
              <w:noProof/>
              <w:sz w:val="22"/>
              <w:szCs w:val="22"/>
              <w:lang w:eastAsia="es-EC"/>
            </w:rPr>
          </w:pPr>
          <w:hyperlink w:anchor="_Toc199759553" w:history="1">
            <w:r w:rsidRPr="00386283">
              <w:rPr>
                <w:rStyle w:val="Hipervnculo"/>
                <w:noProof/>
              </w:rPr>
              <w:t>Compromisos Binacionales.</w:t>
            </w:r>
            <w:r>
              <w:rPr>
                <w:noProof/>
                <w:webHidden/>
              </w:rPr>
              <w:tab/>
            </w:r>
            <w:r>
              <w:rPr>
                <w:noProof/>
                <w:webHidden/>
              </w:rPr>
              <w:fldChar w:fldCharType="begin"/>
            </w:r>
            <w:r>
              <w:rPr>
                <w:noProof/>
                <w:webHidden/>
              </w:rPr>
              <w:instrText xml:space="preserve"> PAGEREF _Toc199759553 \h </w:instrText>
            </w:r>
            <w:r>
              <w:rPr>
                <w:noProof/>
                <w:webHidden/>
              </w:rPr>
            </w:r>
            <w:r>
              <w:rPr>
                <w:noProof/>
                <w:webHidden/>
              </w:rPr>
              <w:fldChar w:fldCharType="separate"/>
            </w:r>
            <w:r>
              <w:rPr>
                <w:noProof/>
                <w:webHidden/>
              </w:rPr>
              <w:t>16</w:t>
            </w:r>
            <w:r>
              <w:rPr>
                <w:noProof/>
                <w:webHidden/>
              </w:rPr>
              <w:fldChar w:fldCharType="end"/>
            </w:r>
          </w:hyperlink>
        </w:p>
        <w:p w14:paraId="06A28093" w14:textId="3FAEEAC0" w:rsidR="00190089" w:rsidRDefault="00190089">
          <w:pPr>
            <w:pStyle w:val="TDC1"/>
            <w:tabs>
              <w:tab w:val="right" w:leader="dot" w:pos="8494"/>
            </w:tabs>
            <w:rPr>
              <w:rFonts w:eastAsiaTheme="minorEastAsia"/>
              <w:noProof/>
              <w:sz w:val="22"/>
              <w:szCs w:val="22"/>
              <w:lang w:eastAsia="es-EC"/>
            </w:rPr>
          </w:pPr>
          <w:hyperlink w:anchor="_Toc199759554" w:history="1">
            <w:r w:rsidRPr="00386283">
              <w:rPr>
                <w:rStyle w:val="Hipervnculo"/>
                <w:noProof/>
              </w:rPr>
              <w:t>Sector Hidrocarburos (Viceministerio de Hidrocarburos)</w:t>
            </w:r>
            <w:r>
              <w:rPr>
                <w:noProof/>
                <w:webHidden/>
              </w:rPr>
              <w:tab/>
            </w:r>
            <w:r>
              <w:rPr>
                <w:noProof/>
                <w:webHidden/>
              </w:rPr>
              <w:fldChar w:fldCharType="begin"/>
            </w:r>
            <w:r>
              <w:rPr>
                <w:noProof/>
                <w:webHidden/>
              </w:rPr>
              <w:instrText xml:space="preserve"> PAGEREF _Toc199759554 \h </w:instrText>
            </w:r>
            <w:r>
              <w:rPr>
                <w:noProof/>
                <w:webHidden/>
              </w:rPr>
            </w:r>
            <w:r>
              <w:rPr>
                <w:noProof/>
                <w:webHidden/>
              </w:rPr>
              <w:fldChar w:fldCharType="separate"/>
            </w:r>
            <w:r>
              <w:rPr>
                <w:noProof/>
                <w:webHidden/>
              </w:rPr>
              <w:t>16</w:t>
            </w:r>
            <w:r>
              <w:rPr>
                <w:noProof/>
                <w:webHidden/>
              </w:rPr>
              <w:fldChar w:fldCharType="end"/>
            </w:r>
          </w:hyperlink>
        </w:p>
        <w:p w14:paraId="232B3808" w14:textId="29D070A6" w:rsidR="00190089" w:rsidRDefault="00190089">
          <w:pPr>
            <w:pStyle w:val="TDC2"/>
            <w:rPr>
              <w:rFonts w:asciiTheme="minorHAnsi" w:eastAsiaTheme="minorEastAsia" w:hAnsiTheme="minorHAnsi" w:cstheme="minorBidi"/>
              <w:b w:val="0"/>
              <w:lang w:val="es-EC"/>
            </w:rPr>
          </w:pPr>
          <w:hyperlink w:anchor="_Toc199759555" w:history="1">
            <w:r w:rsidRPr="00386283">
              <w:rPr>
                <w:rStyle w:val="Hipervnculo"/>
              </w:rPr>
              <w:t>Gestión de la Subsecretaría de Exploración y Explotación de Petróleo y Gas Natural</w:t>
            </w:r>
            <w:r>
              <w:rPr>
                <w:webHidden/>
              </w:rPr>
              <w:tab/>
            </w:r>
            <w:r>
              <w:rPr>
                <w:webHidden/>
              </w:rPr>
              <w:fldChar w:fldCharType="begin"/>
            </w:r>
            <w:r>
              <w:rPr>
                <w:webHidden/>
              </w:rPr>
              <w:instrText xml:space="preserve"> PAGEREF _Toc199759555 \h </w:instrText>
            </w:r>
            <w:r>
              <w:rPr>
                <w:webHidden/>
              </w:rPr>
            </w:r>
            <w:r>
              <w:rPr>
                <w:webHidden/>
              </w:rPr>
              <w:fldChar w:fldCharType="separate"/>
            </w:r>
            <w:r>
              <w:rPr>
                <w:webHidden/>
              </w:rPr>
              <w:t>21</w:t>
            </w:r>
            <w:r>
              <w:rPr>
                <w:webHidden/>
              </w:rPr>
              <w:fldChar w:fldCharType="end"/>
            </w:r>
          </w:hyperlink>
        </w:p>
        <w:p w14:paraId="4C116053" w14:textId="09141143" w:rsidR="00190089" w:rsidRDefault="00190089">
          <w:pPr>
            <w:pStyle w:val="TDC2"/>
            <w:rPr>
              <w:rFonts w:asciiTheme="minorHAnsi" w:eastAsiaTheme="minorEastAsia" w:hAnsiTheme="minorHAnsi" w:cstheme="minorBidi"/>
              <w:b w:val="0"/>
              <w:lang w:val="es-EC"/>
            </w:rPr>
          </w:pPr>
          <w:hyperlink w:anchor="_Toc199759556" w:history="1">
            <w:r w:rsidRPr="00386283">
              <w:rPr>
                <w:rStyle w:val="Hipervnculo"/>
              </w:rPr>
              <w:t>Gestión Técnica Patrimonio y Promoción de Hidrocarburos</w:t>
            </w:r>
            <w:r>
              <w:rPr>
                <w:webHidden/>
              </w:rPr>
              <w:tab/>
            </w:r>
            <w:r>
              <w:rPr>
                <w:webHidden/>
              </w:rPr>
              <w:fldChar w:fldCharType="begin"/>
            </w:r>
            <w:r>
              <w:rPr>
                <w:webHidden/>
              </w:rPr>
              <w:instrText xml:space="preserve"> PAGEREF _Toc199759556 \h </w:instrText>
            </w:r>
            <w:r>
              <w:rPr>
                <w:webHidden/>
              </w:rPr>
            </w:r>
            <w:r>
              <w:rPr>
                <w:webHidden/>
              </w:rPr>
              <w:fldChar w:fldCharType="separate"/>
            </w:r>
            <w:r>
              <w:rPr>
                <w:webHidden/>
              </w:rPr>
              <w:t>24</w:t>
            </w:r>
            <w:r>
              <w:rPr>
                <w:webHidden/>
              </w:rPr>
              <w:fldChar w:fldCharType="end"/>
            </w:r>
          </w:hyperlink>
        </w:p>
        <w:p w14:paraId="51A92CB0" w14:textId="4D47BD9F" w:rsidR="00190089" w:rsidRDefault="00190089">
          <w:pPr>
            <w:pStyle w:val="TDC2"/>
            <w:rPr>
              <w:rFonts w:asciiTheme="minorHAnsi" w:eastAsiaTheme="minorEastAsia" w:hAnsiTheme="minorHAnsi" w:cstheme="minorBidi"/>
              <w:b w:val="0"/>
              <w:lang w:val="es-EC"/>
            </w:rPr>
          </w:pPr>
          <w:hyperlink w:anchor="_Toc199759557" w:history="1">
            <w:r w:rsidRPr="00386283">
              <w:rPr>
                <w:rStyle w:val="Hipervnculo"/>
              </w:rPr>
              <w:t>Gestión de Refinación e Industrialización</w:t>
            </w:r>
            <w:r>
              <w:rPr>
                <w:webHidden/>
              </w:rPr>
              <w:tab/>
            </w:r>
            <w:r>
              <w:rPr>
                <w:webHidden/>
              </w:rPr>
              <w:fldChar w:fldCharType="begin"/>
            </w:r>
            <w:r>
              <w:rPr>
                <w:webHidden/>
              </w:rPr>
              <w:instrText xml:space="preserve"> PAGEREF _Toc199759557 \h </w:instrText>
            </w:r>
            <w:r>
              <w:rPr>
                <w:webHidden/>
              </w:rPr>
            </w:r>
            <w:r>
              <w:rPr>
                <w:webHidden/>
              </w:rPr>
              <w:fldChar w:fldCharType="separate"/>
            </w:r>
            <w:r>
              <w:rPr>
                <w:webHidden/>
              </w:rPr>
              <w:t>26</w:t>
            </w:r>
            <w:r>
              <w:rPr>
                <w:webHidden/>
              </w:rPr>
              <w:fldChar w:fldCharType="end"/>
            </w:r>
          </w:hyperlink>
        </w:p>
        <w:p w14:paraId="6224424A" w14:textId="41878285" w:rsidR="00190089" w:rsidRDefault="00190089">
          <w:pPr>
            <w:pStyle w:val="TDC2"/>
            <w:rPr>
              <w:rFonts w:asciiTheme="minorHAnsi" w:eastAsiaTheme="minorEastAsia" w:hAnsiTheme="minorHAnsi" w:cstheme="minorBidi"/>
              <w:b w:val="0"/>
              <w:lang w:val="es-EC"/>
            </w:rPr>
          </w:pPr>
          <w:hyperlink w:anchor="_Toc199759558" w:history="1">
            <w:r w:rsidRPr="00386283">
              <w:rPr>
                <w:rStyle w:val="Hipervnculo"/>
              </w:rPr>
              <w:t>Gestión de la Agencia de Regulación y Control De Hidrocarburos – ARCH</w:t>
            </w:r>
            <w:r>
              <w:rPr>
                <w:webHidden/>
              </w:rPr>
              <w:tab/>
            </w:r>
            <w:r>
              <w:rPr>
                <w:webHidden/>
              </w:rPr>
              <w:fldChar w:fldCharType="begin"/>
            </w:r>
            <w:r>
              <w:rPr>
                <w:webHidden/>
              </w:rPr>
              <w:instrText xml:space="preserve"> PAGEREF _Toc199759558 \h </w:instrText>
            </w:r>
            <w:r>
              <w:rPr>
                <w:webHidden/>
              </w:rPr>
            </w:r>
            <w:r>
              <w:rPr>
                <w:webHidden/>
              </w:rPr>
              <w:fldChar w:fldCharType="separate"/>
            </w:r>
            <w:r>
              <w:rPr>
                <w:webHidden/>
              </w:rPr>
              <w:t>34</w:t>
            </w:r>
            <w:r>
              <w:rPr>
                <w:webHidden/>
              </w:rPr>
              <w:fldChar w:fldCharType="end"/>
            </w:r>
          </w:hyperlink>
        </w:p>
        <w:p w14:paraId="240FEF5F" w14:textId="6E4F4644" w:rsidR="00190089" w:rsidRDefault="00190089">
          <w:pPr>
            <w:pStyle w:val="TDC2"/>
            <w:rPr>
              <w:rFonts w:asciiTheme="minorHAnsi" w:eastAsiaTheme="minorEastAsia" w:hAnsiTheme="minorHAnsi" w:cstheme="minorBidi"/>
              <w:b w:val="0"/>
              <w:lang w:val="es-EC"/>
            </w:rPr>
          </w:pPr>
          <w:hyperlink w:anchor="_Toc199759559" w:history="1">
            <w:r w:rsidRPr="00386283">
              <w:rPr>
                <w:rStyle w:val="Hipervnculo"/>
              </w:rPr>
              <w:t>Gestión de EP Petroecuador</w:t>
            </w:r>
            <w:r>
              <w:rPr>
                <w:webHidden/>
              </w:rPr>
              <w:tab/>
            </w:r>
            <w:r>
              <w:rPr>
                <w:webHidden/>
              </w:rPr>
              <w:fldChar w:fldCharType="begin"/>
            </w:r>
            <w:r>
              <w:rPr>
                <w:webHidden/>
              </w:rPr>
              <w:instrText xml:space="preserve"> PAGEREF _Toc199759559 \h </w:instrText>
            </w:r>
            <w:r>
              <w:rPr>
                <w:webHidden/>
              </w:rPr>
            </w:r>
            <w:r>
              <w:rPr>
                <w:webHidden/>
              </w:rPr>
              <w:fldChar w:fldCharType="separate"/>
            </w:r>
            <w:r>
              <w:rPr>
                <w:webHidden/>
              </w:rPr>
              <w:t>35</w:t>
            </w:r>
            <w:r>
              <w:rPr>
                <w:webHidden/>
              </w:rPr>
              <w:fldChar w:fldCharType="end"/>
            </w:r>
          </w:hyperlink>
        </w:p>
        <w:p w14:paraId="125EC4DD" w14:textId="40FEDEF4" w:rsidR="00190089" w:rsidRDefault="00190089">
          <w:pPr>
            <w:pStyle w:val="TDC2"/>
            <w:rPr>
              <w:rFonts w:asciiTheme="minorHAnsi" w:eastAsiaTheme="minorEastAsia" w:hAnsiTheme="minorHAnsi" w:cstheme="minorBidi"/>
              <w:b w:val="0"/>
              <w:lang w:val="es-EC"/>
            </w:rPr>
          </w:pPr>
          <w:hyperlink w:anchor="_Toc199759560" w:history="1">
            <w:r w:rsidRPr="00386283">
              <w:rPr>
                <w:rStyle w:val="Hipervnculo"/>
              </w:rPr>
              <w:t>Gestión del Instituto de Investigación Geológico Y Energético</w:t>
            </w:r>
            <w:r>
              <w:rPr>
                <w:webHidden/>
              </w:rPr>
              <w:tab/>
            </w:r>
            <w:r>
              <w:rPr>
                <w:webHidden/>
              </w:rPr>
              <w:fldChar w:fldCharType="begin"/>
            </w:r>
            <w:r>
              <w:rPr>
                <w:webHidden/>
              </w:rPr>
              <w:instrText xml:space="preserve"> PAGEREF _Toc199759560 \h </w:instrText>
            </w:r>
            <w:r>
              <w:rPr>
                <w:webHidden/>
              </w:rPr>
            </w:r>
            <w:r>
              <w:rPr>
                <w:webHidden/>
              </w:rPr>
              <w:fldChar w:fldCharType="separate"/>
            </w:r>
            <w:r>
              <w:rPr>
                <w:webHidden/>
              </w:rPr>
              <w:t>40</w:t>
            </w:r>
            <w:r>
              <w:rPr>
                <w:webHidden/>
              </w:rPr>
              <w:fldChar w:fldCharType="end"/>
            </w:r>
          </w:hyperlink>
        </w:p>
        <w:p w14:paraId="58B31259" w14:textId="5B8A2FFC" w:rsidR="00190089" w:rsidRDefault="00190089">
          <w:pPr>
            <w:pStyle w:val="TDC2"/>
            <w:rPr>
              <w:rFonts w:asciiTheme="minorHAnsi" w:eastAsiaTheme="minorEastAsia" w:hAnsiTheme="minorHAnsi" w:cstheme="minorBidi"/>
              <w:b w:val="0"/>
              <w:lang w:val="es-EC"/>
            </w:rPr>
          </w:pPr>
          <w:hyperlink w:anchor="_Toc199759561" w:history="1">
            <w:r w:rsidRPr="00386283">
              <w:rPr>
                <w:rStyle w:val="Hipervnculo"/>
              </w:rPr>
              <w:t>Gestión de EP FLOPEC</w:t>
            </w:r>
            <w:r>
              <w:rPr>
                <w:webHidden/>
              </w:rPr>
              <w:tab/>
            </w:r>
            <w:r>
              <w:rPr>
                <w:webHidden/>
              </w:rPr>
              <w:fldChar w:fldCharType="begin"/>
            </w:r>
            <w:r>
              <w:rPr>
                <w:webHidden/>
              </w:rPr>
              <w:instrText xml:space="preserve"> PAGEREF _Toc199759561 \h </w:instrText>
            </w:r>
            <w:r>
              <w:rPr>
                <w:webHidden/>
              </w:rPr>
            </w:r>
            <w:r>
              <w:rPr>
                <w:webHidden/>
              </w:rPr>
              <w:fldChar w:fldCharType="separate"/>
            </w:r>
            <w:r>
              <w:rPr>
                <w:webHidden/>
              </w:rPr>
              <w:t>40</w:t>
            </w:r>
            <w:r>
              <w:rPr>
                <w:webHidden/>
              </w:rPr>
              <w:fldChar w:fldCharType="end"/>
            </w:r>
          </w:hyperlink>
        </w:p>
        <w:p w14:paraId="68D3C5C8" w14:textId="1ED9CD91" w:rsidR="00190089" w:rsidRDefault="00190089">
          <w:pPr>
            <w:pStyle w:val="TDC2"/>
            <w:rPr>
              <w:rFonts w:asciiTheme="minorHAnsi" w:eastAsiaTheme="minorEastAsia" w:hAnsiTheme="minorHAnsi" w:cstheme="minorBidi"/>
              <w:b w:val="0"/>
              <w:lang w:val="es-EC"/>
            </w:rPr>
          </w:pPr>
          <w:hyperlink w:anchor="_Toc199759562" w:history="1">
            <w:r w:rsidRPr="00386283">
              <w:rPr>
                <w:rStyle w:val="Hipervnculo"/>
              </w:rPr>
              <w:t>Conclusiones del Sector De Hidrocarburos</w:t>
            </w:r>
            <w:r>
              <w:rPr>
                <w:webHidden/>
              </w:rPr>
              <w:tab/>
            </w:r>
            <w:r>
              <w:rPr>
                <w:webHidden/>
              </w:rPr>
              <w:fldChar w:fldCharType="begin"/>
            </w:r>
            <w:r>
              <w:rPr>
                <w:webHidden/>
              </w:rPr>
              <w:instrText xml:space="preserve"> PAGEREF _Toc199759562 \h </w:instrText>
            </w:r>
            <w:r>
              <w:rPr>
                <w:webHidden/>
              </w:rPr>
            </w:r>
            <w:r>
              <w:rPr>
                <w:webHidden/>
              </w:rPr>
              <w:fldChar w:fldCharType="separate"/>
            </w:r>
            <w:r>
              <w:rPr>
                <w:webHidden/>
              </w:rPr>
              <w:t>42</w:t>
            </w:r>
            <w:r>
              <w:rPr>
                <w:webHidden/>
              </w:rPr>
              <w:fldChar w:fldCharType="end"/>
            </w:r>
          </w:hyperlink>
        </w:p>
        <w:p w14:paraId="1F57879D" w14:textId="41D47C67" w:rsidR="00190089" w:rsidRDefault="00190089">
          <w:pPr>
            <w:pStyle w:val="TDC1"/>
            <w:tabs>
              <w:tab w:val="right" w:leader="dot" w:pos="8494"/>
            </w:tabs>
            <w:rPr>
              <w:rFonts w:eastAsiaTheme="minorEastAsia"/>
              <w:noProof/>
              <w:sz w:val="22"/>
              <w:szCs w:val="22"/>
              <w:lang w:eastAsia="es-EC"/>
            </w:rPr>
          </w:pPr>
          <w:hyperlink w:anchor="_Toc199759563" w:history="1">
            <w:r w:rsidRPr="00386283">
              <w:rPr>
                <w:rStyle w:val="Hipervnculo"/>
                <w:noProof/>
              </w:rPr>
              <w:t>Sector Minero (Gestión Viceministerial De Minería)</w:t>
            </w:r>
            <w:r>
              <w:rPr>
                <w:noProof/>
                <w:webHidden/>
              </w:rPr>
              <w:tab/>
            </w:r>
            <w:r>
              <w:rPr>
                <w:noProof/>
                <w:webHidden/>
              </w:rPr>
              <w:fldChar w:fldCharType="begin"/>
            </w:r>
            <w:r>
              <w:rPr>
                <w:noProof/>
                <w:webHidden/>
              </w:rPr>
              <w:instrText xml:space="preserve"> PAGEREF _Toc199759563 \h </w:instrText>
            </w:r>
            <w:r>
              <w:rPr>
                <w:noProof/>
                <w:webHidden/>
              </w:rPr>
            </w:r>
            <w:r>
              <w:rPr>
                <w:noProof/>
                <w:webHidden/>
              </w:rPr>
              <w:fldChar w:fldCharType="separate"/>
            </w:r>
            <w:r>
              <w:rPr>
                <w:noProof/>
                <w:webHidden/>
              </w:rPr>
              <w:t>45</w:t>
            </w:r>
            <w:r>
              <w:rPr>
                <w:noProof/>
                <w:webHidden/>
              </w:rPr>
              <w:fldChar w:fldCharType="end"/>
            </w:r>
          </w:hyperlink>
        </w:p>
        <w:p w14:paraId="7BFA5278" w14:textId="718B00B0" w:rsidR="00190089" w:rsidRDefault="00190089">
          <w:pPr>
            <w:pStyle w:val="TDC2"/>
            <w:rPr>
              <w:rFonts w:asciiTheme="minorHAnsi" w:eastAsiaTheme="minorEastAsia" w:hAnsiTheme="minorHAnsi" w:cstheme="minorBidi"/>
              <w:b w:val="0"/>
              <w:lang w:val="es-EC"/>
            </w:rPr>
          </w:pPr>
          <w:hyperlink w:anchor="_Toc199759564" w:history="1">
            <w:r w:rsidRPr="00386283">
              <w:rPr>
                <w:rStyle w:val="Hipervnculo"/>
              </w:rPr>
              <w:t>Gestión Subsecretaria De Minería Industrial</w:t>
            </w:r>
            <w:r>
              <w:rPr>
                <w:webHidden/>
              </w:rPr>
              <w:tab/>
            </w:r>
            <w:r>
              <w:rPr>
                <w:webHidden/>
              </w:rPr>
              <w:fldChar w:fldCharType="begin"/>
            </w:r>
            <w:r>
              <w:rPr>
                <w:webHidden/>
              </w:rPr>
              <w:instrText xml:space="preserve"> PAGEREF _Toc199759564 \h </w:instrText>
            </w:r>
            <w:r>
              <w:rPr>
                <w:webHidden/>
              </w:rPr>
            </w:r>
            <w:r>
              <w:rPr>
                <w:webHidden/>
              </w:rPr>
              <w:fldChar w:fldCharType="separate"/>
            </w:r>
            <w:r>
              <w:rPr>
                <w:webHidden/>
              </w:rPr>
              <w:t>45</w:t>
            </w:r>
            <w:r>
              <w:rPr>
                <w:webHidden/>
              </w:rPr>
              <w:fldChar w:fldCharType="end"/>
            </w:r>
          </w:hyperlink>
        </w:p>
        <w:p w14:paraId="4D3ACDE3" w14:textId="3C6320CA" w:rsidR="00190089" w:rsidRDefault="00190089">
          <w:pPr>
            <w:pStyle w:val="TDC2"/>
            <w:rPr>
              <w:rFonts w:asciiTheme="minorHAnsi" w:eastAsiaTheme="minorEastAsia" w:hAnsiTheme="minorHAnsi" w:cstheme="minorBidi"/>
              <w:b w:val="0"/>
              <w:lang w:val="es-EC"/>
            </w:rPr>
          </w:pPr>
          <w:hyperlink w:anchor="_Toc199759565" w:history="1">
            <w:r w:rsidRPr="00386283">
              <w:rPr>
                <w:rStyle w:val="Hipervnculo"/>
              </w:rPr>
              <w:t>Gestión Subsecretaria De Pequeña Minería Y Minería Artesanal</w:t>
            </w:r>
            <w:r>
              <w:rPr>
                <w:webHidden/>
              </w:rPr>
              <w:tab/>
            </w:r>
            <w:r>
              <w:rPr>
                <w:webHidden/>
              </w:rPr>
              <w:fldChar w:fldCharType="begin"/>
            </w:r>
            <w:r>
              <w:rPr>
                <w:webHidden/>
              </w:rPr>
              <w:instrText xml:space="preserve"> PAGEREF _Toc199759565 \h </w:instrText>
            </w:r>
            <w:r>
              <w:rPr>
                <w:webHidden/>
              </w:rPr>
            </w:r>
            <w:r>
              <w:rPr>
                <w:webHidden/>
              </w:rPr>
              <w:fldChar w:fldCharType="separate"/>
            </w:r>
            <w:r>
              <w:rPr>
                <w:webHidden/>
              </w:rPr>
              <w:t>49</w:t>
            </w:r>
            <w:r>
              <w:rPr>
                <w:webHidden/>
              </w:rPr>
              <w:fldChar w:fldCharType="end"/>
            </w:r>
          </w:hyperlink>
        </w:p>
        <w:p w14:paraId="63F966E3" w14:textId="3AE4FD83" w:rsidR="00190089" w:rsidRDefault="00190089">
          <w:pPr>
            <w:pStyle w:val="TDC2"/>
            <w:rPr>
              <w:rFonts w:asciiTheme="minorHAnsi" w:eastAsiaTheme="minorEastAsia" w:hAnsiTheme="minorHAnsi" w:cstheme="minorBidi"/>
              <w:b w:val="0"/>
              <w:lang w:val="es-EC"/>
            </w:rPr>
          </w:pPr>
          <w:hyperlink w:anchor="_Toc199759566" w:history="1">
            <w:r w:rsidRPr="00386283">
              <w:rPr>
                <w:rStyle w:val="Hipervnculo"/>
              </w:rPr>
              <w:t>Gestión Conjunta de Minería Artesanal y Pequeña Minería</w:t>
            </w:r>
            <w:r>
              <w:rPr>
                <w:webHidden/>
              </w:rPr>
              <w:tab/>
            </w:r>
            <w:r>
              <w:rPr>
                <w:webHidden/>
              </w:rPr>
              <w:fldChar w:fldCharType="begin"/>
            </w:r>
            <w:r>
              <w:rPr>
                <w:webHidden/>
              </w:rPr>
              <w:instrText xml:space="preserve"> PAGEREF _Toc199759566 \h </w:instrText>
            </w:r>
            <w:r>
              <w:rPr>
                <w:webHidden/>
              </w:rPr>
            </w:r>
            <w:r>
              <w:rPr>
                <w:webHidden/>
              </w:rPr>
              <w:fldChar w:fldCharType="separate"/>
            </w:r>
            <w:r>
              <w:rPr>
                <w:webHidden/>
              </w:rPr>
              <w:t>53</w:t>
            </w:r>
            <w:r>
              <w:rPr>
                <w:webHidden/>
              </w:rPr>
              <w:fldChar w:fldCharType="end"/>
            </w:r>
          </w:hyperlink>
        </w:p>
        <w:p w14:paraId="71ED021B" w14:textId="55F7DB70" w:rsidR="00190089" w:rsidRDefault="00190089">
          <w:pPr>
            <w:pStyle w:val="TDC2"/>
            <w:rPr>
              <w:rFonts w:asciiTheme="minorHAnsi" w:eastAsiaTheme="minorEastAsia" w:hAnsiTheme="minorHAnsi" w:cstheme="minorBidi"/>
              <w:b w:val="0"/>
              <w:lang w:val="es-EC"/>
            </w:rPr>
          </w:pPr>
          <w:hyperlink w:anchor="_Toc199759567" w:history="1">
            <w:r w:rsidRPr="00386283">
              <w:rPr>
                <w:rStyle w:val="Hipervnculo"/>
              </w:rPr>
              <w:t>Conclusiones Sector Minero</w:t>
            </w:r>
            <w:r>
              <w:rPr>
                <w:webHidden/>
              </w:rPr>
              <w:tab/>
            </w:r>
            <w:r>
              <w:rPr>
                <w:webHidden/>
              </w:rPr>
              <w:fldChar w:fldCharType="begin"/>
            </w:r>
            <w:r>
              <w:rPr>
                <w:webHidden/>
              </w:rPr>
              <w:instrText xml:space="preserve"> PAGEREF _Toc199759567 \h </w:instrText>
            </w:r>
            <w:r>
              <w:rPr>
                <w:webHidden/>
              </w:rPr>
            </w:r>
            <w:r>
              <w:rPr>
                <w:webHidden/>
              </w:rPr>
              <w:fldChar w:fldCharType="separate"/>
            </w:r>
            <w:r>
              <w:rPr>
                <w:webHidden/>
              </w:rPr>
              <w:t>57</w:t>
            </w:r>
            <w:r>
              <w:rPr>
                <w:webHidden/>
              </w:rPr>
              <w:fldChar w:fldCharType="end"/>
            </w:r>
          </w:hyperlink>
        </w:p>
        <w:p w14:paraId="2C76B860" w14:textId="08778454" w:rsidR="00190089" w:rsidRDefault="00190089">
          <w:pPr>
            <w:pStyle w:val="TDC1"/>
            <w:tabs>
              <w:tab w:val="right" w:leader="dot" w:pos="8494"/>
            </w:tabs>
            <w:rPr>
              <w:rFonts w:eastAsiaTheme="minorEastAsia"/>
              <w:noProof/>
              <w:sz w:val="22"/>
              <w:szCs w:val="22"/>
              <w:lang w:eastAsia="es-EC"/>
            </w:rPr>
          </w:pPr>
          <w:hyperlink w:anchor="_Toc199759568" w:history="1">
            <w:r w:rsidRPr="00386283">
              <w:rPr>
                <w:rStyle w:val="Hipervnculo"/>
                <w:rFonts w:cstheme="majorHAnsi"/>
                <w:noProof/>
              </w:rPr>
              <w:t>Sector Electricidad (</w:t>
            </w:r>
            <w:r w:rsidRPr="00386283">
              <w:rPr>
                <w:rStyle w:val="Hipervnculo"/>
                <w:noProof/>
              </w:rPr>
              <w:t>Gestión Viceministerial de Electricidad y Energía Renovable</w:t>
            </w:r>
            <w:r w:rsidRPr="00386283">
              <w:rPr>
                <w:rStyle w:val="Hipervnculo"/>
                <w:rFonts w:cstheme="majorHAnsi"/>
                <w:noProof/>
              </w:rPr>
              <w:t>)</w:t>
            </w:r>
            <w:r>
              <w:rPr>
                <w:noProof/>
                <w:webHidden/>
              </w:rPr>
              <w:tab/>
            </w:r>
            <w:r>
              <w:rPr>
                <w:noProof/>
                <w:webHidden/>
              </w:rPr>
              <w:fldChar w:fldCharType="begin"/>
            </w:r>
            <w:r>
              <w:rPr>
                <w:noProof/>
                <w:webHidden/>
              </w:rPr>
              <w:instrText xml:space="preserve"> PAGEREF _Toc199759568 \h </w:instrText>
            </w:r>
            <w:r>
              <w:rPr>
                <w:noProof/>
                <w:webHidden/>
              </w:rPr>
            </w:r>
            <w:r>
              <w:rPr>
                <w:noProof/>
                <w:webHidden/>
              </w:rPr>
              <w:fldChar w:fldCharType="separate"/>
            </w:r>
            <w:r>
              <w:rPr>
                <w:noProof/>
                <w:webHidden/>
              </w:rPr>
              <w:t>58</w:t>
            </w:r>
            <w:r>
              <w:rPr>
                <w:noProof/>
                <w:webHidden/>
              </w:rPr>
              <w:fldChar w:fldCharType="end"/>
            </w:r>
          </w:hyperlink>
        </w:p>
        <w:p w14:paraId="618C0A5F" w14:textId="09823931" w:rsidR="00190089" w:rsidRDefault="00190089">
          <w:pPr>
            <w:pStyle w:val="TDC2"/>
            <w:rPr>
              <w:rFonts w:asciiTheme="minorHAnsi" w:eastAsiaTheme="minorEastAsia" w:hAnsiTheme="minorHAnsi" w:cstheme="minorBidi"/>
              <w:b w:val="0"/>
              <w:lang w:val="es-EC"/>
            </w:rPr>
          </w:pPr>
          <w:hyperlink w:anchor="_Toc199759569" w:history="1">
            <w:r w:rsidRPr="00386283">
              <w:rPr>
                <w:rStyle w:val="Hipervnculo"/>
              </w:rPr>
              <w:t>Gestión de Control y Aplicaciones Nucleares</w:t>
            </w:r>
            <w:r>
              <w:rPr>
                <w:webHidden/>
              </w:rPr>
              <w:tab/>
            </w:r>
            <w:r>
              <w:rPr>
                <w:webHidden/>
              </w:rPr>
              <w:fldChar w:fldCharType="begin"/>
            </w:r>
            <w:r>
              <w:rPr>
                <w:webHidden/>
              </w:rPr>
              <w:instrText xml:space="preserve"> PAGEREF _Toc199759569 \h </w:instrText>
            </w:r>
            <w:r>
              <w:rPr>
                <w:webHidden/>
              </w:rPr>
            </w:r>
            <w:r>
              <w:rPr>
                <w:webHidden/>
              </w:rPr>
              <w:fldChar w:fldCharType="separate"/>
            </w:r>
            <w:r>
              <w:rPr>
                <w:webHidden/>
              </w:rPr>
              <w:t>58</w:t>
            </w:r>
            <w:r>
              <w:rPr>
                <w:webHidden/>
              </w:rPr>
              <w:fldChar w:fldCharType="end"/>
            </w:r>
          </w:hyperlink>
        </w:p>
        <w:p w14:paraId="5476D400" w14:textId="3669DEB7" w:rsidR="00190089" w:rsidRDefault="00190089">
          <w:pPr>
            <w:pStyle w:val="TDC2"/>
            <w:rPr>
              <w:rFonts w:asciiTheme="minorHAnsi" w:eastAsiaTheme="minorEastAsia" w:hAnsiTheme="minorHAnsi" w:cstheme="minorBidi"/>
              <w:b w:val="0"/>
              <w:lang w:val="es-EC"/>
            </w:rPr>
          </w:pPr>
          <w:hyperlink w:anchor="_Toc199759570" w:history="1">
            <w:r w:rsidRPr="00386283">
              <w:rPr>
                <w:rStyle w:val="Hipervnculo"/>
              </w:rPr>
              <w:t>Gestión de Aplicaciones Nucleares y Cooperación Técnica</w:t>
            </w:r>
            <w:r>
              <w:rPr>
                <w:webHidden/>
              </w:rPr>
              <w:tab/>
            </w:r>
            <w:r>
              <w:rPr>
                <w:webHidden/>
              </w:rPr>
              <w:fldChar w:fldCharType="begin"/>
            </w:r>
            <w:r>
              <w:rPr>
                <w:webHidden/>
              </w:rPr>
              <w:instrText xml:space="preserve"> PAGEREF _Toc199759570 \h </w:instrText>
            </w:r>
            <w:r>
              <w:rPr>
                <w:webHidden/>
              </w:rPr>
            </w:r>
            <w:r>
              <w:rPr>
                <w:webHidden/>
              </w:rPr>
              <w:fldChar w:fldCharType="separate"/>
            </w:r>
            <w:r>
              <w:rPr>
                <w:webHidden/>
              </w:rPr>
              <w:t>59</w:t>
            </w:r>
            <w:r>
              <w:rPr>
                <w:webHidden/>
              </w:rPr>
              <w:fldChar w:fldCharType="end"/>
            </w:r>
          </w:hyperlink>
        </w:p>
        <w:p w14:paraId="6DAFD6A5" w14:textId="5A827442" w:rsidR="00190089" w:rsidRDefault="00190089">
          <w:pPr>
            <w:pStyle w:val="TDC2"/>
            <w:rPr>
              <w:rFonts w:asciiTheme="minorHAnsi" w:eastAsiaTheme="minorEastAsia" w:hAnsiTheme="minorHAnsi" w:cstheme="minorBidi"/>
              <w:b w:val="0"/>
              <w:lang w:val="es-EC"/>
            </w:rPr>
          </w:pPr>
          <w:hyperlink w:anchor="_Toc199759571" w:history="1">
            <w:r w:rsidRPr="00386283">
              <w:rPr>
                <w:rStyle w:val="Hipervnculo"/>
              </w:rPr>
              <w:t>Gestión de Información Energética</w:t>
            </w:r>
            <w:r>
              <w:rPr>
                <w:webHidden/>
              </w:rPr>
              <w:tab/>
            </w:r>
            <w:r>
              <w:rPr>
                <w:webHidden/>
              </w:rPr>
              <w:fldChar w:fldCharType="begin"/>
            </w:r>
            <w:r>
              <w:rPr>
                <w:webHidden/>
              </w:rPr>
              <w:instrText xml:space="preserve"> PAGEREF _Toc199759571 \h </w:instrText>
            </w:r>
            <w:r>
              <w:rPr>
                <w:webHidden/>
              </w:rPr>
            </w:r>
            <w:r>
              <w:rPr>
                <w:webHidden/>
              </w:rPr>
              <w:fldChar w:fldCharType="separate"/>
            </w:r>
            <w:r>
              <w:rPr>
                <w:webHidden/>
              </w:rPr>
              <w:t>61</w:t>
            </w:r>
            <w:r>
              <w:rPr>
                <w:webHidden/>
              </w:rPr>
              <w:fldChar w:fldCharType="end"/>
            </w:r>
          </w:hyperlink>
        </w:p>
        <w:p w14:paraId="0DCA5F32" w14:textId="394391F4" w:rsidR="00190089" w:rsidRDefault="00190089">
          <w:pPr>
            <w:pStyle w:val="TDC2"/>
            <w:rPr>
              <w:rFonts w:asciiTheme="minorHAnsi" w:eastAsiaTheme="minorEastAsia" w:hAnsiTheme="minorHAnsi" w:cstheme="minorBidi"/>
              <w:b w:val="0"/>
              <w:lang w:val="es-EC"/>
            </w:rPr>
          </w:pPr>
          <w:hyperlink w:anchor="_Toc199759572" w:history="1">
            <w:r w:rsidRPr="00386283">
              <w:rPr>
                <w:rStyle w:val="Hipervnculo"/>
              </w:rPr>
              <w:t>Gestión Técnica y Operativa de la Generación y Transmisión de Energía Eléctrica.</w:t>
            </w:r>
            <w:r>
              <w:rPr>
                <w:webHidden/>
              </w:rPr>
              <w:tab/>
            </w:r>
            <w:r>
              <w:rPr>
                <w:webHidden/>
              </w:rPr>
              <w:fldChar w:fldCharType="begin"/>
            </w:r>
            <w:r>
              <w:rPr>
                <w:webHidden/>
              </w:rPr>
              <w:instrText xml:space="preserve"> PAGEREF _Toc199759572 \h </w:instrText>
            </w:r>
            <w:r>
              <w:rPr>
                <w:webHidden/>
              </w:rPr>
            </w:r>
            <w:r>
              <w:rPr>
                <w:webHidden/>
              </w:rPr>
              <w:fldChar w:fldCharType="separate"/>
            </w:r>
            <w:r>
              <w:rPr>
                <w:webHidden/>
              </w:rPr>
              <w:t>64</w:t>
            </w:r>
            <w:r>
              <w:rPr>
                <w:webHidden/>
              </w:rPr>
              <w:fldChar w:fldCharType="end"/>
            </w:r>
          </w:hyperlink>
        </w:p>
        <w:p w14:paraId="27B2C055" w14:textId="4E7CD9E9" w:rsidR="00190089" w:rsidRDefault="00190089">
          <w:pPr>
            <w:pStyle w:val="TDC2"/>
            <w:rPr>
              <w:rFonts w:asciiTheme="minorHAnsi" w:eastAsiaTheme="minorEastAsia" w:hAnsiTheme="minorHAnsi" w:cstheme="minorBidi"/>
              <w:b w:val="0"/>
              <w:lang w:val="es-EC"/>
            </w:rPr>
          </w:pPr>
          <w:hyperlink w:anchor="_Toc199759573" w:history="1">
            <w:r w:rsidRPr="00386283">
              <w:rPr>
                <w:rStyle w:val="Hipervnculo"/>
              </w:rPr>
              <w:t>Gestión de la Expansión y de la Gestión Técnica y Operativa de la Distribución de Energía Eléctrica</w:t>
            </w:r>
            <w:r>
              <w:rPr>
                <w:webHidden/>
              </w:rPr>
              <w:tab/>
            </w:r>
            <w:r>
              <w:rPr>
                <w:webHidden/>
              </w:rPr>
              <w:fldChar w:fldCharType="begin"/>
            </w:r>
            <w:r>
              <w:rPr>
                <w:webHidden/>
              </w:rPr>
              <w:instrText xml:space="preserve"> PAGEREF _Toc199759573 \h </w:instrText>
            </w:r>
            <w:r>
              <w:rPr>
                <w:webHidden/>
              </w:rPr>
            </w:r>
            <w:r>
              <w:rPr>
                <w:webHidden/>
              </w:rPr>
              <w:fldChar w:fldCharType="separate"/>
            </w:r>
            <w:r>
              <w:rPr>
                <w:webHidden/>
              </w:rPr>
              <w:t>72</w:t>
            </w:r>
            <w:r>
              <w:rPr>
                <w:webHidden/>
              </w:rPr>
              <w:fldChar w:fldCharType="end"/>
            </w:r>
          </w:hyperlink>
        </w:p>
        <w:p w14:paraId="0F893514" w14:textId="6979D36D" w:rsidR="00190089" w:rsidRDefault="00190089">
          <w:pPr>
            <w:pStyle w:val="TDC2"/>
            <w:rPr>
              <w:rFonts w:asciiTheme="minorHAnsi" w:eastAsiaTheme="minorEastAsia" w:hAnsiTheme="minorHAnsi" w:cstheme="minorBidi"/>
              <w:b w:val="0"/>
              <w:lang w:val="es-EC"/>
            </w:rPr>
          </w:pPr>
          <w:hyperlink w:anchor="_Toc199759574" w:history="1">
            <w:r w:rsidRPr="00386283">
              <w:rPr>
                <w:rStyle w:val="Hipervnculo"/>
              </w:rPr>
              <w:t>Coordinación en la Emergencia del Sector Eléctrico - Distribución</w:t>
            </w:r>
            <w:r>
              <w:rPr>
                <w:webHidden/>
              </w:rPr>
              <w:tab/>
            </w:r>
            <w:r>
              <w:rPr>
                <w:webHidden/>
              </w:rPr>
              <w:fldChar w:fldCharType="begin"/>
            </w:r>
            <w:r>
              <w:rPr>
                <w:webHidden/>
              </w:rPr>
              <w:instrText xml:space="preserve"> PAGEREF _Toc199759574 \h </w:instrText>
            </w:r>
            <w:r>
              <w:rPr>
                <w:webHidden/>
              </w:rPr>
            </w:r>
            <w:r>
              <w:rPr>
                <w:webHidden/>
              </w:rPr>
              <w:fldChar w:fldCharType="separate"/>
            </w:r>
            <w:r>
              <w:rPr>
                <w:webHidden/>
              </w:rPr>
              <w:t>74</w:t>
            </w:r>
            <w:r>
              <w:rPr>
                <w:webHidden/>
              </w:rPr>
              <w:fldChar w:fldCharType="end"/>
            </w:r>
          </w:hyperlink>
        </w:p>
        <w:p w14:paraId="1DC5FC96" w14:textId="21CE5F53" w:rsidR="00190089" w:rsidRDefault="00190089">
          <w:pPr>
            <w:pStyle w:val="TDC2"/>
            <w:rPr>
              <w:rFonts w:asciiTheme="minorHAnsi" w:eastAsiaTheme="minorEastAsia" w:hAnsiTheme="minorHAnsi" w:cstheme="minorBidi"/>
              <w:b w:val="0"/>
              <w:lang w:val="es-EC"/>
            </w:rPr>
          </w:pPr>
          <w:hyperlink w:anchor="_Toc199759575" w:history="1">
            <w:r w:rsidRPr="00386283">
              <w:rPr>
                <w:rStyle w:val="Hipervnculo"/>
              </w:rPr>
              <w:t>Gestión y Promoción de Proyectos de Eficiencia Energética - DGPPEE</w:t>
            </w:r>
            <w:r>
              <w:rPr>
                <w:webHidden/>
              </w:rPr>
              <w:tab/>
            </w:r>
            <w:r>
              <w:rPr>
                <w:webHidden/>
              </w:rPr>
              <w:fldChar w:fldCharType="begin"/>
            </w:r>
            <w:r>
              <w:rPr>
                <w:webHidden/>
              </w:rPr>
              <w:instrText xml:space="preserve"> PAGEREF _Toc199759575 \h </w:instrText>
            </w:r>
            <w:r>
              <w:rPr>
                <w:webHidden/>
              </w:rPr>
            </w:r>
            <w:r>
              <w:rPr>
                <w:webHidden/>
              </w:rPr>
              <w:fldChar w:fldCharType="separate"/>
            </w:r>
            <w:r>
              <w:rPr>
                <w:webHidden/>
              </w:rPr>
              <w:t>76</w:t>
            </w:r>
            <w:r>
              <w:rPr>
                <w:webHidden/>
              </w:rPr>
              <w:fldChar w:fldCharType="end"/>
            </w:r>
          </w:hyperlink>
        </w:p>
        <w:p w14:paraId="4F77C26F" w14:textId="2CDA96CD" w:rsidR="00190089" w:rsidRDefault="00190089">
          <w:pPr>
            <w:pStyle w:val="TDC2"/>
            <w:rPr>
              <w:rFonts w:asciiTheme="minorHAnsi" w:eastAsiaTheme="minorEastAsia" w:hAnsiTheme="minorHAnsi" w:cstheme="minorBidi"/>
              <w:b w:val="0"/>
              <w:lang w:val="es-EC"/>
            </w:rPr>
          </w:pPr>
          <w:hyperlink w:anchor="_Toc199759576" w:history="1">
            <w:r w:rsidRPr="00386283">
              <w:rPr>
                <w:rStyle w:val="Hipervnculo"/>
                <w:rFonts w:cstheme="majorHAnsi"/>
              </w:rPr>
              <w:t>Conclusiones Sector Electricidad</w:t>
            </w:r>
            <w:r>
              <w:rPr>
                <w:webHidden/>
              </w:rPr>
              <w:tab/>
            </w:r>
            <w:r>
              <w:rPr>
                <w:webHidden/>
              </w:rPr>
              <w:fldChar w:fldCharType="begin"/>
            </w:r>
            <w:r>
              <w:rPr>
                <w:webHidden/>
              </w:rPr>
              <w:instrText xml:space="preserve"> PAGEREF _Toc199759576 \h </w:instrText>
            </w:r>
            <w:r>
              <w:rPr>
                <w:webHidden/>
              </w:rPr>
            </w:r>
            <w:r>
              <w:rPr>
                <w:webHidden/>
              </w:rPr>
              <w:fldChar w:fldCharType="separate"/>
            </w:r>
            <w:r>
              <w:rPr>
                <w:webHidden/>
              </w:rPr>
              <w:t>78</w:t>
            </w:r>
            <w:r>
              <w:rPr>
                <w:webHidden/>
              </w:rPr>
              <w:fldChar w:fldCharType="end"/>
            </w:r>
          </w:hyperlink>
        </w:p>
        <w:p w14:paraId="406B0227" w14:textId="2116D844" w:rsidR="00190089" w:rsidRDefault="00190089">
          <w:pPr>
            <w:pStyle w:val="TDC1"/>
            <w:tabs>
              <w:tab w:val="right" w:leader="dot" w:pos="8494"/>
            </w:tabs>
            <w:rPr>
              <w:rFonts w:eastAsiaTheme="minorEastAsia"/>
              <w:noProof/>
              <w:sz w:val="22"/>
              <w:szCs w:val="22"/>
              <w:lang w:eastAsia="es-EC"/>
            </w:rPr>
          </w:pPr>
          <w:hyperlink w:anchor="_Toc199759577" w:history="1">
            <w:r w:rsidRPr="00386283">
              <w:rPr>
                <w:rStyle w:val="Hipervnculo"/>
                <w:noProof/>
              </w:rPr>
              <w:t>Transparencia y Control</w:t>
            </w:r>
            <w:r>
              <w:rPr>
                <w:noProof/>
                <w:webHidden/>
              </w:rPr>
              <w:tab/>
            </w:r>
            <w:r>
              <w:rPr>
                <w:noProof/>
                <w:webHidden/>
              </w:rPr>
              <w:fldChar w:fldCharType="begin"/>
            </w:r>
            <w:r>
              <w:rPr>
                <w:noProof/>
                <w:webHidden/>
              </w:rPr>
              <w:instrText xml:space="preserve"> PAGEREF _Toc199759577 \h </w:instrText>
            </w:r>
            <w:r>
              <w:rPr>
                <w:noProof/>
                <w:webHidden/>
              </w:rPr>
            </w:r>
            <w:r>
              <w:rPr>
                <w:noProof/>
                <w:webHidden/>
              </w:rPr>
              <w:fldChar w:fldCharType="separate"/>
            </w:r>
            <w:r>
              <w:rPr>
                <w:noProof/>
                <w:webHidden/>
              </w:rPr>
              <w:t>81</w:t>
            </w:r>
            <w:r>
              <w:rPr>
                <w:noProof/>
                <w:webHidden/>
              </w:rPr>
              <w:fldChar w:fldCharType="end"/>
            </w:r>
          </w:hyperlink>
        </w:p>
        <w:p w14:paraId="643E663C" w14:textId="1CDF6D78" w:rsidR="00190089" w:rsidRDefault="00190089">
          <w:pPr>
            <w:pStyle w:val="TDC2"/>
            <w:rPr>
              <w:rFonts w:asciiTheme="minorHAnsi" w:eastAsiaTheme="minorEastAsia" w:hAnsiTheme="minorHAnsi" w:cstheme="minorBidi"/>
              <w:b w:val="0"/>
              <w:lang w:val="es-EC"/>
            </w:rPr>
          </w:pPr>
          <w:hyperlink w:anchor="_Toc199759578" w:history="1">
            <w:r w:rsidRPr="00386283">
              <w:rPr>
                <w:rStyle w:val="Hipervnculo"/>
              </w:rPr>
              <w:t>Acceso a la Información Pública Ciudadana.</w:t>
            </w:r>
            <w:r>
              <w:rPr>
                <w:webHidden/>
              </w:rPr>
              <w:tab/>
            </w:r>
            <w:r>
              <w:rPr>
                <w:webHidden/>
              </w:rPr>
              <w:fldChar w:fldCharType="begin"/>
            </w:r>
            <w:r>
              <w:rPr>
                <w:webHidden/>
              </w:rPr>
              <w:instrText xml:space="preserve"> PAGEREF _Toc199759578 \h </w:instrText>
            </w:r>
            <w:r>
              <w:rPr>
                <w:webHidden/>
              </w:rPr>
            </w:r>
            <w:r>
              <w:rPr>
                <w:webHidden/>
              </w:rPr>
              <w:fldChar w:fldCharType="separate"/>
            </w:r>
            <w:r>
              <w:rPr>
                <w:webHidden/>
              </w:rPr>
              <w:t>81</w:t>
            </w:r>
            <w:r>
              <w:rPr>
                <w:webHidden/>
              </w:rPr>
              <w:fldChar w:fldCharType="end"/>
            </w:r>
          </w:hyperlink>
        </w:p>
        <w:p w14:paraId="48E5045B" w14:textId="2E0A43BB" w:rsidR="00190089" w:rsidRDefault="00190089">
          <w:pPr>
            <w:pStyle w:val="TDC2"/>
            <w:rPr>
              <w:rFonts w:asciiTheme="minorHAnsi" w:eastAsiaTheme="minorEastAsia" w:hAnsiTheme="minorHAnsi" w:cstheme="minorBidi"/>
              <w:b w:val="0"/>
              <w:lang w:val="es-EC"/>
            </w:rPr>
          </w:pPr>
          <w:hyperlink w:anchor="_Toc199759579" w:history="1">
            <w:r w:rsidRPr="00386283">
              <w:rPr>
                <w:rStyle w:val="Hipervnculo"/>
              </w:rPr>
              <w:t>Mecanismos de Participación Ciudadana.</w:t>
            </w:r>
            <w:r>
              <w:rPr>
                <w:webHidden/>
              </w:rPr>
              <w:tab/>
            </w:r>
            <w:r>
              <w:rPr>
                <w:webHidden/>
              </w:rPr>
              <w:fldChar w:fldCharType="begin"/>
            </w:r>
            <w:r>
              <w:rPr>
                <w:webHidden/>
              </w:rPr>
              <w:instrText xml:space="preserve"> PAGEREF _Toc199759579 \h </w:instrText>
            </w:r>
            <w:r>
              <w:rPr>
                <w:webHidden/>
              </w:rPr>
            </w:r>
            <w:r>
              <w:rPr>
                <w:webHidden/>
              </w:rPr>
              <w:fldChar w:fldCharType="separate"/>
            </w:r>
            <w:r>
              <w:rPr>
                <w:webHidden/>
              </w:rPr>
              <w:t>81</w:t>
            </w:r>
            <w:r>
              <w:rPr>
                <w:webHidden/>
              </w:rPr>
              <w:fldChar w:fldCharType="end"/>
            </w:r>
          </w:hyperlink>
        </w:p>
        <w:p w14:paraId="14E4FADE" w14:textId="3B05EFAE" w:rsidR="00190089" w:rsidRDefault="00190089">
          <w:pPr>
            <w:pStyle w:val="TDC2"/>
            <w:rPr>
              <w:rFonts w:asciiTheme="minorHAnsi" w:eastAsiaTheme="minorEastAsia" w:hAnsiTheme="minorHAnsi" w:cstheme="minorBidi"/>
              <w:b w:val="0"/>
              <w:lang w:val="es-EC"/>
            </w:rPr>
          </w:pPr>
          <w:hyperlink w:anchor="_Toc199759580" w:history="1">
            <w:r w:rsidRPr="00386283">
              <w:rPr>
                <w:rStyle w:val="Hipervnculo"/>
                <w:rFonts w:cstheme="majorHAnsi"/>
              </w:rPr>
              <w:t>Territorio y Seguimiento Ambiental</w:t>
            </w:r>
            <w:r>
              <w:rPr>
                <w:webHidden/>
              </w:rPr>
              <w:tab/>
            </w:r>
            <w:r>
              <w:rPr>
                <w:webHidden/>
              </w:rPr>
              <w:fldChar w:fldCharType="begin"/>
            </w:r>
            <w:r>
              <w:rPr>
                <w:webHidden/>
              </w:rPr>
              <w:instrText xml:space="preserve"> PAGEREF _Toc199759580 \h </w:instrText>
            </w:r>
            <w:r>
              <w:rPr>
                <w:webHidden/>
              </w:rPr>
            </w:r>
            <w:r>
              <w:rPr>
                <w:webHidden/>
              </w:rPr>
              <w:fldChar w:fldCharType="separate"/>
            </w:r>
            <w:r>
              <w:rPr>
                <w:webHidden/>
              </w:rPr>
              <w:t>81</w:t>
            </w:r>
            <w:r>
              <w:rPr>
                <w:webHidden/>
              </w:rPr>
              <w:fldChar w:fldCharType="end"/>
            </w:r>
          </w:hyperlink>
        </w:p>
        <w:p w14:paraId="2F78C807" w14:textId="58D698D2" w:rsidR="00190089" w:rsidRDefault="00190089">
          <w:pPr>
            <w:pStyle w:val="TDC1"/>
            <w:tabs>
              <w:tab w:val="right" w:leader="dot" w:pos="8494"/>
            </w:tabs>
            <w:rPr>
              <w:rFonts w:eastAsiaTheme="minorEastAsia"/>
              <w:noProof/>
              <w:sz w:val="22"/>
              <w:szCs w:val="22"/>
              <w:lang w:eastAsia="es-EC"/>
            </w:rPr>
          </w:pPr>
          <w:hyperlink w:anchor="_Toc199759581" w:history="1">
            <w:r w:rsidRPr="00386283">
              <w:rPr>
                <w:rStyle w:val="Hipervnculo"/>
                <w:noProof/>
              </w:rPr>
              <w:t>Cumplimiento de Las Recomendaciones de la Contraloría General Del Estado.</w:t>
            </w:r>
            <w:r>
              <w:rPr>
                <w:noProof/>
                <w:webHidden/>
              </w:rPr>
              <w:tab/>
            </w:r>
            <w:r>
              <w:rPr>
                <w:noProof/>
                <w:webHidden/>
              </w:rPr>
              <w:fldChar w:fldCharType="begin"/>
            </w:r>
            <w:r>
              <w:rPr>
                <w:noProof/>
                <w:webHidden/>
              </w:rPr>
              <w:instrText xml:space="preserve"> PAGEREF _Toc199759581 \h </w:instrText>
            </w:r>
            <w:r>
              <w:rPr>
                <w:noProof/>
                <w:webHidden/>
              </w:rPr>
            </w:r>
            <w:r>
              <w:rPr>
                <w:noProof/>
                <w:webHidden/>
              </w:rPr>
              <w:fldChar w:fldCharType="separate"/>
            </w:r>
            <w:r>
              <w:rPr>
                <w:noProof/>
                <w:webHidden/>
              </w:rPr>
              <w:t>85</w:t>
            </w:r>
            <w:r>
              <w:rPr>
                <w:noProof/>
                <w:webHidden/>
              </w:rPr>
              <w:fldChar w:fldCharType="end"/>
            </w:r>
          </w:hyperlink>
        </w:p>
        <w:p w14:paraId="511DA5F0" w14:textId="2DD77A5E" w:rsidR="00C06F03" w:rsidRPr="00220287" w:rsidRDefault="00C06F03" w:rsidP="00C06F03">
          <w:pPr>
            <w:rPr>
              <w:rFonts w:asciiTheme="majorHAnsi" w:hAnsiTheme="majorHAnsi" w:cstheme="majorHAnsi"/>
            </w:rPr>
          </w:pPr>
          <w:r w:rsidRPr="00190089">
            <w:rPr>
              <w:rFonts w:asciiTheme="majorHAnsi" w:hAnsiTheme="majorHAnsi" w:cstheme="majorHAnsi"/>
              <w:b/>
              <w:bCs/>
              <w:sz w:val="22"/>
              <w:szCs w:val="22"/>
              <w:lang w:val="es-ES"/>
            </w:rPr>
            <w:fldChar w:fldCharType="end"/>
          </w:r>
        </w:p>
      </w:sdtContent>
    </w:sdt>
    <w:p w14:paraId="7973C326" w14:textId="77777777" w:rsidR="00C06F03" w:rsidRPr="00220287" w:rsidRDefault="00C06F03" w:rsidP="00C06F03">
      <w:pPr>
        <w:pStyle w:val="Ttulo2"/>
        <w:rPr>
          <w:lang w:val="es-ES" w:eastAsia="es-EC"/>
        </w:rPr>
      </w:pPr>
      <w:bookmarkStart w:id="0" w:name="_Toc199759535"/>
      <w:r w:rsidRPr="00220287">
        <w:rPr>
          <w:lang w:val="es-ES" w:eastAsia="es-EC"/>
        </w:rPr>
        <w:t>Índice de Tablas</w:t>
      </w:r>
      <w:bookmarkEnd w:id="0"/>
    </w:p>
    <w:p w14:paraId="699C6B01" w14:textId="737662CC" w:rsidR="005241FC" w:rsidRDefault="00EA3742">
      <w:pPr>
        <w:pStyle w:val="Tabladeilustraciones"/>
        <w:tabs>
          <w:tab w:val="right" w:leader="dot" w:pos="8494"/>
        </w:tabs>
        <w:rPr>
          <w:rFonts w:asciiTheme="minorHAnsi" w:eastAsiaTheme="minorEastAsia" w:hAnsiTheme="minorHAnsi" w:cstheme="minorBidi"/>
          <w:noProof/>
          <w:lang w:eastAsia="es-EC"/>
        </w:rPr>
      </w:pPr>
      <w:r>
        <w:fldChar w:fldCharType="begin"/>
      </w:r>
      <w:r>
        <w:instrText xml:space="preserve"> TOC \h \z \c "Tabla" </w:instrText>
      </w:r>
      <w:r>
        <w:fldChar w:fldCharType="separate"/>
      </w:r>
      <w:hyperlink w:anchor="_Toc199759671" w:history="1">
        <w:r w:rsidR="005241FC" w:rsidRPr="00B45C98">
          <w:rPr>
            <w:rStyle w:val="Hipervnculo"/>
            <w:rFonts w:asciiTheme="majorHAnsi" w:hAnsiTheme="majorHAnsi" w:cstheme="majorHAnsi"/>
            <w:noProof/>
          </w:rPr>
          <w:t>Tabla 1: Objetivos del PND alineación Estratégica  Institucional MEM</w:t>
        </w:r>
        <w:r w:rsidR="005241FC">
          <w:rPr>
            <w:noProof/>
            <w:webHidden/>
          </w:rPr>
          <w:tab/>
        </w:r>
        <w:r w:rsidR="005241FC">
          <w:rPr>
            <w:noProof/>
            <w:webHidden/>
          </w:rPr>
          <w:fldChar w:fldCharType="begin"/>
        </w:r>
        <w:r w:rsidR="005241FC">
          <w:rPr>
            <w:noProof/>
            <w:webHidden/>
          </w:rPr>
          <w:instrText xml:space="preserve"> PAGEREF _Toc199759671 \h </w:instrText>
        </w:r>
        <w:r w:rsidR="005241FC">
          <w:rPr>
            <w:noProof/>
            <w:webHidden/>
          </w:rPr>
        </w:r>
        <w:r w:rsidR="005241FC">
          <w:rPr>
            <w:noProof/>
            <w:webHidden/>
          </w:rPr>
          <w:fldChar w:fldCharType="separate"/>
        </w:r>
        <w:r w:rsidR="005241FC">
          <w:rPr>
            <w:noProof/>
            <w:webHidden/>
          </w:rPr>
          <w:t>8</w:t>
        </w:r>
        <w:r w:rsidR="005241FC">
          <w:rPr>
            <w:noProof/>
            <w:webHidden/>
          </w:rPr>
          <w:fldChar w:fldCharType="end"/>
        </w:r>
      </w:hyperlink>
    </w:p>
    <w:p w14:paraId="30C1EC51" w14:textId="50608D4D"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72" w:history="1">
        <w:r w:rsidRPr="00B45C98">
          <w:rPr>
            <w:rStyle w:val="Hipervnculo"/>
            <w:rFonts w:asciiTheme="majorHAnsi" w:hAnsiTheme="majorHAnsi" w:cstheme="majorHAnsi"/>
            <w:noProof/>
          </w:rPr>
          <w:t>Tabla 2: Ejecución Presupuestaria por programa 2024 (gasto de inversión y gasto corriente)</w:t>
        </w:r>
        <w:r>
          <w:rPr>
            <w:noProof/>
            <w:webHidden/>
          </w:rPr>
          <w:tab/>
        </w:r>
        <w:r>
          <w:rPr>
            <w:noProof/>
            <w:webHidden/>
          </w:rPr>
          <w:fldChar w:fldCharType="begin"/>
        </w:r>
        <w:r>
          <w:rPr>
            <w:noProof/>
            <w:webHidden/>
          </w:rPr>
          <w:instrText xml:space="preserve"> PAGEREF _Toc199759672 \h </w:instrText>
        </w:r>
        <w:r>
          <w:rPr>
            <w:noProof/>
            <w:webHidden/>
          </w:rPr>
        </w:r>
        <w:r>
          <w:rPr>
            <w:noProof/>
            <w:webHidden/>
          </w:rPr>
          <w:fldChar w:fldCharType="separate"/>
        </w:r>
        <w:r>
          <w:rPr>
            <w:noProof/>
            <w:webHidden/>
          </w:rPr>
          <w:t>9</w:t>
        </w:r>
        <w:r>
          <w:rPr>
            <w:noProof/>
            <w:webHidden/>
          </w:rPr>
          <w:fldChar w:fldCharType="end"/>
        </w:r>
      </w:hyperlink>
    </w:p>
    <w:p w14:paraId="1A93A8EF" w14:textId="4CEAF40F"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73" w:history="1">
        <w:r w:rsidRPr="00B45C98">
          <w:rPr>
            <w:rStyle w:val="Hipervnculo"/>
            <w:rFonts w:asciiTheme="majorHAnsi" w:hAnsiTheme="majorHAnsi" w:cstheme="majorHAnsi"/>
            <w:noProof/>
          </w:rPr>
          <w:t>Tabla 3: Ejecución Plan Anual de Inversiones – PAI 2024</w:t>
        </w:r>
        <w:r>
          <w:rPr>
            <w:noProof/>
            <w:webHidden/>
          </w:rPr>
          <w:tab/>
        </w:r>
        <w:r>
          <w:rPr>
            <w:noProof/>
            <w:webHidden/>
          </w:rPr>
          <w:fldChar w:fldCharType="begin"/>
        </w:r>
        <w:r>
          <w:rPr>
            <w:noProof/>
            <w:webHidden/>
          </w:rPr>
          <w:instrText xml:space="preserve"> PAGEREF _Toc199759673 \h </w:instrText>
        </w:r>
        <w:r>
          <w:rPr>
            <w:noProof/>
            <w:webHidden/>
          </w:rPr>
        </w:r>
        <w:r>
          <w:rPr>
            <w:noProof/>
            <w:webHidden/>
          </w:rPr>
          <w:fldChar w:fldCharType="separate"/>
        </w:r>
        <w:r>
          <w:rPr>
            <w:noProof/>
            <w:webHidden/>
          </w:rPr>
          <w:t>10</w:t>
        </w:r>
        <w:r>
          <w:rPr>
            <w:noProof/>
            <w:webHidden/>
          </w:rPr>
          <w:fldChar w:fldCharType="end"/>
        </w:r>
      </w:hyperlink>
    </w:p>
    <w:p w14:paraId="2DC49392" w14:textId="1D03E05C"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74" w:history="1">
        <w:r w:rsidRPr="00B45C98">
          <w:rPr>
            <w:rStyle w:val="Hipervnculo"/>
            <w:rFonts w:asciiTheme="majorHAnsi" w:hAnsiTheme="majorHAnsi" w:cstheme="majorHAnsi"/>
            <w:noProof/>
          </w:rPr>
          <w:t>Tabla 4: Ejecución de Proyectos Eléctricos por Organismo de Financiamiento</w:t>
        </w:r>
        <w:r>
          <w:rPr>
            <w:noProof/>
            <w:webHidden/>
          </w:rPr>
          <w:tab/>
        </w:r>
        <w:r>
          <w:rPr>
            <w:noProof/>
            <w:webHidden/>
          </w:rPr>
          <w:fldChar w:fldCharType="begin"/>
        </w:r>
        <w:r>
          <w:rPr>
            <w:noProof/>
            <w:webHidden/>
          </w:rPr>
          <w:instrText xml:space="preserve"> PAGEREF _Toc199759674 \h </w:instrText>
        </w:r>
        <w:r>
          <w:rPr>
            <w:noProof/>
            <w:webHidden/>
          </w:rPr>
        </w:r>
        <w:r>
          <w:rPr>
            <w:noProof/>
            <w:webHidden/>
          </w:rPr>
          <w:fldChar w:fldCharType="separate"/>
        </w:r>
        <w:r>
          <w:rPr>
            <w:noProof/>
            <w:webHidden/>
          </w:rPr>
          <w:t>11</w:t>
        </w:r>
        <w:r>
          <w:rPr>
            <w:noProof/>
            <w:webHidden/>
          </w:rPr>
          <w:fldChar w:fldCharType="end"/>
        </w:r>
      </w:hyperlink>
    </w:p>
    <w:p w14:paraId="695E0B19" w14:textId="10727304"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75" w:history="1">
        <w:r w:rsidRPr="00B45C98">
          <w:rPr>
            <w:rStyle w:val="Hipervnculo"/>
            <w:rFonts w:asciiTheme="majorHAnsi" w:hAnsiTheme="majorHAnsi" w:cstheme="majorHAnsi"/>
            <w:noProof/>
          </w:rPr>
          <w:t>Tabla 5: Ejecución - Gasto Permanente</w:t>
        </w:r>
        <w:r>
          <w:rPr>
            <w:noProof/>
            <w:webHidden/>
          </w:rPr>
          <w:tab/>
        </w:r>
        <w:r>
          <w:rPr>
            <w:noProof/>
            <w:webHidden/>
          </w:rPr>
          <w:fldChar w:fldCharType="begin"/>
        </w:r>
        <w:r>
          <w:rPr>
            <w:noProof/>
            <w:webHidden/>
          </w:rPr>
          <w:instrText xml:space="preserve"> PAGEREF _Toc199759675 \h </w:instrText>
        </w:r>
        <w:r>
          <w:rPr>
            <w:noProof/>
            <w:webHidden/>
          </w:rPr>
        </w:r>
        <w:r>
          <w:rPr>
            <w:noProof/>
            <w:webHidden/>
          </w:rPr>
          <w:fldChar w:fldCharType="separate"/>
        </w:r>
        <w:r>
          <w:rPr>
            <w:noProof/>
            <w:webHidden/>
          </w:rPr>
          <w:t>11</w:t>
        </w:r>
        <w:r>
          <w:rPr>
            <w:noProof/>
            <w:webHidden/>
          </w:rPr>
          <w:fldChar w:fldCharType="end"/>
        </w:r>
      </w:hyperlink>
    </w:p>
    <w:p w14:paraId="57DCADB9" w14:textId="75CC75EA"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76" w:history="1">
        <w:r w:rsidRPr="00B45C98">
          <w:rPr>
            <w:rStyle w:val="Hipervnculo"/>
            <w:rFonts w:asciiTheme="majorHAnsi" w:hAnsiTheme="majorHAnsi" w:cstheme="majorHAnsi"/>
            <w:noProof/>
          </w:rPr>
          <w:t>Tabla 6:Lotes de Información Técnica Procesada y cargada en el BIPE – 2024</w:t>
        </w:r>
        <w:r>
          <w:rPr>
            <w:noProof/>
            <w:webHidden/>
          </w:rPr>
          <w:tab/>
        </w:r>
        <w:r>
          <w:rPr>
            <w:noProof/>
            <w:webHidden/>
          </w:rPr>
          <w:fldChar w:fldCharType="begin"/>
        </w:r>
        <w:r>
          <w:rPr>
            <w:noProof/>
            <w:webHidden/>
          </w:rPr>
          <w:instrText xml:space="preserve"> PAGEREF _Toc199759676 \h </w:instrText>
        </w:r>
        <w:r>
          <w:rPr>
            <w:noProof/>
            <w:webHidden/>
          </w:rPr>
        </w:r>
        <w:r>
          <w:rPr>
            <w:noProof/>
            <w:webHidden/>
          </w:rPr>
          <w:fldChar w:fldCharType="separate"/>
        </w:r>
        <w:r>
          <w:rPr>
            <w:noProof/>
            <w:webHidden/>
          </w:rPr>
          <w:t>17</w:t>
        </w:r>
        <w:r>
          <w:rPr>
            <w:noProof/>
            <w:webHidden/>
          </w:rPr>
          <w:fldChar w:fldCharType="end"/>
        </w:r>
      </w:hyperlink>
    </w:p>
    <w:p w14:paraId="480184C6" w14:textId="2E359808"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77" w:history="1">
        <w:r w:rsidRPr="00B45C98">
          <w:rPr>
            <w:rStyle w:val="Hipervnculo"/>
            <w:rFonts w:asciiTheme="majorHAnsi" w:hAnsiTheme="majorHAnsi" w:cstheme="majorHAnsi"/>
            <w:noProof/>
          </w:rPr>
          <w:t>Tabla 7:Entrega de sets de información y data pack</w:t>
        </w:r>
        <w:r>
          <w:rPr>
            <w:noProof/>
            <w:webHidden/>
          </w:rPr>
          <w:tab/>
        </w:r>
        <w:r>
          <w:rPr>
            <w:noProof/>
            <w:webHidden/>
          </w:rPr>
          <w:fldChar w:fldCharType="begin"/>
        </w:r>
        <w:r>
          <w:rPr>
            <w:noProof/>
            <w:webHidden/>
          </w:rPr>
          <w:instrText xml:space="preserve"> PAGEREF _Toc199759677 \h </w:instrText>
        </w:r>
        <w:r>
          <w:rPr>
            <w:noProof/>
            <w:webHidden/>
          </w:rPr>
        </w:r>
        <w:r>
          <w:rPr>
            <w:noProof/>
            <w:webHidden/>
          </w:rPr>
          <w:fldChar w:fldCharType="separate"/>
        </w:r>
        <w:r>
          <w:rPr>
            <w:noProof/>
            <w:webHidden/>
          </w:rPr>
          <w:t>17</w:t>
        </w:r>
        <w:r>
          <w:rPr>
            <w:noProof/>
            <w:webHidden/>
          </w:rPr>
          <w:fldChar w:fldCharType="end"/>
        </w:r>
      </w:hyperlink>
    </w:p>
    <w:p w14:paraId="7D4F6F5A" w14:textId="0773D937"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78" w:history="1">
        <w:r w:rsidRPr="00B45C98">
          <w:rPr>
            <w:rStyle w:val="Hipervnculo"/>
            <w:rFonts w:asciiTheme="majorHAnsi" w:hAnsiTheme="majorHAnsi" w:cstheme="majorHAnsi"/>
            <w:noProof/>
          </w:rPr>
          <w:t>Tabla 8: Inversión Ejecutadas y Compromisos Presupuestario Periodo del Año 2024</w:t>
        </w:r>
        <w:r>
          <w:rPr>
            <w:noProof/>
            <w:webHidden/>
          </w:rPr>
          <w:tab/>
        </w:r>
        <w:r>
          <w:rPr>
            <w:noProof/>
            <w:webHidden/>
          </w:rPr>
          <w:fldChar w:fldCharType="begin"/>
        </w:r>
        <w:r>
          <w:rPr>
            <w:noProof/>
            <w:webHidden/>
          </w:rPr>
          <w:instrText xml:space="preserve"> PAGEREF _Toc199759678 \h </w:instrText>
        </w:r>
        <w:r>
          <w:rPr>
            <w:noProof/>
            <w:webHidden/>
          </w:rPr>
        </w:r>
        <w:r>
          <w:rPr>
            <w:noProof/>
            <w:webHidden/>
          </w:rPr>
          <w:fldChar w:fldCharType="separate"/>
        </w:r>
        <w:r>
          <w:rPr>
            <w:noProof/>
            <w:webHidden/>
          </w:rPr>
          <w:t>30</w:t>
        </w:r>
        <w:r>
          <w:rPr>
            <w:noProof/>
            <w:webHidden/>
          </w:rPr>
          <w:fldChar w:fldCharType="end"/>
        </w:r>
      </w:hyperlink>
    </w:p>
    <w:p w14:paraId="6B6FBE36" w14:textId="3E2B00A9"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79" w:history="1">
        <w:r w:rsidRPr="00B45C98">
          <w:rPr>
            <w:rStyle w:val="Hipervnculo"/>
            <w:rFonts w:asciiTheme="majorHAnsi" w:hAnsiTheme="majorHAnsi" w:cstheme="majorHAnsi"/>
            <w:noProof/>
          </w:rPr>
          <w:t>Tabla 9:</w:t>
        </w:r>
        <w:r w:rsidRPr="00B45C98">
          <w:rPr>
            <w:rStyle w:val="Hipervnculo"/>
            <w:rFonts w:asciiTheme="majorHAnsi" w:hAnsiTheme="majorHAnsi" w:cstheme="majorHAnsi"/>
            <w:noProof/>
            <w:spacing w:val="-2"/>
          </w:rPr>
          <w:t xml:space="preserve"> </w:t>
        </w:r>
        <w:r w:rsidRPr="00B45C98">
          <w:rPr>
            <w:rStyle w:val="Hipervnculo"/>
            <w:rFonts w:asciiTheme="majorHAnsi" w:hAnsiTheme="majorHAnsi" w:cstheme="majorHAnsi"/>
            <w:noProof/>
          </w:rPr>
          <w:t>Pagos</w:t>
        </w:r>
        <w:r w:rsidRPr="00B45C98">
          <w:rPr>
            <w:rStyle w:val="Hipervnculo"/>
            <w:rFonts w:asciiTheme="majorHAnsi" w:hAnsiTheme="majorHAnsi" w:cstheme="majorHAnsi"/>
            <w:noProof/>
            <w:spacing w:val="-4"/>
          </w:rPr>
          <w:t xml:space="preserve"> </w:t>
        </w:r>
        <w:r w:rsidRPr="00B45C98">
          <w:rPr>
            <w:rStyle w:val="Hipervnculo"/>
            <w:rFonts w:asciiTheme="majorHAnsi" w:hAnsiTheme="majorHAnsi" w:cstheme="majorHAnsi"/>
            <w:noProof/>
          </w:rPr>
          <w:t>Ley</w:t>
        </w:r>
        <w:r w:rsidRPr="00B45C98">
          <w:rPr>
            <w:rStyle w:val="Hipervnculo"/>
            <w:rFonts w:asciiTheme="majorHAnsi" w:hAnsiTheme="majorHAnsi" w:cstheme="majorHAnsi"/>
            <w:noProof/>
            <w:spacing w:val="-1"/>
          </w:rPr>
          <w:t xml:space="preserve"> </w:t>
        </w:r>
        <w:r w:rsidRPr="00B45C98">
          <w:rPr>
            <w:rStyle w:val="Hipervnculo"/>
            <w:rFonts w:asciiTheme="majorHAnsi" w:hAnsiTheme="majorHAnsi" w:cstheme="majorHAnsi"/>
            <w:noProof/>
          </w:rPr>
          <w:t>Amazónica</w:t>
        </w:r>
        <w:r w:rsidRPr="00B45C98">
          <w:rPr>
            <w:rStyle w:val="Hipervnculo"/>
            <w:rFonts w:asciiTheme="majorHAnsi" w:hAnsiTheme="majorHAnsi" w:cstheme="majorHAnsi"/>
            <w:noProof/>
            <w:spacing w:val="-3"/>
          </w:rPr>
          <w:t xml:space="preserve"> </w:t>
        </w:r>
        <w:r w:rsidRPr="00B45C98">
          <w:rPr>
            <w:rStyle w:val="Hipervnculo"/>
            <w:rFonts w:asciiTheme="majorHAnsi" w:hAnsiTheme="majorHAnsi" w:cstheme="majorHAnsi"/>
            <w:noProof/>
          </w:rPr>
          <w:t>en</w:t>
        </w:r>
        <w:r w:rsidRPr="00B45C98">
          <w:rPr>
            <w:rStyle w:val="Hipervnculo"/>
            <w:rFonts w:asciiTheme="majorHAnsi" w:hAnsiTheme="majorHAnsi" w:cstheme="majorHAnsi"/>
            <w:noProof/>
            <w:spacing w:val="-4"/>
          </w:rPr>
          <w:t xml:space="preserve"> </w:t>
        </w:r>
        <w:r w:rsidRPr="00B45C98">
          <w:rPr>
            <w:rStyle w:val="Hipervnculo"/>
            <w:rFonts w:asciiTheme="majorHAnsi" w:hAnsiTheme="majorHAnsi" w:cstheme="majorHAnsi"/>
            <w:noProof/>
          </w:rPr>
          <w:t>cumplimiento</w:t>
        </w:r>
        <w:r w:rsidRPr="00B45C98">
          <w:rPr>
            <w:rStyle w:val="Hipervnculo"/>
            <w:rFonts w:asciiTheme="majorHAnsi" w:hAnsiTheme="majorHAnsi" w:cstheme="majorHAnsi"/>
            <w:noProof/>
            <w:spacing w:val="-5"/>
          </w:rPr>
          <w:t xml:space="preserve"> </w:t>
        </w:r>
        <w:r w:rsidRPr="00B45C98">
          <w:rPr>
            <w:rStyle w:val="Hipervnculo"/>
            <w:rFonts w:asciiTheme="majorHAnsi" w:hAnsiTheme="majorHAnsi" w:cstheme="majorHAnsi"/>
            <w:noProof/>
          </w:rPr>
          <w:t>Acuerdo</w:t>
        </w:r>
        <w:r w:rsidRPr="00B45C98">
          <w:rPr>
            <w:rStyle w:val="Hipervnculo"/>
            <w:rFonts w:asciiTheme="majorHAnsi" w:hAnsiTheme="majorHAnsi" w:cstheme="majorHAnsi"/>
            <w:noProof/>
            <w:spacing w:val="-4"/>
          </w:rPr>
          <w:t xml:space="preserve"> </w:t>
        </w:r>
        <w:r w:rsidRPr="00B45C98">
          <w:rPr>
            <w:rStyle w:val="Hipervnculo"/>
            <w:rFonts w:asciiTheme="majorHAnsi" w:hAnsiTheme="majorHAnsi" w:cstheme="majorHAnsi"/>
            <w:noProof/>
          </w:rPr>
          <w:t>033</w:t>
        </w:r>
        <w:r w:rsidRPr="00B45C98">
          <w:rPr>
            <w:rStyle w:val="Hipervnculo"/>
            <w:rFonts w:asciiTheme="majorHAnsi" w:hAnsiTheme="majorHAnsi" w:cstheme="majorHAnsi"/>
            <w:noProof/>
            <w:spacing w:val="-2"/>
          </w:rPr>
          <w:t xml:space="preserve"> </w:t>
        </w:r>
        <w:r w:rsidRPr="00B45C98">
          <w:rPr>
            <w:rStyle w:val="Hipervnculo"/>
            <w:rFonts w:asciiTheme="majorHAnsi" w:hAnsiTheme="majorHAnsi" w:cstheme="majorHAnsi"/>
            <w:noProof/>
            <w:spacing w:val="-5"/>
          </w:rPr>
          <w:t>MEF</w:t>
        </w:r>
        <w:r>
          <w:rPr>
            <w:noProof/>
            <w:webHidden/>
          </w:rPr>
          <w:tab/>
        </w:r>
        <w:r>
          <w:rPr>
            <w:noProof/>
            <w:webHidden/>
          </w:rPr>
          <w:fldChar w:fldCharType="begin"/>
        </w:r>
        <w:r>
          <w:rPr>
            <w:noProof/>
            <w:webHidden/>
          </w:rPr>
          <w:instrText xml:space="preserve"> PAGEREF _Toc199759679 \h </w:instrText>
        </w:r>
        <w:r>
          <w:rPr>
            <w:noProof/>
            <w:webHidden/>
          </w:rPr>
        </w:r>
        <w:r>
          <w:rPr>
            <w:noProof/>
            <w:webHidden/>
          </w:rPr>
          <w:fldChar w:fldCharType="separate"/>
        </w:r>
        <w:r>
          <w:rPr>
            <w:noProof/>
            <w:webHidden/>
          </w:rPr>
          <w:t>32</w:t>
        </w:r>
        <w:r>
          <w:rPr>
            <w:noProof/>
            <w:webHidden/>
          </w:rPr>
          <w:fldChar w:fldCharType="end"/>
        </w:r>
      </w:hyperlink>
    </w:p>
    <w:p w14:paraId="38E11AD3" w14:textId="27D154B7"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80" w:history="1">
        <w:r w:rsidRPr="00B45C98">
          <w:rPr>
            <w:rStyle w:val="Hipervnculo"/>
            <w:rFonts w:asciiTheme="majorHAnsi" w:hAnsiTheme="majorHAnsi"/>
            <w:noProof/>
          </w:rPr>
          <w:t xml:space="preserve">Tabla 10: </w:t>
        </w:r>
        <w:r w:rsidRPr="00B45C98">
          <w:rPr>
            <w:rStyle w:val="Hipervnculo"/>
            <w:rFonts w:asciiTheme="majorHAnsi" w:hAnsiTheme="majorHAnsi"/>
            <w:noProof/>
            <w:spacing w:val="-6"/>
          </w:rPr>
          <w:t xml:space="preserve"> </w:t>
        </w:r>
        <w:r w:rsidRPr="00B45C98">
          <w:rPr>
            <w:rStyle w:val="Hipervnculo"/>
            <w:rFonts w:asciiTheme="majorHAnsi" w:hAnsiTheme="majorHAnsi"/>
            <w:noProof/>
            <w:spacing w:val="-2"/>
          </w:rPr>
          <w:t xml:space="preserve"> </w:t>
        </w:r>
        <w:r w:rsidRPr="00B45C98">
          <w:rPr>
            <w:rStyle w:val="Hipervnculo"/>
            <w:rFonts w:asciiTheme="majorHAnsi" w:hAnsiTheme="majorHAnsi"/>
            <w:noProof/>
          </w:rPr>
          <w:t>Valores</w:t>
        </w:r>
        <w:r w:rsidRPr="00B45C98">
          <w:rPr>
            <w:rStyle w:val="Hipervnculo"/>
            <w:rFonts w:asciiTheme="majorHAnsi" w:hAnsiTheme="majorHAnsi"/>
            <w:noProof/>
            <w:spacing w:val="-4"/>
          </w:rPr>
          <w:t xml:space="preserve"> </w:t>
        </w:r>
        <w:r w:rsidRPr="00B45C98">
          <w:rPr>
            <w:rStyle w:val="Hipervnculo"/>
            <w:rFonts w:asciiTheme="majorHAnsi" w:hAnsiTheme="majorHAnsi"/>
            <w:noProof/>
          </w:rPr>
          <w:t>Recaudados</w:t>
        </w:r>
        <w:r w:rsidRPr="00B45C98">
          <w:rPr>
            <w:rStyle w:val="Hipervnculo"/>
            <w:rFonts w:asciiTheme="majorHAnsi" w:hAnsiTheme="majorHAnsi"/>
            <w:noProof/>
            <w:spacing w:val="-4"/>
          </w:rPr>
          <w:t xml:space="preserve"> </w:t>
        </w:r>
        <w:r w:rsidRPr="00B45C98">
          <w:rPr>
            <w:rStyle w:val="Hipervnculo"/>
            <w:rFonts w:asciiTheme="majorHAnsi" w:hAnsiTheme="majorHAnsi"/>
            <w:noProof/>
          </w:rPr>
          <w:t>cumplimento</w:t>
        </w:r>
        <w:r w:rsidRPr="00B45C98">
          <w:rPr>
            <w:rStyle w:val="Hipervnculo"/>
            <w:rFonts w:asciiTheme="majorHAnsi" w:hAnsiTheme="majorHAnsi"/>
            <w:noProof/>
            <w:spacing w:val="-5"/>
          </w:rPr>
          <w:t xml:space="preserve"> </w:t>
        </w:r>
        <w:r w:rsidRPr="00B45C98">
          <w:rPr>
            <w:rStyle w:val="Hipervnculo"/>
            <w:rFonts w:asciiTheme="majorHAnsi" w:hAnsiTheme="majorHAnsi"/>
            <w:noProof/>
          </w:rPr>
          <w:t>Ley</w:t>
        </w:r>
        <w:r w:rsidRPr="00B45C98">
          <w:rPr>
            <w:rStyle w:val="Hipervnculo"/>
            <w:rFonts w:asciiTheme="majorHAnsi" w:hAnsiTheme="majorHAnsi"/>
            <w:noProof/>
            <w:spacing w:val="-2"/>
          </w:rPr>
          <w:t xml:space="preserve"> </w:t>
        </w:r>
        <w:r w:rsidRPr="00B45C98">
          <w:rPr>
            <w:rStyle w:val="Hipervnculo"/>
            <w:rFonts w:asciiTheme="majorHAnsi" w:hAnsiTheme="majorHAnsi"/>
            <w:noProof/>
          </w:rPr>
          <w:t>de</w:t>
        </w:r>
        <w:r w:rsidRPr="00B45C98">
          <w:rPr>
            <w:rStyle w:val="Hipervnculo"/>
            <w:rFonts w:asciiTheme="majorHAnsi" w:hAnsiTheme="majorHAnsi"/>
            <w:noProof/>
            <w:spacing w:val="-5"/>
          </w:rPr>
          <w:t xml:space="preserve"> </w:t>
        </w:r>
        <w:r w:rsidRPr="00B45C98">
          <w:rPr>
            <w:rStyle w:val="Hipervnculo"/>
            <w:rFonts w:asciiTheme="majorHAnsi" w:hAnsiTheme="majorHAnsi"/>
            <w:noProof/>
            <w:spacing w:val="-2"/>
          </w:rPr>
          <w:t>Hidrocarburos</w:t>
        </w:r>
        <w:r>
          <w:rPr>
            <w:noProof/>
            <w:webHidden/>
          </w:rPr>
          <w:tab/>
        </w:r>
        <w:r>
          <w:rPr>
            <w:noProof/>
            <w:webHidden/>
          </w:rPr>
          <w:fldChar w:fldCharType="begin"/>
        </w:r>
        <w:r>
          <w:rPr>
            <w:noProof/>
            <w:webHidden/>
          </w:rPr>
          <w:instrText xml:space="preserve"> PAGEREF _Toc199759680 \h </w:instrText>
        </w:r>
        <w:r>
          <w:rPr>
            <w:noProof/>
            <w:webHidden/>
          </w:rPr>
        </w:r>
        <w:r>
          <w:rPr>
            <w:noProof/>
            <w:webHidden/>
          </w:rPr>
          <w:fldChar w:fldCharType="separate"/>
        </w:r>
        <w:r>
          <w:rPr>
            <w:noProof/>
            <w:webHidden/>
          </w:rPr>
          <w:t>33</w:t>
        </w:r>
        <w:r>
          <w:rPr>
            <w:noProof/>
            <w:webHidden/>
          </w:rPr>
          <w:fldChar w:fldCharType="end"/>
        </w:r>
      </w:hyperlink>
    </w:p>
    <w:p w14:paraId="2ECED836" w14:textId="21C871F2"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81" w:history="1">
        <w:r w:rsidRPr="00B45C98">
          <w:rPr>
            <w:rStyle w:val="Hipervnculo"/>
            <w:rFonts w:asciiTheme="majorHAnsi" w:hAnsiTheme="majorHAnsi" w:cstheme="majorHAnsi"/>
            <w:noProof/>
          </w:rPr>
          <w:t>Tabla 11: Número de Sujetos de Control de Transporte Terrestre Emitidos el Control Anual</w:t>
        </w:r>
        <w:r>
          <w:rPr>
            <w:noProof/>
            <w:webHidden/>
          </w:rPr>
          <w:tab/>
        </w:r>
        <w:r>
          <w:rPr>
            <w:noProof/>
            <w:webHidden/>
          </w:rPr>
          <w:fldChar w:fldCharType="begin"/>
        </w:r>
        <w:r>
          <w:rPr>
            <w:noProof/>
            <w:webHidden/>
          </w:rPr>
          <w:instrText xml:space="preserve"> PAGEREF _Toc199759681 \h </w:instrText>
        </w:r>
        <w:r>
          <w:rPr>
            <w:noProof/>
            <w:webHidden/>
          </w:rPr>
        </w:r>
        <w:r>
          <w:rPr>
            <w:noProof/>
            <w:webHidden/>
          </w:rPr>
          <w:fldChar w:fldCharType="separate"/>
        </w:r>
        <w:r>
          <w:rPr>
            <w:noProof/>
            <w:webHidden/>
          </w:rPr>
          <w:t>34</w:t>
        </w:r>
        <w:r>
          <w:rPr>
            <w:noProof/>
            <w:webHidden/>
          </w:rPr>
          <w:fldChar w:fldCharType="end"/>
        </w:r>
      </w:hyperlink>
    </w:p>
    <w:p w14:paraId="50495500" w14:textId="70892492"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82" w:history="1">
        <w:r w:rsidRPr="00B45C98">
          <w:rPr>
            <w:rStyle w:val="Hipervnculo"/>
            <w:rFonts w:asciiTheme="majorHAnsi" w:hAnsiTheme="majorHAnsi" w:cstheme="majorHAnsi"/>
            <w:noProof/>
          </w:rPr>
          <w:t xml:space="preserve">Tabla 12: </w:t>
        </w:r>
        <w:r w:rsidRPr="00B45C98">
          <w:rPr>
            <w:rStyle w:val="Hipervnculo"/>
            <w:rFonts w:asciiTheme="majorHAnsi" w:hAnsiTheme="majorHAnsi" w:cstheme="majorHAnsi"/>
            <w:noProof/>
            <w:spacing w:val="-6"/>
          </w:rPr>
          <w:t xml:space="preserve"> </w:t>
        </w:r>
        <w:r w:rsidRPr="00B45C98">
          <w:rPr>
            <w:rStyle w:val="Hipervnculo"/>
            <w:rFonts w:asciiTheme="majorHAnsi" w:hAnsiTheme="majorHAnsi" w:cstheme="majorHAnsi"/>
            <w:noProof/>
            <w:spacing w:val="-2"/>
          </w:rPr>
          <w:t xml:space="preserve"> </w:t>
        </w:r>
        <w:r w:rsidRPr="00B45C98">
          <w:rPr>
            <w:rStyle w:val="Hipervnculo"/>
            <w:rFonts w:asciiTheme="majorHAnsi" w:hAnsiTheme="majorHAnsi" w:cstheme="majorHAnsi"/>
            <w:noProof/>
          </w:rPr>
          <w:t>Número de Ductos Emitidos el Control Anual</w:t>
        </w:r>
        <w:r>
          <w:rPr>
            <w:noProof/>
            <w:webHidden/>
          </w:rPr>
          <w:tab/>
        </w:r>
        <w:r>
          <w:rPr>
            <w:noProof/>
            <w:webHidden/>
          </w:rPr>
          <w:fldChar w:fldCharType="begin"/>
        </w:r>
        <w:r>
          <w:rPr>
            <w:noProof/>
            <w:webHidden/>
          </w:rPr>
          <w:instrText xml:space="preserve"> PAGEREF _Toc199759682 \h </w:instrText>
        </w:r>
        <w:r>
          <w:rPr>
            <w:noProof/>
            <w:webHidden/>
          </w:rPr>
        </w:r>
        <w:r>
          <w:rPr>
            <w:noProof/>
            <w:webHidden/>
          </w:rPr>
          <w:fldChar w:fldCharType="separate"/>
        </w:r>
        <w:r>
          <w:rPr>
            <w:noProof/>
            <w:webHidden/>
          </w:rPr>
          <w:t>34</w:t>
        </w:r>
        <w:r>
          <w:rPr>
            <w:noProof/>
            <w:webHidden/>
          </w:rPr>
          <w:fldChar w:fldCharType="end"/>
        </w:r>
      </w:hyperlink>
    </w:p>
    <w:p w14:paraId="284EC27C" w14:textId="5F0F9EE7"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83" w:history="1">
        <w:r w:rsidRPr="00B45C98">
          <w:rPr>
            <w:rStyle w:val="Hipervnculo"/>
            <w:rFonts w:asciiTheme="majorHAnsi" w:hAnsiTheme="majorHAnsi" w:cstheme="majorHAnsi"/>
            <w:noProof/>
          </w:rPr>
          <w:t>Tabla 13: Resultados Plan Estratégico Empresarial – Objetivo 2</w:t>
        </w:r>
        <w:r>
          <w:rPr>
            <w:noProof/>
            <w:webHidden/>
          </w:rPr>
          <w:tab/>
        </w:r>
        <w:r>
          <w:rPr>
            <w:noProof/>
            <w:webHidden/>
          </w:rPr>
          <w:fldChar w:fldCharType="begin"/>
        </w:r>
        <w:r>
          <w:rPr>
            <w:noProof/>
            <w:webHidden/>
          </w:rPr>
          <w:instrText xml:space="preserve"> PAGEREF _Toc199759683 \h </w:instrText>
        </w:r>
        <w:r>
          <w:rPr>
            <w:noProof/>
            <w:webHidden/>
          </w:rPr>
        </w:r>
        <w:r>
          <w:rPr>
            <w:noProof/>
            <w:webHidden/>
          </w:rPr>
          <w:fldChar w:fldCharType="separate"/>
        </w:r>
        <w:r>
          <w:rPr>
            <w:noProof/>
            <w:webHidden/>
          </w:rPr>
          <w:t>36</w:t>
        </w:r>
        <w:r>
          <w:rPr>
            <w:noProof/>
            <w:webHidden/>
          </w:rPr>
          <w:fldChar w:fldCharType="end"/>
        </w:r>
      </w:hyperlink>
    </w:p>
    <w:p w14:paraId="7087CE95" w14:textId="1672C1C5"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84" w:history="1">
        <w:r w:rsidRPr="00B45C98">
          <w:rPr>
            <w:rStyle w:val="Hipervnculo"/>
            <w:rFonts w:asciiTheme="majorHAnsi" w:hAnsiTheme="majorHAnsi" w:cstheme="majorHAnsi"/>
            <w:noProof/>
          </w:rPr>
          <w:t>Tabla 14: Resultados Plan Estratégico Empresarial – Objetivo 3</w:t>
        </w:r>
        <w:r>
          <w:rPr>
            <w:noProof/>
            <w:webHidden/>
          </w:rPr>
          <w:tab/>
        </w:r>
        <w:r>
          <w:rPr>
            <w:noProof/>
            <w:webHidden/>
          </w:rPr>
          <w:fldChar w:fldCharType="begin"/>
        </w:r>
        <w:r>
          <w:rPr>
            <w:noProof/>
            <w:webHidden/>
          </w:rPr>
          <w:instrText xml:space="preserve"> PAGEREF _Toc199759684 \h </w:instrText>
        </w:r>
        <w:r>
          <w:rPr>
            <w:noProof/>
            <w:webHidden/>
          </w:rPr>
        </w:r>
        <w:r>
          <w:rPr>
            <w:noProof/>
            <w:webHidden/>
          </w:rPr>
          <w:fldChar w:fldCharType="separate"/>
        </w:r>
        <w:r>
          <w:rPr>
            <w:noProof/>
            <w:webHidden/>
          </w:rPr>
          <w:t>36</w:t>
        </w:r>
        <w:r>
          <w:rPr>
            <w:noProof/>
            <w:webHidden/>
          </w:rPr>
          <w:fldChar w:fldCharType="end"/>
        </w:r>
      </w:hyperlink>
    </w:p>
    <w:p w14:paraId="250D2B88" w14:textId="09D7DB82"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85" w:history="1">
        <w:r w:rsidRPr="00B45C98">
          <w:rPr>
            <w:rStyle w:val="Hipervnculo"/>
            <w:rFonts w:asciiTheme="majorHAnsi" w:hAnsiTheme="majorHAnsi" w:cstheme="majorHAnsi"/>
            <w:noProof/>
          </w:rPr>
          <w:t>Tabla 15: Clasificación De Las Áreas En Trámite Para El Otorgamiento De Concesiones Mineras Bajo El Régimen Especial De Pequeña Minería Metálica</w:t>
        </w:r>
        <w:r>
          <w:rPr>
            <w:noProof/>
            <w:webHidden/>
          </w:rPr>
          <w:tab/>
        </w:r>
        <w:r>
          <w:rPr>
            <w:noProof/>
            <w:webHidden/>
          </w:rPr>
          <w:fldChar w:fldCharType="begin"/>
        </w:r>
        <w:r>
          <w:rPr>
            <w:noProof/>
            <w:webHidden/>
          </w:rPr>
          <w:instrText xml:space="preserve"> PAGEREF _Toc199759685 \h </w:instrText>
        </w:r>
        <w:r>
          <w:rPr>
            <w:noProof/>
            <w:webHidden/>
          </w:rPr>
        </w:r>
        <w:r>
          <w:rPr>
            <w:noProof/>
            <w:webHidden/>
          </w:rPr>
          <w:fldChar w:fldCharType="separate"/>
        </w:r>
        <w:r>
          <w:rPr>
            <w:noProof/>
            <w:webHidden/>
          </w:rPr>
          <w:t>50</w:t>
        </w:r>
        <w:r>
          <w:rPr>
            <w:noProof/>
            <w:webHidden/>
          </w:rPr>
          <w:fldChar w:fldCharType="end"/>
        </w:r>
      </w:hyperlink>
    </w:p>
    <w:p w14:paraId="054BCE8F" w14:textId="305F3E2A"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86" w:history="1">
        <w:r w:rsidRPr="00B45C98">
          <w:rPr>
            <w:rStyle w:val="Hipervnculo"/>
            <w:rFonts w:asciiTheme="majorHAnsi" w:hAnsiTheme="majorHAnsi" w:cstheme="majorHAnsi"/>
            <w:noProof/>
          </w:rPr>
          <w:t>Tabla 16: Áreas En Trámite Bajo El Régimen Especial De Pequeña Minería Metálica</w:t>
        </w:r>
        <w:r>
          <w:rPr>
            <w:noProof/>
            <w:webHidden/>
          </w:rPr>
          <w:tab/>
        </w:r>
        <w:r>
          <w:rPr>
            <w:noProof/>
            <w:webHidden/>
          </w:rPr>
          <w:fldChar w:fldCharType="begin"/>
        </w:r>
        <w:r>
          <w:rPr>
            <w:noProof/>
            <w:webHidden/>
          </w:rPr>
          <w:instrText xml:space="preserve"> PAGEREF _Toc199759686 \h </w:instrText>
        </w:r>
        <w:r>
          <w:rPr>
            <w:noProof/>
            <w:webHidden/>
          </w:rPr>
        </w:r>
        <w:r>
          <w:rPr>
            <w:noProof/>
            <w:webHidden/>
          </w:rPr>
          <w:fldChar w:fldCharType="separate"/>
        </w:r>
        <w:r>
          <w:rPr>
            <w:noProof/>
            <w:webHidden/>
          </w:rPr>
          <w:t>50</w:t>
        </w:r>
        <w:r>
          <w:rPr>
            <w:noProof/>
            <w:webHidden/>
          </w:rPr>
          <w:fldChar w:fldCharType="end"/>
        </w:r>
      </w:hyperlink>
    </w:p>
    <w:p w14:paraId="484008BC" w14:textId="58A3EB78"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87" w:history="1">
        <w:r w:rsidRPr="00B45C98">
          <w:rPr>
            <w:rStyle w:val="Hipervnculo"/>
            <w:rFonts w:asciiTheme="majorHAnsi" w:hAnsiTheme="majorHAnsi" w:cstheme="majorHAnsi"/>
            <w:noProof/>
          </w:rPr>
          <w:t>Tabla 17: Trámites Priorizados de Pequeña Minería Metálica</w:t>
        </w:r>
        <w:r>
          <w:rPr>
            <w:noProof/>
            <w:webHidden/>
          </w:rPr>
          <w:tab/>
        </w:r>
        <w:r>
          <w:rPr>
            <w:noProof/>
            <w:webHidden/>
          </w:rPr>
          <w:fldChar w:fldCharType="begin"/>
        </w:r>
        <w:r>
          <w:rPr>
            <w:noProof/>
            <w:webHidden/>
          </w:rPr>
          <w:instrText xml:space="preserve"> PAGEREF _Toc199759687 \h </w:instrText>
        </w:r>
        <w:r>
          <w:rPr>
            <w:noProof/>
            <w:webHidden/>
          </w:rPr>
        </w:r>
        <w:r>
          <w:rPr>
            <w:noProof/>
            <w:webHidden/>
          </w:rPr>
          <w:fldChar w:fldCharType="separate"/>
        </w:r>
        <w:r>
          <w:rPr>
            <w:noProof/>
            <w:webHidden/>
          </w:rPr>
          <w:t>51</w:t>
        </w:r>
        <w:r>
          <w:rPr>
            <w:noProof/>
            <w:webHidden/>
          </w:rPr>
          <w:fldChar w:fldCharType="end"/>
        </w:r>
      </w:hyperlink>
    </w:p>
    <w:p w14:paraId="5B9BE465" w14:textId="541CC25C"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88" w:history="1">
        <w:r w:rsidRPr="00B45C98">
          <w:rPr>
            <w:rStyle w:val="Hipervnculo"/>
            <w:rFonts w:asciiTheme="majorHAnsi" w:hAnsiTheme="majorHAnsi" w:cstheme="majorHAnsi"/>
            <w:noProof/>
          </w:rPr>
          <w:t>Tabla 18. Áreas Bajo El Régimen De Minería Artesanal</w:t>
        </w:r>
        <w:r>
          <w:rPr>
            <w:noProof/>
            <w:webHidden/>
          </w:rPr>
          <w:tab/>
        </w:r>
        <w:r>
          <w:rPr>
            <w:noProof/>
            <w:webHidden/>
          </w:rPr>
          <w:fldChar w:fldCharType="begin"/>
        </w:r>
        <w:r>
          <w:rPr>
            <w:noProof/>
            <w:webHidden/>
          </w:rPr>
          <w:instrText xml:space="preserve"> PAGEREF _Toc199759688 \h </w:instrText>
        </w:r>
        <w:r>
          <w:rPr>
            <w:noProof/>
            <w:webHidden/>
          </w:rPr>
        </w:r>
        <w:r>
          <w:rPr>
            <w:noProof/>
            <w:webHidden/>
          </w:rPr>
          <w:fldChar w:fldCharType="separate"/>
        </w:r>
        <w:r>
          <w:rPr>
            <w:noProof/>
            <w:webHidden/>
          </w:rPr>
          <w:t>52</w:t>
        </w:r>
        <w:r>
          <w:rPr>
            <w:noProof/>
            <w:webHidden/>
          </w:rPr>
          <w:fldChar w:fldCharType="end"/>
        </w:r>
      </w:hyperlink>
    </w:p>
    <w:p w14:paraId="0695D734" w14:textId="59358D9F"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89" w:history="1">
        <w:r w:rsidRPr="00B45C98">
          <w:rPr>
            <w:rStyle w:val="Hipervnculo"/>
            <w:rFonts w:asciiTheme="majorHAnsi" w:hAnsiTheme="majorHAnsi" w:cstheme="majorHAnsi"/>
            <w:noProof/>
          </w:rPr>
          <w:t>Tabla 19: Capacitaciones Realizadas En El Año 2024</w:t>
        </w:r>
        <w:r>
          <w:rPr>
            <w:noProof/>
            <w:webHidden/>
          </w:rPr>
          <w:tab/>
        </w:r>
        <w:r>
          <w:rPr>
            <w:noProof/>
            <w:webHidden/>
          </w:rPr>
          <w:fldChar w:fldCharType="begin"/>
        </w:r>
        <w:r>
          <w:rPr>
            <w:noProof/>
            <w:webHidden/>
          </w:rPr>
          <w:instrText xml:space="preserve"> PAGEREF _Toc199759689 \h </w:instrText>
        </w:r>
        <w:r>
          <w:rPr>
            <w:noProof/>
            <w:webHidden/>
          </w:rPr>
        </w:r>
        <w:r>
          <w:rPr>
            <w:noProof/>
            <w:webHidden/>
          </w:rPr>
          <w:fldChar w:fldCharType="separate"/>
        </w:r>
        <w:r>
          <w:rPr>
            <w:noProof/>
            <w:webHidden/>
          </w:rPr>
          <w:t>54</w:t>
        </w:r>
        <w:r>
          <w:rPr>
            <w:noProof/>
            <w:webHidden/>
          </w:rPr>
          <w:fldChar w:fldCharType="end"/>
        </w:r>
      </w:hyperlink>
    </w:p>
    <w:p w14:paraId="3D6D9792" w14:textId="51E1DDEC"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90" w:history="1">
        <w:r w:rsidRPr="00B45C98">
          <w:rPr>
            <w:rStyle w:val="Hipervnculo"/>
            <w:rFonts w:asciiTheme="majorHAnsi" w:hAnsiTheme="majorHAnsi" w:cstheme="majorHAnsi"/>
            <w:noProof/>
          </w:rPr>
          <w:t>Tabla 20: Solicitudes de Informes de Admisibilidad Atendidas</w:t>
        </w:r>
        <w:r>
          <w:rPr>
            <w:noProof/>
            <w:webHidden/>
          </w:rPr>
          <w:tab/>
        </w:r>
        <w:r>
          <w:rPr>
            <w:noProof/>
            <w:webHidden/>
          </w:rPr>
          <w:fldChar w:fldCharType="begin"/>
        </w:r>
        <w:r>
          <w:rPr>
            <w:noProof/>
            <w:webHidden/>
          </w:rPr>
          <w:instrText xml:space="preserve"> PAGEREF _Toc199759690 \h </w:instrText>
        </w:r>
        <w:r>
          <w:rPr>
            <w:noProof/>
            <w:webHidden/>
          </w:rPr>
        </w:r>
        <w:r>
          <w:rPr>
            <w:noProof/>
            <w:webHidden/>
          </w:rPr>
          <w:fldChar w:fldCharType="separate"/>
        </w:r>
        <w:r>
          <w:rPr>
            <w:noProof/>
            <w:webHidden/>
          </w:rPr>
          <w:t>54</w:t>
        </w:r>
        <w:r>
          <w:rPr>
            <w:noProof/>
            <w:webHidden/>
          </w:rPr>
          <w:fldChar w:fldCharType="end"/>
        </w:r>
      </w:hyperlink>
    </w:p>
    <w:p w14:paraId="305C7FED" w14:textId="2F15E9EA"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91" w:history="1">
        <w:r w:rsidRPr="00B45C98">
          <w:rPr>
            <w:rStyle w:val="Hipervnculo"/>
            <w:rFonts w:asciiTheme="majorHAnsi" w:hAnsiTheme="majorHAnsi"/>
            <w:noProof/>
          </w:rPr>
          <w:t>Tabla 21: Productos Alcanzados 2024 - DLPR</w:t>
        </w:r>
        <w:r>
          <w:rPr>
            <w:noProof/>
            <w:webHidden/>
          </w:rPr>
          <w:tab/>
        </w:r>
        <w:r>
          <w:rPr>
            <w:noProof/>
            <w:webHidden/>
          </w:rPr>
          <w:fldChar w:fldCharType="begin"/>
        </w:r>
        <w:r>
          <w:rPr>
            <w:noProof/>
            <w:webHidden/>
          </w:rPr>
          <w:instrText xml:space="preserve"> PAGEREF _Toc199759691 \h </w:instrText>
        </w:r>
        <w:r>
          <w:rPr>
            <w:noProof/>
            <w:webHidden/>
          </w:rPr>
        </w:r>
        <w:r>
          <w:rPr>
            <w:noProof/>
            <w:webHidden/>
          </w:rPr>
          <w:fldChar w:fldCharType="separate"/>
        </w:r>
        <w:r>
          <w:rPr>
            <w:noProof/>
            <w:webHidden/>
          </w:rPr>
          <w:t>58</w:t>
        </w:r>
        <w:r>
          <w:rPr>
            <w:noProof/>
            <w:webHidden/>
          </w:rPr>
          <w:fldChar w:fldCharType="end"/>
        </w:r>
      </w:hyperlink>
    </w:p>
    <w:p w14:paraId="67A4704D" w14:textId="0984D0BF"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92" w:history="1">
        <w:r w:rsidRPr="00B45C98">
          <w:rPr>
            <w:rStyle w:val="Hipervnculo"/>
            <w:rFonts w:asciiTheme="majorHAnsi" w:hAnsiTheme="majorHAnsi"/>
            <w:noProof/>
          </w:rPr>
          <w:t>Tabla 22: Productos Alcanzados 2024 - DANCT</w:t>
        </w:r>
        <w:r>
          <w:rPr>
            <w:noProof/>
            <w:webHidden/>
          </w:rPr>
          <w:tab/>
        </w:r>
        <w:r>
          <w:rPr>
            <w:noProof/>
            <w:webHidden/>
          </w:rPr>
          <w:fldChar w:fldCharType="begin"/>
        </w:r>
        <w:r>
          <w:rPr>
            <w:noProof/>
            <w:webHidden/>
          </w:rPr>
          <w:instrText xml:space="preserve"> PAGEREF _Toc199759692 \h </w:instrText>
        </w:r>
        <w:r>
          <w:rPr>
            <w:noProof/>
            <w:webHidden/>
          </w:rPr>
        </w:r>
        <w:r>
          <w:rPr>
            <w:noProof/>
            <w:webHidden/>
          </w:rPr>
          <w:fldChar w:fldCharType="separate"/>
        </w:r>
        <w:r>
          <w:rPr>
            <w:noProof/>
            <w:webHidden/>
          </w:rPr>
          <w:t>59</w:t>
        </w:r>
        <w:r>
          <w:rPr>
            <w:noProof/>
            <w:webHidden/>
          </w:rPr>
          <w:fldChar w:fldCharType="end"/>
        </w:r>
      </w:hyperlink>
    </w:p>
    <w:p w14:paraId="2A752592" w14:textId="44CFD197"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93" w:history="1">
        <w:r w:rsidRPr="00B45C98">
          <w:rPr>
            <w:rStyle w:val="Hipervnculo"/>
            <w:rFonts w:asciiTheme="majorHAnsi" w:hAnsiTheme="majorHAnsi" w:cstheme="majorHAnsi"/>
            <w:noProof/>
          </w:rPr>
          <w:t>Tabla 23: Información proyectos de generación en ejecución – CELEC EP</w:t>
        </w:r>
        <w:r>
          <w:rPr>
            <w:noProof/>
            <w:webHidden/>
          </w:rPr>
          <w:tab/>
        </w:r>
        <w:r>
          <w:rPr>
            <w:noProof/>
            <w:webHidden/>
          </w:rPr>
          <w:fldChar w:fldCharType="begin"/>
        </w:r>
        <w:r>
          <w:rPr>
            <w:noProof/>
            <w:webHidden/>
          </w:rPr>
          <w:instrText xml:space="preserve"> PAGEREF _Toc199759693 \h </w:instrText>
        </w:r>
        <w:r>
          <w:rPr>
            <w:noProof/>
            <w:webHidden/>
          </w:rPr>
        </w:r>
        <w:r>
          <w:rPr>
            <w:noProof/>
            <w:webHidden/>
          </w:rPr>
          <w:fldChar w:fldCharType="separate"/>
        </w:r>
        <w:r>
          <w:rPr>
            <w:noProof/>
            <w:webHidden/>
          </w:rPr>
          <w:t>62</w:t>
        </w:r>
        <w:r>
          <w:rPr>
            <w:noProof/>
            <w:webHidden/>
          </w:rPr>
          <w:fldChar w:fldCharType="end"/>
        </w:r>
      </w:hyperlink>
    </w:p>
    <w:p w14:paraId="6B2F2595" w14:textId="20532B3D"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94" w:history="1">
        <w:r w:rsidRPr="00B45C98">
          <w:rPr>
            <w:rStyle w:val="Hipervnculo"/>
            <w:rFonts w:asciiTheme="majorHAnsi" w:hAnsiTheme="majorHAnsi"/>
            <w:noProof/>
          </w:rPr>
          <w:t>Tabla 24: Contrataciones a cargo del VEER</w:t>
        </w:r>
        <w:r>
          <w:rPr>
            <w:noProof/>
            <w:webHidden/>
          </w:rPr>
          <w:tab/>
        </w:r>
        <w:r>
          <w:rPr>
            <w:noProof/>
            <w:webHidden/>
          </w:rPr>
          <w:fldChar w:fldCharType="begin"/>
        </w:r>
        <w:r>
          <w:rPr>
            <w:noProof/>
            <w:webHidden/>
          </w:rPr>
          <w:instrText xml:space="preserve"> PAGEREF _Toc199759694 \h </w:instrText>
        </w:r>
        <w:r>
          <w:rPr>
            <w:noProof/>
            <w:webHidden/>
          </w:rPr>
        </w:r>
        <w:r>
          <w:rPr>
            <w:noProof/>
            <w:webHidden/>
          </w:rPr>
          <w:fldChar w:fldCharType="separate"/>
        </w:r>
        <w:r>
          <w:rPr>
            <w:noProof/>
            <w:webHidden/>
          </w:rPr>
          <w:t>63</w:t>
        </w:r>
        <w:r>
          <w:rPr>
            <w:noProof/>
            <w:webHidden/>
          </w:rPr>
          <w:fldChar w:fldCharType="end"/>
        </w:r>
      </w:hyperlink>
    </w:p>
    <w:p w14:paraId="0AC1B347" w14:textId="43E03DCA"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95" w:history="1">
        <w:r w:rsidRPr="00B45C98">
          <w:rPr>
            <w:rStyle w:val="Hipervnculo"/>
            <w:rFonts w:asciiTheme="majorHAnsi" w:hAnsiTheme="majorHAnsi" w:cstheme="majorHAnsi"/>
            <w:noProof/>
          </w:rPr>
          <w:t>Tabla 25:  Programas de Transmisión</w:t>
        </w:r>
        <w:r>
          <w:rPr>
            <w:noProof/>
            <w:webHidden/>
          </w:rPr>
          <w:tab/>
        </w:r>
        <w:r>
          <w:rPr>
            <w:noProof/>
            <w:webHidden/>
          </w:rPr>
          <w:fldChar w:fldCharType="begin"/>
        </w:r>
        <w:r>
          <w:rPr>
            <w:noProof/>
            <w:webHidden/>
          </w:rPr>
          <w:instrText xml:space="preserve"> PAGEREF _Toc199759695 \h </w:instrText>
        </w:r>
        <w:r>
          <w:rPr>
            <w:noProof/>
            <w:webHidden/>
          </w:rPr>
        </w:r>
        <w:r>
          <w:rPr>
            <w:noProof/>
            <w:webHidden/>
          </w:rPr>
          <w:fldChar w:fldCharType="separate"/>
        </w:r>
        <w:r>
          <w:rPr>
            <w:noProof/>
            <w:webHidden/>
          </w:rPr>
          <w:t>63</w:t>
        </w:r>
        <w:r>
          <w:rPr>
            <w:noProof/>
            <w:webHidden/>
          </w:rPr>
          <w:fldChar w:fldCharType="end"/>
        </w:r>
      </w:hyperlink>
    </w:p>
    <w:p w14:paraId="44075EDE" w14:textId="33E71CCB"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96" w:history="1">
        <w:r w:rsidRPr="00B45C98">
          <w:rPr>
            <w:rStyle w:val="Hipervnculo"/>
            <w:rFonts w:asciiTheme="majorHAnsi" w:hAnsiTheme="majorHAnsi" w:cstheme="majorHAnsi"/>
            <w:noProof/>
          </w:rPr>
          <w:t>Tabla 26:  Infraestructura S.N.I. y No incorporado</w:t>
        </w:r>
        <w:r>
          <w:rPr>
            <w:noProof/>
            <w:webHidden/>
          </w:rPr>
          <w:tab/>
        </w:r>
        <w:r>
          <w:rPr>
            <w:noProof/>
            <w:webHidden/>
          </w:rPr>
          <w:fldChar w:fldCharType="begin"/>
        </w:r>
        <w:r>
          <w:rPr>
            <w:noProof/>
            <w:webHidden/>
          </w:rPr>
          <w:instrText xml:space="preserve"> PAGEREF _Toc199759696 \h </w:instrText>
        </w:r>
        <w:r>
          <w:rPr>
            <w:noProof/>
            <w:webHidden/>
          </w:rPr>
        </w:r>
        <w:r>
          <w:rPr>
            <w:noProof/>
            <w:webHidden/>
          </w:rPr>
          <w:fldChar w:fldCharType="separate"/>
        </w:r>
        <w:r>
          <w:rPr>
            <w:noProof/>
            <w:webHidden/>
          </w:rPr>
          <w:t>64</w:t>
        </w:r>
        <w:r>
          <w:rPr>
            <w:noProof/>
            <w:webHidden/>
          </w:rPr>
          <w:fldChar w:fldCharType="end"/>
        </w:r>
      </w:hyperlink>
    </w:p>
    <w:p w14:paraId="69CF4DB4" w14:textId="06D9229C"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97" w:history="1">
        <w:r w:rsidRPr="00B45C98">
          <w:rPr>
            <w:rStyle w:val="Hipervnculo"/>
            <w:rFonts w:asciiTheme="majorHAnsi" w:hAnsiTheme="majorHAnsi"/>
            <w:noProof/>
          </w:rPr>
          <w:t>Tabla 27: Transacciones comerciales de la demanda 2023 2024</w:t>
        </w:r>
        <w:r>
          <w:rPr>
            <w:noProof/>
            <w:webHidden/>
          </w:rPr>
          <w:tab/>
        </w:r>
        <w:r>
          <w:rPr>
            <w:noProof/>
            <w:webHidden/>
          </w:rPr>
          <w:fldChar w:fldCharType="begin"/>
        </w:r>
        <w:r>
          <w:rPr>
            <w:noProof/>
            <w:webHidden/>
          </w:rPr>
          <w:instrText xml:space="preserve"> PAGEREF _Toc199759697 \h </w:instrText>
        </w:r>
        <w:r>
          <w:rPr>
            <w:noProof/>
            <w:webHidden/>
          </w:rPr>
        </w:r>
        <w:r>
          <w:rPr>
            <w:noProof/>
            <w:webHidden/>
          </w:rPr>
          <w:fldChar w:fldCharType="separate"/>
        </w:r>
        <w:r>
          <w:rPr>
            <w:noProof/>
            <w:webHidden/>
          </w:rPr>
          <w:t>67</w:t>
        </w:r>
        <w:r>
          <w:rPr>
            <w:noProof/>
            <w:webHidden/>
          </w:rPr>
          <w:fldChar w:fldCharType="end"/>
        </w:r>
      </w:hyperlink>
    </w:p>
    <w:p w14:paraId="50E4D12D" w14:textId="50406DF0"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98" w:history="1">
        <w:r w:rsidRPr="00B45C98">
          <w:rPr>
            <w:rStyle w:val="Hipervnculo"/>
            <w:rFonts w:asciiTheme="majorHAnsi" w:hAnsiTheme="majorHAnsi" w:cstheme="majorHAnsi"/>
            <w:noProof/>
          </w:rPr>
          <w:t>Tabla 28: Indicadores de Gestión 2024</w:t>
        </w:r>
        <w:r>
          <w:rPr>
            <w:noProof/>
            <w:webHidden/>
          </w:rPr>
          <w:tab/>
        </w:r>
        <w:r>
          <w:rPr>
            <w:noProof/>
            <w:webHidden/>
          </w:rPr>
          <w:fldChar w:fldCharType="begin"/>
        </w:r>
        <w:r>
          <w:rPr>
            <w:noProof/>
            <w:webHidden/>
          </w:rPr>
          <w:instrText xml:space="preserve"> PAGEREF _Toc199759698 \h </w:instrText>
        </w:r>
        <w:r>
          <w:rPr>
            <w:noProof/>
            <w:webHidden/>
          </w:rPr>
        </w:r>
        <w:r>
          <w:rPr>
            <w:noProof/>
            <w:webHidden/>
          </w:rPr>
          <w:fldChar w:fldCharType="separate"/>
        </w:r>
        <w:r>
          <w:rPr>
            <w:noProof/>
            <w:webHidden/>
          </w:rPr>
          <w:t>68</w:t>
        </w:r>
        <w:r>
          <w:rPr>
            <w:noProof/>
            <w:webHidden/>
          </w:rPr>
          <w:fldChar w:fldCharType="end"/>
        </w:r>
      </w:hyperlink>
    </w:p>
    <w:p w14:paraId="75397C91" w14:textId="6DD7413D"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699" w:history="1">
        <w:r w:rsidRPr="00B45C98">
          <w:rPr>
            <w:rStyle w:val="Hipervnculo"/>
            <w:rFonts w:asciiTheme="majorHAnsi" w:hAnsiTheme="majorHAnsi" w:cstheme="majorHAnsi"/>
            <w:noProof/>
          </w:rPr>
          <w:t>Tabla 29: Indicadores de cartera año 2023 vs cartera año 2024</w:t>
        </w:r>
        <w:r>
          <w:rPr>
            <w:noProof/>
            <w:webHidden/>
          </w:rPr>
          <w:tab/>
        </w:r>
        <w:r>
          <w:rPr>
            <w:noProof/>
            <w:webHidden/>
          </w:rPr>
          <w:fldChar w:fldCharType="begin"/>
        </w:r>
        <w:r>
          <w:rPr>
            <w:noProof/>
            <w:webHidden/>
          </w:rPr>
          <w:instrText xml:space="preserve"> PAGEREF _Toc199759699 \h </w:instrText>
        </w:r>
        <w:r>
          <w:rPr>
            <w:noProof/>
            <w:webHidden/>
          </w:rPr>
        </w:r>
        <w:r>
          <w:rPr>
            <w:noProof/>
            <w:webHidden/>
          </w:rPr>
          <w:fldChar w:fldCharType="separate"/>
        </w:r>
        <w:r>
          <w:rPr>
            <w:noProof/>
            <w:webHidden/>
          </w:rPr>
          <w:t>68</w:t>
        </w:r>
        <w:r>
          <w:rPr>
            <w:noProof/>
            <w:webHidden/>
          </w:rPr>
          <w:fldChar w:fldCharType="end"/>
        </w:r>
      </w:hyperlink>
    </w:p>
    <w:p w14:paraId="396CC2FC" w14:textId="189F8891"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700" w:history="1">
        <w:r w:rsidRPr="00B45C98">
          <w:rPr>
            <w:rStyle w:val="Hipervnculo"/>
            <w:rFonts w:asciiTheme="majorHAnsi" w:hAnsiTheme="majorHAnsi" w:cstheme="majorHAnsi"/>
            <w:noProof/>
          </w:rPr>
          <w:t>Tabla 30: Indicador comercial de ELECAUSTRO 2023 vs 2024</w:t>
        </w:r>
        <w:r>
          <w:rPr>
            <w:noProof/>
            <w:webHidden/>
          </w:rPr>
          <w:tab/>
        </w:r>
        <w:r>
          <w:rPr>
            <w:noProof/>
            <w:webHidden/>
          </w:rPr>
          <w:fldChar w:fldCharType="begin"/>
        </w:r>
        <w:r>
          <w:rPr>
            <w:noProof/>
            <w:webHidden/>
          </w:rPr>
          <w:instrText xml:space="preserve"> PAGEREF _Toc199759700 \h </w:instrText>
        </w:r>
        <w:r>
          <w:rPr>
            <w:noProof/>
            <w:webHidden/>
          </w:rPr>
        </w:r>
        <w:r>
          <w:rPr>
            <w:noProof/>
            <w:webHidden/>
          </w:rPr>
          <w:fldChar w:fldCharType="separate"/>
        </w:r>
        <w:r>
          <w:rPr>
            <w:noProof/>
            <w:webHidden/>
          </w:rPr>
          <w:t>69</w:t>
        </w:r>
        <w:r>
          <w:rPr>
            <w:noProof/>
            <w:webHidden/>
          </w:rPr>
          <w:fldChar w:fldCharType="end"/>
        </w:r>
      </w:hyperlink>
    </w:p>
    <w:p w14:paraId="1C80FE36" w14:textId="314B1359"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701" w:history="1">
        <w:r w:rsidRPr="00B45C98">
          <w:rPr>
            <w:rStyle w:val="Hipervnculo"/>
            <w:rFonts w:asciiTheme="majorHAnsi" w:hAnsiTheme="majorHAnsi" w:cstheme="majorHAnsi"/>
            <w:noProof/>
          </w:rPr>
          <w:t>Tabla 31: Saldo por convenio de liquidez firmado con el MEF</w:t>
        </w:r>
        <w:r>
          <w:rPr>
            <w:noProof/>
            <w:webHidden/>
          </w:rPr>
          <w:tab/>
        </w:r>
        <w:r>
          <w:rPr>
            <w:noProof/>
            <w:webHidden/>
          </w:rPr>
          <w:fldChar w:fldCharType="begin"/>
        </w:r>
        <w:r>
          <w:rPr>
            <w:noProof/>
            <w:webHidden/>
          </w:rPr>
          <w:instrText xml:space="preserve"> PAGEREF _Toc199759701 \h </w:instrText>
        </w:r>
        <w:r>
          <w:rPr>
            <w:noProof/>
            <w:webHidden/>
          </w:rPr>
        </w:r>
        <w:r>
          <w:rPr>
            <w:noProof/>
            <w:webHidden/>
          </w:rPr>
          <w:fldChar w:fldCharType="separate"/>
        </w:r>
        <w:r>
          <w:rPr>
            <w:noProof/>
            <w:webHidden/>
          </w:rPr>
          <w:t>70</w:t>
        </w:r>
        <w:r>
          <w:rPr>
            <w:noProof/>
            <w:webHidden/>
          </w:rPr>
          <w:fldChar w:fldCharType="end"/>
        </w:r>
      </w:hyperlink>
    </w:p>
    <w:p w14:paraId="1BA52E18" w14:textId="6912A892"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702" w:history="1">
        <w:r w:rsidRPr="00B45C98">
          <w:rPr>
            <w:rStyle w:val="Hipervnculo"/>
            <w:rFonts w:asciiTheme="majorHAnsi" w:hAnsiTheme="majorHAnsi" w:cstheme="majorHAnsi"/>
            <w:noProof/>
          </w:rPr>
          <w:t>Tabla 32: Inversión recursos propios etapas de Subtransmisión - Distribución – SAPG</w:t>
        </w:r>
        <w:r>
          <w:rPr>
            <w:noProof/>
            <w:webHidden/>
          </w:rPr>
          <w:tab/>
        </w:r>
        <w:r>
          <w:rPr>
            <w:noProof/>
            <w:webHidden/>
          </w:rPr>
          <w:fldChar w:fldCharType="begin"/>
        </w:r>
        <w:r>
          <w:rPr>
            <w:noProof/>
            <w:webHidden/>
          </w:rPr>
          <w:instrText xml:space="preserve"> PAGEREF _Toc199759702 \h </w:instrText>
        </w:r>
        <w:r>
          <w:rPr>
            <w:noProof/>
            <w:webHidden/>
          </w:rPr>
        </w:r>
        <w:r>
          <w:rPr>
            <w:noProof/>
            <w:webHidden/>
          </w:rPr>
          <w:fldChar w:fldCharType="separate"/>
        </w:r>
        <w:r>
          <w:rPr>
            <w:noProof/>
            <w:webHidden/>
          </w:rPr>
          <w:t>72</w:t>
        </w:r>
        <w:r>
          <w:rPr>
            <w:noProof/>
            <w:webHidden/>
          </w:rPr>
          <w:fldChar w:fldCharType="end"/>
        </w:r>
      </w:hyperlink>
    </w:p>
    <w:p w14:paraId="2AE60558" w14:textId="571828F6"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703" w:history="1">
        <w:r w:rsidRPr="00B45C98">
          <w:rPr>
            <w:rStyle w:val="Hipervnculo"/>
            <w:rFonts w:asciiTheme="majorHAnsi" w:hAnsiTheme="majorHAnsi" w:cstheme="majorHAnsi"/>
            <w:noProof/>
          </w:rPr>
          <w:t>Tabla 33: Inversión de Planes de Distribución</w:t>
        </w:r>
        <w:r>
          <w:rPr>
            <w:noProof/>
            <w:webHidden/>
          </w:rPr>
          <w:tab/>
        </w:r>
        <w:r>
          <w:rPr>
            <w:noProof/>
            <w:webHidden/>
          </w:rPr>
          <w:fldChar w:fldCharType="begin"/>
        </w:r>
        <w:r>
          <w:rPr>
            <w:noProof/>
            <w:webHidden/>
          </w:rPr>
          <w:instrText xml:space="preserve"> PAGEREF _Toc199759703 \h </w:instrText>
        </w:r>
        <w:r>
          <w:rPr>
            <w:noProof/>
            <w:webHidden/>
          </w:rPr>
        </w:r>
        <w:r>
          <w:rPr>
            <w:noProof/>
            <w:webHidden/>
          </w:rPr>
          <w:fldChar w:fldCharType="separate"/>
        </w:r>
        <w:r>
          <w:rPr>
            <w:noProof/>
            <w:webHidden/>
          </w:rPr>
          <w:t>72</w:t>
        </w:r>
        <w:r>
          <w:rPr>
            <w:noProof/>
            <w:webHidden/>
          </w:rPr>
          <w:fldChar w:fldCharType="end"/>
        </w:r>
      </w:hyperlink>
    </w:p>
    <w:p w14:paraId="5567C467" w14:textId="67D6BB9B"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704" w:history="1">
        <w:r w:rsidRPr="00B45C98">
          <w:rPr>
            <w:rStyle w:val="Hipervnculo"/>
            <w:rFonts w:asciiTheme="majorHAnsi" w:hAnsiTheme="majorHAnsi" w:cstheme="majorHAnsi"/>
            <w:noProof/>
          </w:rPr>
          <w:t>Tabla 34: Resumen de capacidad OA y capacidad máxima instalada en subestaciones eléctricas conectadas en sistemas de distribución, con corte a diciembre de 2024</w:t>
        </w:r>
        <w:r>
          <w:rPr>
            <w:noProof/>
            <w:webHidden/>
          </w:rPr>
          <w:tab/>
        </w:r>
        <w:r>
          <w:rPr>
            <w:noProof/>
            <w:webHidden/>
          </w:rPr>
          <w:fldChar w:fldCharType="begin"/>
        </w:r>
        <w:r>
          <w:rPr>
            <w:noProof/>
            <w:webHidden/>
          </w:rPr>
          <w:instrText xml:space="preserve"> PAGEREF _Toc199759704 \h </w:instrText>
        </w:r>
        <w:r>
          <w:rPr>
            <w:noProof/>
            <w:webHidden/>
          </w:rPr>
        </w:r>
        <w:r>
          <w:rPr>
            <w:noProof/>
            <w:webHidden/>
          </w:rPr>
          <w:fldChar w:fldCharType="separate"/>
        </w:r>
        <w:r>
          <w:rPr>
            <w:noProof/>
            <w:webHidden/>
          </w:rPr>
          <w:t>73</w:t>
        </w:r>
        <w:r>
          <w:rPr>
            <w:noProof/>
            <w:webHidden/>
          </w:rPr>
          <w:fldChar w:fldCharType="end"/>
        </w:r>
      </w:hyperlink>
    </w:p>
    <w:p w14:paraId="08E68F8B" w14:textId="297DFE99"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705" w:history="1">
        <w:r w:rsidRPr="00B45C98">
          <w:rPr>
            <w:rStyle w:val="Hipervnculo"/>
            <w:rFonts w:asciiTheme="majorHAnsi" w:hAnsiTheme="majorHAnsi" w:cstheme="majorHAnsi"/>
            <w:noProof/>
          </w:rPr>
          <w:t>Tabla 35: Cantidad de solicitudes ingresadas por Empresa Eléctrica de Distribución</w:t>
        </w:r>
        <w:r>
          <w:rPr>
            <w:noProof/>
            <w:webHidden/>
          </w:rPr>
          <w:tab/>
        </w:r>
        <w:r>
          <w:rPr>
            <w:noProof/>
            <w:webHidden/>
          </w:rPr>
          <w:fldChar w:fldCharType="begin"/>
        </w:r>
        <w:r>
          <w:rPr>
            <w:noProof/>
            <w:webHidden/>
          </w:rPr>
          <w:instrText xml:space="preserve"> PAGEREF _Toc199759705 \h </w:instrText>
        </w:r>
        <w:r>
          <w:rPr>
            <w:noProof/>
            <w:webHidden/>
          </w:rPr>
        </w:r>
        <w:r>
          <w:rPr>
            <w:noProof/>
            <w:webHidden/>
          </w:rPr>
          <w:fldChar w:fldCharType="separate"/>
        </w:r>
        <w:r>
          <w:rPr>
            <w:noProof/>
            <w:webHidden/>
          </w:rPr>
          <w:t>74</w:t>
        </w:r>
        <w:r>
          <w:rPr>
            <w:noProof/>
            <w:webHidden/>
          </w:rPr>
          <w:fldChar w:fldCharType="end"/>
        </w:r>
      </w:hyperlink>
    </w:p>
    <w:p w14:paraId="101D7F19" w14:textId="30C30BA4"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706" w:history="1">
        <w:r w:rsidRPr="00B45C98">
          <w:rPr>
            <w:rStyle w:val="Hipervnculo"/>
            <w:rFonts w:asciiTheme="majorHAnsi" w:hAnsiTheme="majorHAnsi" w:cstheme="majorHAnsi"/>
            <w:noProof/>
          </w:rPr>
          <w:t>Tabla 36: Reducción consumo energético y potencia de clientes en Media Tensión y AV1</w:t>
        </w:r>
        <w:r>
          <w:rPr>
            <w:noProof/>
            <w:webHidden/>
          </w:rPr>
          <w:tab/>
        </w:r>
        <w:r>
          <w:rPr>
            <w:noProof/>
            <w:webHidden/>
          </w:rPr>
          <w:fldChar w:fldCharType="begin"/>
        </w:r>
        <w:r>
          <w:rPr>
            <w:noProof/>
            <w:webHidden/>
          </w:rPr>
          <w:instrText xml:space="preserve"> PAGEREF _Toc199759706 \h </w:instrText>
        </w:r>
        <w:r>
          <w:rPr>
            <w:noProof/>
            <w:webHidden/>
          </w:rPr>
        </w:r>
        <w:r>
          <w:rPr>
            <w:noProof/>
            <w:webHidden/>
          </w:rPr>
          <w:fldChar w:fldCharType="separate"/>
        </w:r>
        <w:r>
          <w:rPr>
            <w:noProof/>
            <w:webHidden/>
          </w:rPr>
          <w:t>75</w:t>
        </w:r>
        <w:r>
          <w:rPr>
            <w:noProof/>
            <w:webHidden/>
          </w:rPr>
          <w:fldChar w:fldCharType="end"/>
        </w:r>
      </w:hyperlink>
    </w:p>
    <w:p w14:paraId="56A18D04" w14:textId="64D667B9" w:rsidR="005241FC" w:rsidRDefault="005241FC">
      <w:pPr>
        <w:pStyle w:val="Tabladeilustraciones"/>
        <w:tabs>
          <w:tab w:val="right" w:leader="dot" w:pos="8494"/>
        </w:tabs>
        <w:rPr>
          <w:rFonts w:asciiTheme="minorHAnsi" w:eastAsiaTheme="minorEastAsia" w:hAnsiTheme="minorHAnsi" w:cstheme="minorBidi"/>
          <w:noProof/>
          <w:lang w:eastAsia="es-EC"/>
        </w:rPr>
      </w:pPr>
      <w:hyperlink w:anchor="_Toc199759707" w:history="1">
        <w:r w:rsidRPr="00B45C98">
          <w:rPr>
            <w:rStyle w:val="Hipervnculo"/>
            <w:rFonts w:asciiTheme="majorHAnsi" w:hAnsiTheme="majorHAnsi" w:cstheme="majorHAnsi"/>
            <w:noProof/>
          </w:rPr>
          <w:t>Tabla 37: Trámites de Regularización y control ante la Autoridad Ambiental Nacional</w:t>
        </w:r>
        <w:r>
          <w:rPr>
            <w:noProof/>
            <w:webHidden/>
          </w:rPr>
          <w:tab/>
        </w:r>
        <w:r>
          <w:rPr>
            <w:noProof/>
            <w:webHidden/>
          </w:rPr>
          <w:fldChar w:fldCharType="begin"/>
        </w:r>
        <w:r>
          <w:rPr>
            <w:noProof/>
            <w:webHidden/>
          </w:rPr>
          <w:instrText xml:space="preserve"> PAGEREF _Toc199759707 \h </w:instrText>
        </w:r>
        <w:r>
          <w:rPr>
            <w:noProof/>
            <w:webHidden/>
          </w:rPr>
        </w:r>
        <w:r>
          <w:rPr>
            <w:noProof/>
            <w:webHidden/>
          </w:rPr>
          <w:fldChar w:fldCharType="separate"/>
        </w:r>
        <w:r>
          <w:rPr>
            <w:noProof/>
            <w:webHidden/>
          </w:rPr>
          <w:t>83</w:t>
        </w:r>
        <w:r>
          <w:rPr>
            <w:noProof/>
            <w:webHidden/>
          </w:rPr>
          <w:fldChar w:fldCharType="end"/>
        </w:r>
      </w:hyperlink>
    </w:p>
    <w:p w14:paraId="69127646" w14:textId="56287850" w:rsidR="00C06F03" w:rsidRPr="00220287" w:rsidRDefault="00EA3742" w:rsidP="00C06F03">
      <w:pPr>
        <w:pStyle w:val="Textoindependiente"/>
      </w:pPr>
      <w:r>
        <w:fldChar w:fldCharType="end"/>
      </w:r>
      <w:bookmarkStart w:id="1" w:name="_GoBack"/>
      <w:bookmarkEnd w:id="1"/>
    </w:p>
    <w:p w14:paraId="136D36A9" w14:textId="6975D36D" w:rsidR="001C665C" w:rsidRPr="001C665C" w:rsidRDefault="00C06F03" w:rsidP="00001CA3">
      <w:pPr>
        <w:pStyle w:val="Ttulo2"/>
        <w:rPr>
          <w:lang w:val="es-ES" w:eastAsia="es-EC"/>
        </w:rPr>
      </w:pPr>
      <w:bookmarkStart w:id="2" w:name="_Toc199759536"/>
      <w:r w:rsidRPr="00220287">
        <w:rPr>
          <w:lang w:val="es-ES" w:eastAsia="es-EC"/>
        </w:rPr>
        <w:t>Índice de figuras</w:t>
      </w:r>
      <w:bookmarkEnd w:id="2"/>
    </w:p>
    <w:p w14:paraId="38B9B33D" w14:textId="0D59D8A6" w:rsidR="00467BB4" w:rsidRDefault="00E7589F">
      <w:pPr>
        <w:pStyle w:val="Tabladeilustraciones"/>
        <w:tabs>
          <w:tab w:val="right" w:leader="dot" w:pos="8494"/>
        </w:tabs>
        <w:rPr>
          <w:rFonts w:asciiTheme="minorHAnsi" w:eastAsiaTheme="minorEastAsia" w:hAnsiTheme="minorHAnsi" w:cstheme="minorBidi"/>
          <w:noProof/>
          <w:lang w:eastAsia="es-EC"/>
        </w:rPr>
      </w:pPr>
      <w:r>
        <w:rPr>
          <w:lang w:val="es-ES" w:eastAsia="es-EC"/>
        </w:rPr>
        <w:fldChar w:fldCharType="begin"/>
      </w:r>
      <w:r>
        <w:rPr>
          <w:lang w:val="es-ES" w:eastAsia="es-EC"/>
        </w:rPr>
        <w:instrText xml:space="preserve"> TOC \h \z \c "Figura" </w:instrText>
      </w:r>
      <w:r>
        <w:rPr>
          <w:lang w:val="es-ES" w:eastAsia="es-EC"/>
        </w:rPr>
        <w:fldChar w:fldCharType="separate"/>
      </w:r>
      <w:hyperlink w:anchor="_Toc199757544" w:history="1">
        <w:r w:rsidR="00467BB4" w:rsidRPr="002A0B8D">
          <w:rPr>
            <w:rStyle w:val="Hipervnculo"/>
            <w:rFonts w:asciiTheme="majorHAnsi" w:hAnsiTheme="majorHAnsi" w:cstheme="majorHAnsi"/>
            <w:noProof/>
          </w:rPr>
          <w:t>Figura 1: Procesos de contratación pública</w:t>
        </w:r>
        <w:r w:rsidR="00467BB4">
          <w:rPr>
            <w:noProof/>
            <w:webHidden/>
          </w:rPr>
          <w:tab/>
        </w:r>
        <w:r w:rsidR="00467BB4">
          <w:rPr>
            <w:noProof/>
            <w:webHidden/>
          </w:rPr>
          <w:fldChar w:fldCharType="begin"/>
        </w:r>
        <w:r w:rsidR="00467BB4">
          <w:rPr>
            <w:noProof/>
            <w:webHidden/>
          </w:rPr>
          <w:instrText xml:space="preserve"> PAGEREF _Toc199757544 \h </w:instrText>
        </w:r>
        <w:r w:rsidR="00467BB4">
          <w:rPr>
            <w:noProof/>
            <w:webHidden/>
          </w:rPr>
        </w:r>
        <w:r w:rsidR="00467BB4">
          <w:rPr>
            <w:noProof/>
            <w:webHidden/>
          </w:rPr>
          <w:fldChar w:fldCharType="separate"/>
        </w:r>
        <w:r w:rsidR="00467BB4">
          <w:rPr>
            <w:noProof/>
            <w:webHidden/>
          </w:rPr>
          <w:t>12</w:t>
        </w:r>
        <w:r w:rsidR="00467BB4">
          <w:rPr>
            <w:noProof/>
            <w:webHidden/>
          </w:rPr>
          <w:fldChar w:fldCharType="end"/>
        </w:r>
      </w:hyperlink>
    </w:p>
    <w:p w14:paraId="471DFE1B" w14:textId="3B25634F"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45" w:history="1">
        <w:r w:rsidRPr="002A0B8D">
          <w:rPr>
            <w:rStyle w:val="Hipervnculo"/>
            <w:rFonts w:asciiTheme="majorHAnsi" w:hAnsiTheme="majorHAnsi" w:cstheme="majorHAnsi"/>
            <w:noProof/>
          </w:rPr>
          <w:t>Figura 2: Balanza Comercial Hidrocarburífera, período 2024</w:t>
        </w:r>
        <w:r>
          <w:rPr>
            <w:noProof/>
            <w:webHidden/>
          </w:rPr>
          <w:tab/>
        </w:r>
        <w:r>
          <w:rPr>
            <w:noProof/>
            <w:webHidden/>
          </w:rPr>
          <w:fldChar w:fldCharType="begin"/>
        </w:r>
        <w:r>
          <w:rPr>
            <w:noProof/>
            <w:webHidden/>
          </w:rPr>
          <w:instrText xml:space="preserve"> PAGEREF _Toc199757545 \h </w:instrText>
        </w:r>
        <w:r>
          <w:rPr>
            <w:noProof/>
            <w:webHidden/>
          </w:rPr>
        </w:r>
        <w:r>
          <w:rPr>
            <w:noProof/>
            <w:webHidden/>
          </w:rPr>
          <w:fldChar w:fldCharType="separate"/>
        </w:r>
        <w:r>
          <w:rPr>
            <w:noProof/>
            <w:webHidden/>
          </w:rPr>
          <w:t>19</w:t>
        </w:r>
        <w:r>
          <w:rPr>
            <w:noProof/>
            <w:webHidden/>
          </w:rPr>
          <w:fldChar w:fldCharType="end"/>
        </w:r>
      </w:hyperlink>
    </w:p>
    <w:p w14:paraId="64AA2E91" w14:textId="508E1853"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46" w:history="1">
        <w:r w:rsidRPr="002A0B8D">
          <w:rPr>
            <w:rStyle w:val="Hipervnculo"/>
            <w:rFonts w:asciiTheme="majorHAnsi" w:hAnsiTheme="majorHAnsi" w:cstheme="majorHAnsi"/>
            <w:noProof/>
          </w:rPr>
          <w:t>Figura 3: Producción de petróleo crudo de campo, período 2024</w:t>
        </w:r>
        <w:r>
          <w:rPr>
            <w:noProof/>
            <w:webHidden/>
          </w:rPr>
          <w:tab/>
        </w:r>
        <w:r>
          <w:rPr>
            <w:noProof/>
            <w:webHidden/>
          </w:rPr>
          <w:fldChar w:fldCharType="begin"/>
        </w:r>
        <w:r>
          <w:rPr>
            <w:noProof/>
            <w:webHidden/>
          </w:rPr>
          <w:instrText xml:space="preserve"> PAGEREF _Toc199757546 \h </w:instrText>
        </w:r>
        <w:r>
          <w:rPr>
            <w:noProof/>
            <w:webHidden/>
          </w:rPr>
        </w:r>
        <w:r>
          <w:rPr>
            <w:noProof/>
            <w:webHidden/>
          </w:rPr>
          <w:fldChar w:fldCharType="separate"/>
        </w:r>
        <w:r>
          <w:rPr>
            <w:noProof/>
            <w:webHidden/>
          </w:rPr>
          <w:t>20</w:t>
        </w:r>
        <w:r>
          <w:rPr>
            <w:noProof/>
            <w:webHidden/>
          </w:rPr>
          <w:fldChar w:fldCharType="end"/>
        </w:r>
      </w:hyperlink>
    </w:p>
    <w:p w14:paraId="6FC96BEE" w14:textId="39FD8345"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47" w:history="1">
        <w:r w:rsidRPr="002A0B8D">
          <w:rPr>
            <w:rStyle w:val="Hipervnculo"/>
            <w:rFonts w:asciiTheme="majorHAnsi" w:hAnsiTheme="majorHAnsi" w:cstheme="majorHAnsi"/>
            <w:noProof/>
          </w:rPr>
          <w:t>Figura 4: Exportaciones de crudo, período 2024</w:t>
        </w:r>
        <w:r>
          <w:rPr>
            <w:noProof/>
            <w:webHidden/>
          </w:rPr>
          <w:tab/>
        </w:r>
        <w:r>
          <w:rPr>
            <w:noProof/>
            <w:webHidden/>
          </w:rPr>
          <w:fldChar w:fldCharType="begin"/>
        </w:r>
        <w:r>
          <w:rPr>
            <w:noProof/>
            <w:webHidden/>
          </w:rPr>
          <w:instrText xml:space="preserve"> PAGEREF _Toc199757547 \h </w:instrText>
        </w:r>
        <w:r>
          <w:rPr>
            <w:noProof/>
            <w:webHidden/>
          </w:rPr>
        </w:r>
        <w:r>
          <w:rPr>
            <w:noProof/>
            <w:webHidden/>
          </w:rPr>
          <w:fldChar w:fldCharType="separate"/>
        </w:r>
        <w:r>
          <w:rPr>
            <w:noProof/>
            <w:webHidden/>
          </w:rPr>
          <w:t>20</w:t>
        </w:r>
        <w:r>
          <w:rPr>
            <w:noProof/>
            <w:webHidden/>
          </w:rPr>
          <w:fldChar w:fldCharType="end"/>
        </w:r>
      </w:hyperlink>
    </w:p>
    <w:p w14:paraId="1D3E81F3" w14:textId="3245187F"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48" w:history="1">
        <w:r w:rsidRPr="002A0B8D">
          <w:rPr>
            <w:rStyle w:val="Hipervnculo"/>
            <w:rFonts w:asciiTheme="majorHAnsi" w:hAnsiTheme="majorHAnsi" w:cstheme="majorHAnsi"/>
            <w:noProof/>
          </w:rPr>
          <w:t>Figura 5: Potencial Hidrocarburífero del Ecuador – Cifras estimadas con cierre al 31 de diciembre de 2024</w:t>
        </w:r>
        <w:r>
          <w:rPr>
            <w:noProof/>
            <w:webHidden/>
          </w:rPr>
          <w:tab/>
        </w:r>
        <w:r>
          <w:rPr>
            <w:noProof/>
            <w:webHidden/>
          </w:rPr>
          <w:fldChar w:fldCharType="begin"/>
        </w:r>
        <w:r>
          <w:rPr>
            <w:noProof/>
            <w:webHidden/>
          </w:rPr>
          <w:instrText xml:space="preserve"> PAGEREF _Toc199757548 \h </w:instrText>
        </w:r>
        <w:r>
          <w:rPr>
            <w:noProof/>
            <w:webHidden/>
          </w:rPr>
        </w:r>
        <w:r>
          <w:rPr>
            <w:noProof/>
            <w:webHidden/>
          </w:rPr>
          <w:fldChar w:fldCharType="separate"/>
        </w:r>
        <w:r>
          <w:rPr>
            <w:noProof/>
            <w:webHidden/>
          </w:rPr>
          <w:t>21</w:t>
        </w:r>
        <w:r>
          <w:rPr>
            <w:noProof/>
            <w:webHidden/>
          </w:rPr>
          <w:fldChar w:fldCharType="end"/>
        </w:r>
      </w:hyperlink>
    </w:p>
    <w:p w14:paraId="020BFDC1" w14:textId="21063C14"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49" w:history="1">
        <w:r w:rsidRPr="002A0B8D">
          <w:rPr>
            <w:rStyle w:val="Hipervnculo"/>
            <w:rFonts w:asciiTheme="majorHAnsi" w:hAnsiTheme="majorHAnsi" w:cstheme="majorHAnsi"/>
            <w:noProof/>
          </w:rPr>
          <w:t>Figura 6: Total Pozos Perforados año 2024</w:t>
        </w:r>
        <w:r>
          <w:rPr>
            <w:noProof/>
            <w:webHidden/>
          </w:rPr>
          <w:tab/>
        </w:r>
        <w:r>
          <w:rPr>
            <w:noProof/>
            <w:webHidden/>
          </w:rPr>
          <w:fldChar w:fldCharType="begin"/>
        </w:r>
        <w:r>
          <w:rPr>
            <w:noProof/>
            <w:webHidden/>
          </w:rPr>
          <w:instrText xml:space="preserve"> PAGEREF _Toc199757549 \h </w:instrText>
        </w:r>
        <w:r>
          <w:rPr>
            <w:noProof/>
            <w:webHidden/>
          </w:rPr>
        </w:r>
        <w:r>
          <w:rPr>
            <w:noProof/>
            <w:webHidden/>
          </w:rPr>
          <w:fldChar w:fldCharType="separate"/>
        </w:r>
        <w:r>
          <w:rPr>
            <w:noProof/>
            <w:webHidden/>
          </w:rPr>
          <w:t>22</w:t>
        </w:r>
        <w:r>
          <w:rPr>
            <w:noProof/>
            <w:webHidden/>
          </w:rPr>
          <w:fldChar w:fldCharType="end"/>
        </w:r>
      </w:hyperlink>
    </w:p>
    <w:p w14:paraId="21128A9D" w14:textId="47B26FE5"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50" w:history="1">
        <w:r w:rsidRPr="002A0B8D">
          <w:rPr>
            <w:rStyle w:val="Hipervnculo"/>
            <w:rFonts w:asciiTheme="majorHAnsi" w:hAnsiTheme="majorHAnsi" w:cstheme="majorHAnsi"/>
            <w:noProof/>
          </w:rPr>
          <w:t>Figura 7:  Total Pozos Perforados Ronda Intracampos I2024</w:t>
        </w:r>
        <w:r>
          <w:rPr>
            <w:noProof/>
            <w:webHidden/>
          </w:rPr>
          <w:tab/>
        </w:r>
        <w:r>
          <w:rPr>
            <w:noProof/>
            <w:webHidden/>
          </w:rPr>
          <w:fldChar w:fldCharType="begin"/>
        </w:r>
        <w:r>
          <w:rPr>
            <w:noProof/>
            <w:webHidden/>
          </w:rPr>
          <w:instrText xml:space="preserve"> PAGEREF _Toc199757550 \h </w:instrText>
        </w:r>
        <w:r>
          <w:rPr>
            <w:noProof/>
            <w:webHidden/>
          </w:rPr>
        </w:r>
        <w:r>
          <w:rPr>
            <w:noProof/>
            <w:webHidden/>
          </w:rPr>
          <w:fldChar w:fldCharType="separate"/>
        </w:r>
        <w:r>
          <w:rPr>
            <w:noProof/>
            <w:webHidden/>
          </w:rPr>
          <w:t>22</w:t>
        </w:r>
        <w:r>
          <w:rPr>
            <w:noProof/>
            <w:webHidden/>
          </w:rPr>
          <w:fldChar w:fldCharType="end"/>
        </w:r>
      </w:hyperlink>
    </w:p>
    <w:p w14:paraId="5F5C7709" w14:textId="317676F3"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51" w:history="1">
        <w:r w:rsidRPr="002A0B8D">
          <w:rPr>
            <w:rStyle w:val="Hipervnculo"/>
            <w:rFonts w:asciiTheme="majorHAnsi" w:hAnsiTheme="majorHAnsi" w:cstheme="majorHAnsi"/>
            <w:noProof/>
          </w:rPr>
          <w:t>Figura 8: Producción Nacional Empresa Pública y Empresas Privadas año 2024</w:t>
        </w:r>
        <w:r>
          <w:rPr>
            <w:noProof/>
            <w:webHidden/>
          </w:rPr>
          <w:tab/>
        </w:r>
        <w:r>
          <w:rPr>
            <w:noProof/>
            <w:webHidden/>
          </w:rPr>
          <w:fldChar w:fldCharType="begin"/>
        </w:r>
        <w:r>
          <w:rPr>
            <w:noProof/>
            <w:webHidden/>
          </w:rPr>
          <w:instrText xml:space="preserve"> PAGEREF _Toc199757551 \h </w:instrText>
        </w:r>
        <w:r>
          <w:rPr>
            <w:noProof/>
            <w:webHidden/>
          </w:rPr>
        </w:r>
        <w:r>
          <w:rPr>
            <w:noProof/>
            <w:webHidden/>
          </w:rPr>
          <w:fldChar w:fldCharType="separate"/>
        </w:r>
        <w:r>
          <w:rPr>
            <w:noProof/>
            <w:webHidden/>
          </w:rPr>
          <w:t>23</w:t>
        </w:r>
        <w:r>
          <w:rPr>
            <w:noProof/>
            <w:webHidden/>
          </w:rPr>
          <w:fldChar w:fldCharType="end"/>
        </w:r>
      </w:hyperlink>
    </w:p>
    <w:p w14:paraId="794F887B" w14:textId="3D8FC59C"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52" w:history="1">
        <w:r w:rsidRPr="002A0B8D">
          <w:rPr>
            <w:rStyle w:val="Hipervnculo"/>
            <w:rFonts w:asciiTheme="majorHAnsi" w:hAnsiTheme="majorHAnsi" w:cstheme="majorHAnsi"/>
            <w:noProof/>
          </w:rPr>
          <w:t>Figura 9: Trámites Atendidos año 2024 - SEEPGN</w:t>
        </w:r>
        <w:r>
          <w:rPr>
            <w:noProof/>
            <w:webHidden/>
          </w:rPr>
          <w:tab/>
        </w:r>
        <w:r>
          <w:rPr>
            <w:noProof/>
            <w:webHidden/>
          </w:rPr>
          <w:fldChar w:fldCharType="begin"/>
        </w:r>
        <w:r>
          <w:rPr>
            <w:noProof/>
            <w:webHidden/>
          </w:rPr>
          <w:instrText xml:space="preserve"> PAGEREF _Toc199757552 \h </w:instrText>
        </w:r>
        <w:r>
          <w:rPr>
            <w:noProof/>
            <w:webHidden/>
          </w:rPr>
        </w:r>
        <w:r>
          <w:rPr>
            <w:noProof/>
            <w:webHidden/>
          </w:rPr>
          <w:fldChar w:fldCharType="separate"/>
        </w:r>
        <w:r>
          <w:rPr>
            <w:noProof/>
            <w:webHidden/>
          </w:rPr>
          <w:t>24</w:t>
        </w:r>
        <w:r>
          <w:rPr>
            <w:noProof/>
            <w:webHidden/>
          </w:rPr>
          <w:fldChar w:fldCharType="end"/>
        </w:r>
      </w:hyperlink>
    </w:p>
    <w:p w14:paraId="7B33CC51" w14:textId="10C19A94"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53" w:history="1">
        <w:r w:rsidRPr="002A0B8D">
          <w:rPr>
            <w:rStyle w:val="Hipervnculo"/>
            <w:rFonts w:asciiTheme="majorHAnsi" w:hAnsiTheme="majorHAnsi" w:cstheme="majorHAnsi"/>
            <w:noProof/>
          </w:rPr>
          <w:t>Figura 10: Cargas</w:t>
        </w:r>
        <w:r w:rsidRPr="002A0B8D">
          <w:rPr>
            <w:rStyle w:val="Hipervnculo"/>
            <w:rFonts w:asciiTheme="majorHAnsi" w:hAnsiTheme="majorHAnsi" w:cstheme="majorHAnsi"/>
            <w:noProof/>
            <w:spacing w:val="-4"/>
          </w:rPr>
          <w:t xml:space="preserve"> </w:t>
        </w:r>
        <w:r w:rsidRPr="002A0B8D">
          <w:rPr>
            <w:rStyle w:val="Hipervnculo"/>
            <w:rFonts w:asciiTheme="majorHAnsi" w:hAnsiTheme="majorHAnsi" w:cstheme="majorHAnsi"/>
            <w:noProof/>
          </w:rPr>
          <w:t>a</w:t>
        </w:r>
        <w:r w:rsidRPr="002A0B8D">
          <w:rPr>
            <w:rStyle w:val="Hipervnculo"/>
            <w:rFonts w:asciiTheme="majorHAnsi" w:hAnsiTheme="majorHAnsi" w:cstheme="majorHAnsi"/>
            <w:noProof/>
            <w:spacing w:val="-6"/>
          </w:rPr>
          <w:t xml:space="preserve"> </w:t>
        </w:r>
        <w:r w:rsidRPr="002A0B8D">
          <w:rPr>
            <w:rStyle w:val="Hipervnculo"/>
            <w:rFonts w:asciiTheme="majorHAnsi" w:hAnsiTheme="majorHAnsi" w:cstheme="majorHAnsi"/>
            <w:noProof/>
          </w:rPr>
          <w:t>refinerías</w:t>
        </w:r>
        <w:r w:rsidRPr="002A0B8D">
          <w:rPr>
            <w:rStyle w:val="Hipervnculo"/>
            <w:rFonts w:asciiTheme="majorHAnsi" w:hAnsiTheme="majorHAnsi" w:cstheme="majorHAnsi"/>
            <w:noProof/>
            <w:spacing w:val="-4"/>
          </w:rPr>
          <w:t xml:space="preserve"> 2024</w:t>
        </w:r>
        <w:r>
          <w:rPr>
            <w:noProof/>
            <w:webHidden/>
          </w:rPr>
          <w:tab/>
        </w:r>
        <w:r>
          <w:rPr>
            <w:noProof/>
            <w:webHidden/>
          </w:rPr>
          <w:fldChar w:fldCharType="begin"/>
        </w:r>
        <w:r>
          <w:rPr>
            <w:noProof/>
            <w:webHidden/>
          </w:rPr>
          <w:instrText xml:space="preserve"> PAGEREF _Toc199757553 \h </w:instrText>
        </w:r>
        <w:r>
          <w:rPr>
            <w:noProof/>
            <w:webHidden/>
          </w:rPr>
        </w:r>
        <w:r>
          <w:rPr>
            <w:noProof/>
            <w:webHidden/>
          </w:rPr>
          <w:fldChar w:fldCharType="separate"/>
        </w:r>
        <w:r>
          <w:rPr>
            <w:noProof/>
            <w:webHidden/>
          </w:rPr>
          <w:t>26</w:t>
        </w:r>
        <w:r>
          <w:rPr>
            <w:noProof/>
            <w:webHidden/>
          </w:rPr>
          <w:fldChar w:fldCharType="end"/>
        </w:r>
      </w:hyperlink>
    </w:p>
    <w:p w14:paraId="0D324686" w14:textId="36E2AAFF"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54" w:history="1">
        <w:r w:rsidRPr="002A0B8D">
          <w:rPr>
            <w:rStyle w:val="Hipervnculo"/>
            <w:rFonts w:asciiTheme="majorHAnsi" w:hAnsiTheme="majorHAnsi" w:cstheme="majorHAnsi"/>
            <w:noProof/>
          </w:rPr>
          <w:t>Figura 11: Cargas</w:t>
        </w:r>
        <w:r w:rsidRPr="002A0B8D">
          <w:rPr>
            <w:rStyle w:val="Hipervnculo"/>
            <w:rFonts w:asciiTheme="majorHAnsi" w:hAnsiTheme="majorHAnsi" w:cstheme="majorHAnsi"/>
            <w:noProof/>
            <w:spacing w:val="-4"/>
          </w:rPr>
          <w:t xml:space="preserve"> </w:t>
        </w:r>
        <w:r w:rsidRPr="002A0B8D">
          <w:rPr>
            <w:rStyle w:val="Hipervnculo"/>
            <w:rFonts w:asciiTheme="majorHAnsi" w:hAnsiTheme="majorHAnsi" w:cstheme="majorHAnsi"/>
            <w:noProof/>
            <w:spacing w:val="-3"/>
          </w:rPr>
          <w:t>a</w:t>
        </w:r>
        <w:r w:rsidRPr="002A0B8D">
          <w:rPr>
            <w:rStyle w:val="Hipervnculo"/>
            <w:rFonts w:asciiTheme="majorHAnsi" w:hAnsiTheme="majorHAnsi" w:cstheme="majorHAnsi"/>
            <w:noProof/>
            <w:spacing w:val="-6"/>
          </w:rPr>
          <w:t xml:space="preserve"> </w:t>
        </w:r>
        <w:r w:rsidRPr="002A0B8D">
          <w:rPr>
            <w:rStyle w:val="Hipervnculo"/>
            <w:rFonts w:asciiTheme="majorHAnsi" w:hAnsiTheme="majorHAnsi" w:cstheme="majorHAnsi"/>
            <w:noProof/>
          </w:rPr>
          <w:t>plantas</w:t>
        </w:r>
        <w:r w:rsidRPr="002A0B8D">
          <w:rPr>
            <w:rStyle w:val="Hipervnculo"/>
            <w:rFonts w:asciiTheme="majorHAnsi" w:hAnsiTheme="majorHAnsi" w:cstheme="majorHAnsi"/>
            <w:noProof/>
            <w:spacing w:val="-5"/>
          </w:rPr>
          <w:t xml:space="preserve"> </w:t>
        </w:r>
        <w:r w:rsidRPr="002A0B8D">
          <w:rPr>
            <w:rStyle w:val="Hipervnculo"/>
            <w:rFonts w:asciiTheme="majorHAnsi" w:hAnsiTheme="majorHAnsi" w:cstheme="majorHAnsi"/>
            <w:noProof/>
          </w:rPr>
          <w:t>de</w:t>
        </w:r>
        <w:r w:rsidRPr="002A0B8D">
          <w:rPr>
            <w:rStyle w:val="Hipervnculo"/>
            <w:rFonts w:asciiTheme="majorHAnsi" w:hAnsiTheme="majorHAnsi" w:cstheme="majorHAnsi"/>
            <w:noProof/>
            <w:spacing w:val="-3"/>
          </w:rPr>
          <w:t xml:space="preserve"> </w:t>
        </w:r>
        <w:r w:rsidRPr="002A0B8D">
          <w:rPr>
            <w:rStyle w:val="Hipervnculo"/>
            <w:rFonts w:asciiTheme="majorHAnsi" w:hAnsiTheme="majorHAnsi" w:cstheme="majorHAnsi"/>
            <w:noProof/>
          </w:rPr>
          <w:t>gas</w:t>
        </w:r>
        <w:r w:rsidRPr="002A0B8D">
          <w:rPr>
            <w:rStyle w:val="Hipervnculo"/>
            <w:rFonts w:asciiTheme="majorHAnsi" w:hAnsiTheme="majorHAnsi" w:cstheme="majorHAnsi"/>
            <w:noProof/>
            <w:spacing w:val="-5"/>
          </w:rPr>
          <w:t xml:space="preserve"> </w:t>
        </w:r>
        <w:r w:rsidRPr="002A0B8D">
          <w:rPr>
            <w:rStyle w:val="Hipervnculo"/>
            <w:rFonts w:asciiTheme="majorHAnsi" w:hAnsiTheme="majorHAnsi" w:cstheme="majorHAnsi"/>
            <w:noProof/>
            <w:spacing w:val="-4"/>
          </w:rPr>
          <w:t>2024</w:t>
        </w:r>
        <w:r>
          <w:rPr>
            <w:noProof/>
            <w:webHidden/>
          </w:rPr>
          <w:tab/>
        </w:r>
        <w:r>
          <w:rPr>
            <w:noProof/>
            <w:webHidden/>
          </w:rPr>
          <w:fldChar w:fldCharType="begin"/>
        </w:r>
        <w:r>
          <w:rPr>
            <w:noProof/>
            <w:webHidden/>
          </w:rPr>
          <w:instrText xml:space="preserve"> PAGEREF _Toc199757554 \h </w:instrText>
        </w:r>
        <w:r>
          <w:rPr>
            <w:noProof/>
            <w:webHidden/>
          </w:rPr>
        </w:r>
        <w:r>
          <w:rPr>
            <w:noProof/>
            <w:webHidden/>
          </w:rPr>
          <w:fldChar w:fldCharType="separate"/>
        </w:r>
        <w:r>
          <w:rPr>
            <w:noProof/>
            <w:webHidden/>
          </w:rPr>
          <w:t>27</w:t>
        </w:r>
        <w:r>
          <w:rPr>
            <w:noProof/>
            <w:webHidden/>
          </w:rPr>
          <w:fldChar w:fldCharType="end"/>
        </w:r>
      </w:hyperlink>
    </w:p>
    <w:p w14:paraId="5CC84956" w14:textId="3A9E8356" w:rsidR="00467BB4" w:rsidRDefault="00467BB4">
      <w:pPr>
        <w:pStyle w:val="Tabladeilustraciones"/>
        <w:tabs>
          <w:tab w:val="right" w:leader="dot" w:pos="8494"/>
        </w:tabs>
        <w:rPr>
          <w:rFonts w:asciiTheme="minorHAnsi" w:eastAsiaTheme="minorEastAsia" w:hAnsiTheme="minorHAnsi" w:cstheme="minorBidi"/>
          <w:noProof/>
          <w:lang w:eastAsia="es-EC"/>
        </w:rPr>
      </w:pPr>
      <w:hyperlink r:id="rId8" w:anchor="_Toc199757555" w:history="1">
        <w:r w:rsidRPr="002A0B8D">
          <w:rPr>
            <w:rStyle w:val="Hipervnculo"/>
            <w:rFonts w:asciiTheme="majorHAnsi" w:hAnsiTheme="majorHAnsi"/>
            <w:noProof/>
          </w:rPr>
          <w:t>Figura 12: Balanza Comercial Hidrocarburífera, período 2024</w:t>
        </w:r>
        <w:r>
          <w:rPr>
            <w:noProof/>
            <w:webHidden/>
          </w:rPr>
          <w:tab/>
        </w:r>
        <w:r>
          <w:rPr>
            <w:noProof/>
            <w:webHidden/>
          </w:rPr>
          <w:fldChar w:fldCharType="begin"/>
        </w:r>
        <w:r>
          <w:rPr>
            <w:noProof/>
            <w:webHidden/>
          </w:rPr>
          <w:instrText xml:space="preserve"> PAGEREF _Toc199757555 \h </w:instrText>
        </w:r>
        <w:r>
          <w:rPr>
            <w:noProof/>
            <w:webHidden/>
          </w:rPr>
        </w:r>
        <w:r>
          <w:rPr>
            <w:noProof/>
            <w:webHidden/>
          </w:rPr>
          <w:fldChar w:fldCharType="separate"/>
        </w:r>
        <w:r>
          <w:rPr>
            <w:noProof/>
            <w:webHidden/>
          </w:rPr>
          <w:t>27</w:t>
        </w:r>
        <w:r>
          <w:rPr>
            <w:noProof/>
            <w:webHidden/>
          </w:rPr>
          <w:fldChar w:fldCharType="end"/>
        </w:r>
      </w:hyperlink>
    </w:p>
    <w:p w14:paraId="0AB24D19" w14:textId="3147CD31" w:rsidR="00467BB4" w:rsidRDefault="00467BB4">
      <w:pPr>
        <w:pStyle w:val="Tabladeilustraciones"/>
        <w:tabs>
          <w:tab w:val="right" w:leader="dot" w:pos="8494"/>
        </w:tabs>
        <w:rPr>
          <w:rFonts w:asciiTheme="minorHAnsi" w:eastAsiaTheme="minorEastAsia" w:hAnsiTheme="minorHAnsi" w:cstheme="minorBidi"/>
          <w:noProof/>
          <w:lang w:eastAsia="es-EC"/>
        </w:rPr>
      </w:pPr>
      <w:hyperlink r:id="rId9" w:anchor="_Toc199757556" w:history="1">
        <w:r w:rsidRPr="002A0B8D">
          <w:rPr>
            <w:rStyle w:val="Hipervnculo"/>
            <w:rFonts w:asciiTheme="majorHAnsi" w:hAnsiTheme="majorHAnsi"/>
            <w:noProof/>
          </w:rPr>
          <w:t>Figura 13: Transporte de derivados de petróleo por poliductos</w:t>
        </w:r>
        <w:r>
          <w:rPr>
            <w:noProof/>
            <w:webHidden/>
          </w:rPr>
          <w:tab/>
        </w:r>
        <w:r>
          <w:rPr>
            <w:noProof/>
            <w:webHidden/>
          </w:rPr>
          <w:fldChar w:fldCharType="begin"/>
        </w:r>
        <w:r>
          <w:rPr>
            <w:noProof/>
            <w:webHidden/>
          </w:rPr>
          <w:instrText xml:space="preserve"> PAGEREF _Toc199757556 \h </w:instrText>
        </w:r>
        <w:r>
          <w:rPr>
            <w:noProof/>
            <w:webHidden/>
          </w:rPr>
        </w:r>
        <w:r>
          <w:rPr>
            <w:noProof/>
            <w:webHidden/>
          </w:rPr>
          <w:fldChar w:fldCharType="separate"/>
        </w:r>
        <w:r>
          <w:rPr>
            <w:noProof/>
            <w:webHidden/>
          </w:rPr>
          <w:t>28</w:t>
        </w:r>
        <w:r>
          <w:rPr>
            <w:noProof/>
            <w:webHidden/>
          </w:rPr>
          <w:fldChar w:fldCharType="end"/>
        </w:r>
      </w:hyperlink>
    </w:p>
    <w:p w14:paraId="75447E49" w14:textId="43E8B701" w:rsidR="00467BB4" w:rsidRDefault="00467BB4">
      <w:pPr>
        <w:pStyle w:val="Tabladeilustraciones"/>
        <w:tabs>
          <w:tab w:val="right" w:leader="dot" w:pos="8494"/>
        </w:tabs>
        <w:rPr>
          <w:rFonts w:asciiTheme="minorHAnsi" w:eastAsiaTheme="minorEastAsia" w:hAnsiTheme="minorHAnsi" w:cstheme="minorBidi"/>
          <w:noProof/>
          <w:lang w:eastAsia="es-EC"/>
        </w:rPr>
      </w:pPr>
      <w:hyperlink r:id="rId10" w:anchor="_Toc199757557" w:history="1">
        <w:r w:rsidRPr="002A0B8D">
          <w:rPr>
            <w:rStyle w:val="Hipervnculo"/>
            <w:rFonts w:asciiTheme="majorHAnsi" w:hAnsiTheme="majorHAnsi"/>
            <w:noProof/>
          </w:rPr>
          <w:t>Figura 14:  Importaciones de Derivados y Exportaciones de Derivados de Hidrocarburos 2024</w:t>
        </w:r>
        <w:r>
          <w:rPr>
            <w:noProof/>
            <w:webHidden/>
          </w:rPr>
          <w:tab/>
        </w:r>
        <w:r>
          <w:rPr>
            <w:noProof/>
            <w:webHidden/>
          </w:rPr>
          <w:fldChar w:fldCharType="begin"/>
        </w:r>
        <w:r>
          <w:rPr>
            <w:noProof/>
            <w:webHidden/>
          </w:rPr>
          <w:instrText xml:space="preserve"> PAGEREF _Toc199757557 \h </w:instrText>
        </w:r>
        <w:r>
          <w:rPr>
            <w:noProof/>
            <w:webHidden/>
          </w:rPr>
        </w:r>
        <w:r>
          <w:rPr>
            <w:noProof/>
            <w:webHidden/>
          </w:rPr>
          <w:fldChar w:fldCharType="separate"/>
        </w:r>
        <w:r>
          <w:rPr>
            <w:noProof/>
            <w:webHidden/>
          </w:rPr>
          <w:t>29</w:t>
        </w:r>
        <w:r>
          <w:rPr>
            <w:noProof/>
            <w:webHidden/>
          </w:rPr>
          <w:fldChar w:fldCharType="end"/>
        </w:r>
      </w:hyperlink>
    </w:p>
    <w:p w14:paraId="5FADBE4A" w14:textId="60876F6D" w:rsidR="00467BB4" w:rsidRDefault="00467BB4">
      <w:pPr>
        <w:pStyle w:val="Tabladeilustraciones"/>
        <w:tabs>
          <w:tab w:val="right" w:leader="dot" w:pos="8494"/>
        </w:tabs>
        <w:rPr>
          <w:rFonts w:asciiTheme="minorHAnsi" w:eastAsiaTheme="minorEastAsia" w:hAnsiTheme="minorHAnsi" w:cstheme="minorBidi"/>
          <w:noProof/>
          <w:lang w:eastAsia="es-EC"/>
        </w:rPr>
      </w:pPr>
      <w:hyperlink r:id="rId11" w:anchor="_Toc199757558" w:history="1">
        <w:r w:rsidRPr="002A0B8D">
          <w:rPr>
            <w:rStyle w:val="Hipervnculo"/>
            <w:rFonts w:asciiTheme="majorHAnsi" w:hAnsiTheme="majorHAnsi" w:cstheme="majorHAnsi"/>
            <w:noProof/>
          </w:rPr>
          <w:t>Figura 15:Participación por Segmento de Mercado del Periodo del Año 2024</w:t>
        </w:r>
        <w:r>
          <w:rPr>
            <w:noProof/>
            <w:webHidden/>
          </w:rPr>
          <w:tab/>
        </w:r>
        <w:r>
          <w:rPr>
            <w:noProof/>
            <w:webHidden/>
          </w:rPr>
          <w:fldChar w:fldCharType="begin"/>
        </w:r>
        <w:r>
          <w:rPr>
            <w:noProof/>
            <w:webHidden/>
          </w:rPr>
          <w:instrText xml:space="preserve"> PAGEREF _Toc199757558 \h </w:instrText>
        </w:r>
        <w:r>
          <w:rPr>
            <w:noProof/>
            <w:webHidden/>
          </w:rPr>
        </w:r>
        <w:r>
          <w:rPr>
            <w:noProof/>
            <w:webHidden/>
          </w:rPr>
          <w:fldChar w:fldCharType="separate"/>
        </w:r>
        <w:r>
          <w:rPr>
            <w:noProof/>
            <w:webHidden/>
          </w:rPr>
          <w:t>29</w:t>
        </w:r>
        <w:r>
          <w:rPr>
            <w:noProof/>
            <w:webHidden/>
          </w:rPr>
          <w:fldChar w:fldCharType="end"/>
        </w:r>
      </w:hyperlink>
    </w:p>
    <w:p w14:paraId="2769FBD2" w14:textId="54214E0D" w:rsidR="00467BB4" w:rsidRDefault="00467BB4">
      <w:pPr>
        <w:pStyle w:val="Tabladeilustraciones"/>
        <w:tabs>
          <w:tab w:val="right" w:leader="dot" w:pos="8494"/>
        </w:tabs>
        <w:rPr>
          <w:rFonts w:asciiTheme="minorHAnsi" w:eastAsiaTheme="minorEastAsia" w:hAnsiTheme="minorHAnsi" w:cstheme="minorBidi"/>
          <w:noProof/>
          <w:lang w:eastAsia="es-EC"/>
        </w:rPr>
      </w:pPr>
      <w:hyperlink r:id="rId12" w:anchor="_Toc199757559" w:history="1">
        <w:r w:rsidRPr="002A0B8D">
          <w:rPr>
            <w:rStyle w:val="Hipervnculo"/>
            <w:rFonts w:asciiTheme="majorHAnsi" w:hAnsiTheme="majorHAnsi"/>
            <w:noProof/>
          </w:rPr>
          <w:t>Figura 16:Participación por Segmento de Mercado del Periodo del Año 2024</w:t>
        </w:r>
        <w:r>
          <w:rPr>
            <w:noProof/>
            <w:webHidden/>
          </w:rPr>
          <w:tab/>
        </w:r>
        <w:r>
          <w:rPr>
            <w:noProof/>
            <w:webHidden/>
          </w:rPr>
          <w:fldChar w:fldCharType="begin"/>
        </w:r>
        <w:r>
          <w:rPr>
            <w:noProof/>
            <w:webHidden/>
          </w:rPr>
          <w:instrText xml:space="preserve"> PAGEREF _Toc199757559 \h </w:instrText>
        </w:r>
        <w:r>
          <w:rPr>
            <w:noProof/>
            <w:webHidden/>
          </w:rPr>
        </w:r>
        <w:r>
          <w:rPr>
            <w:noProof/>
            <w:webHidden/>
          </w:rPr>
          <w:fldChar w:fldCharType="separate"/>
        </w:r>
        <w:r>
          <w:rPr>
            <w:noProof/>
            <w:webHidden/>
          </w:rPr>
          <w:t>30</w:t>
        </w:r>
        <w:r>
          <w:rPr>
            <w:noProof/>
            <w:webHidden/>
          </w:rPr>
          <w:fldChar w:fldCharType="end"/>
        </w:r>
      </w:hyperlink>
    </w:p>
    <w:p w14:paraId="27EE6016" w14:textId="35378007" w:rsidR="00467BB4" w:rsidRDefault="00467BB4">
      <w:pPr>
        <w:pStyle w:val="Tabladeilustraciones"/>
        <w:tabs>
          <w:tab w:val="right" w:leader="dot" w:pos="8494"/>
        </w:tabs>
        <w:rPr>
          <w:rFonts w:asciiTheme="minorHAnsi" w:eastAsiaTheme="minorEastAsia" w:hAnsiTheme="minorHAnsi" w:cstheme="minorBidi"/>
          <w:noProof/>
          <w:lang w:eastAsia="es-EC"/>
        </w:rPr>
      </w:pPr>
      <w:hyperlink r:id="rId13" w:anchor="_Toc199757560" w:history="1">
        <w:r w:rsidRPr="002A0B8D">
          <w:rPr>
            <w:rStyle w:val="Hipervnculo"/>
            <w:rFonts w:asciiTheme="majorHAnsi" w:hAnsiTheme="majorHAnsi"/>
            <w:noProof/>
          </w:rPr>
          <w:t>Figura 17: Participación por Segmento de Mercado del Periodo del Año 2024</w:t>
        </w:r>
        <w:r>
          <w:rPr>
            <w:noProof/>
            <w:webHidden/>
          </w:rPr>
          <w:tab/>
        </w:r>
        <w:r>
          <w:rPr>
            <w:noProof/>
            <w:webHidden/>
          </w:rPr>
          <w:fldChar w:fldCharType="begin"/>
        </w:r>
        <w:r>
          <w:rPr>
            <w:noProof/>
            <w:webHidden/>
          </w:rPr>
          <w:instrText xml:space="preserve"> PAGEREF _Toc199757560 \h </w:instrText>
        </w:r>
        <w:r>
          <w:rPr>
            <w:noProof/>
            <w:webHidden/>
          </w:rPr>
        </w:r>
        <w:r>
          <w:rPr>
            <w:noProof/>
            <w:webHidden/>
          </w:rPr>
          <w:fldChar w:fldCharType="separate"/>
        </w:r>
        <w:r>
          <w:rPr>
            <w:noProof/>
            <w:webHidden/>
          </w:rPr>
          <w:t>30</w:t>
        </w:r>
        <w:r>
          <w:rPr>
            <w:noProof/>
            <w:webHidden/>
          </w:rPr>
          <w:fldChar w:fldCharType="end"/>
        </w:r>
      </w:hyperlink>
    </w:p>
    <w:p w14:paraId="7EE8F9B0" w14:textId="5D08EC43"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61" w:history="1">
        <w:r w:rsidRPr="002A0B8D">
          <w:rPr>
            <w:rStyle w:val="Hipervnculo"/>
            <w:rFonts w:asciiTheme="majorHAnsi" w:hAnsiTheme="majorHAnsi"/>
            <w:noProof/>
          </w:rPr>
          <w:t xml:space="preserve">Figura 18: Inversión Ejecutada año </w:t>
        </w:r>
        <w:r w:rsidRPr="002A0B8D">
          <w:rPr>
            <w:rStyle w:val="Hipervnculo"/>
            <w:rFonts w:asciiTheme="majorHAnsi" w:hAnsiTheme="majorHAnsi"/>
            <w:noProof/>
            <w:spacing w:val="-4"/>
          </w:rPr>
          <w:t>2024</w:t>
        </w:r>
        <w:r>
          <w:rPr>
            <w:noProof/>
            <w:webHidden/>
          </w:rPr>
          <w:tab/>
        </w:r>
        <w:r>
          <w:rPr>
            <w:noProof/>
            <w:webHidden/>
          </w:rPr>
          <w:fldChar w:fldCharType="begin"/>
        </w:r>
        <w:r>
          <w:rPr>
            <w:noProof/>
            <w:webHidden/>
          </w:rPr>
          <w:instrText xml:space="preserve"> PAGEREF _Toc199757561 \h </w:instrText>
        </w:r>
        <w:r>
          <w:rPr>
            <w:noProof/>
            <w:webHidden/>
          </w:rPr>
        </w:r>
        <w:r>
          <w:rPr>
            <w:noProof/>
            <w:webHidden/>
          </w:rPr>
          <w:fldChar w:fldCharType="separate"/>
        </w:r>
        <w:r>
          <w:rPr>
            <w:noProof/>
            <w:webHidden/>
          </w:rPr>
          <w:t>31</w:t>
        </w:r>
        <w:r>
          <w:rPr>
            <w:noProof/>
            <w:webHidden/>
          </w:rPr>
          <w:fldChar w:fldCharType="end"/>
        </w:r>
      </w:hyperlink>
    </w:p>
    <w:p w14:paraId="4ABFE300" w14:textId="1F7F62E4"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62" w:history="1">
        <w:r w:rsidRPr="002A0B8D">
          <w:rPr>
            <w:rStyle w:val="Hipervnculo"/>
            <w:rFonts w:asciiTheme="majorHAnsi" w:hAnsiTheme="majorHAnsi"/>
            <w:noProof/>
          </w:rPr>
          <w:t xml:space="preserve">Figura 19: Inversión Ejecutada Contratos de Prestación de Servicios año </w:t>
        </w:r>
        <w:r w:rsidRPr="002A0B8D">
          <w:rPr>
            <w:rStyle w:val="Hipervnculo"/>
            <w:rFonts w:asciiTheme="majorHAnsi" w:hAnsiTheme="majorHAnsi"/>
            <w:noProof/>
            <w:spacing w:val="-4"/>
          </w:rPr>
          <w:t>2024</w:t>
        </w:r>
        <w:r>
          <w:rPr>
            <w:noProof/>
            <w:webHidden/>
          </w:rPr>
          <w:tab/>
        </w:r>
        <w:r>
          <w:rPr>
            <w:noProof/>
            <w:webHidden/>
          </w:rPr>
          <w:fldChar w:fldCharType="begin"/>
        </w:r>
        <w:r>
          <w:rPr>
            <w:noProof/>
            <w:webHidden/>
          </w:rPr>
          <w:instrText xml:space="preserve"> PAGEREF _Toc199757562 \h </w:instrText>
        </w:r>
        <w:r>
          <w:rPr>
            <w:noProof/>
            <w:webHidden/>
          </w:rPr>
        </w:r>
        <w:r>
          <w:rPr>
            <w:noProof/>
            <w:webHidden/>
          </w:rPr>
          <w:fldChar w:fldCharType="separate"/>
        </w:r>
        <w:r>
          <w:rPr>
            <w:noProof/>
            <w:webHidden/>
          </w:rPr>
          <w:t>31</w:t>
        </w:r>
        <w:r>
          <w:rPr>
            <w:noProof/>
            <w:webHidden/>
          </w:rPr>
          <w:fldChar w:fldCharType="end"/>
        </w:r>
      </w:hyperlink>
    </w:p>
    <w:p w14:paraId="3E745FD3" w14:textId="0ABB9C40"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63" w:history="1">
        <w:r w:rsidRPr="002A0B8D">
          <w:rPr>
            <w:rStyle w:val="Hipervnculo"/>
            <w:rFonts w:asciiTheme="majorHAnsi" w:hAnsiTheme="majorHAnsi"/>
            <w:noProof/>
          </w:rPr>
          <w:t xml:space="preserve">Figura 20: Inversión Ejecutada Contratos de Participación año </w:t>
        </w:r>
        <w:r w:rsidRPr="002A0B8D">
          <w:rPr>
            <w:rStyle w:val="Hipervnculo"/>
            <w:rFonts w:asciiTheme="majorHAnsi" w:hAnsiTheme="majorHAnsi"/>
            <w:noProof/>
            <w:spacing w:val="-4"/>
          </w:rPr>
          <w:t>2024</w:t>
        </w:r>
        <w:r>
          <w:rPr>
            <w:noProof/>
            <w:webHidden/>
          </w:rPr>
          <w:tab/>
        </w:r>
        <w:r>
          <w:rPr>
            <w:noProof/>
            <w:webHidden/>
          </w:rPr>
          <w:fldChar w:fldCharType="begin"/>
        </w:r>
        <w:r>
          <w:rPr>
            <w:noProof/>
            <w:webHidden/>
          </w:rPr>
          <w:instrText xml:space="preserve"> PAGEREF _Toc199757563 \h </w:instrText>
        </w:r>
        <w:r>
          <w:rPr>
            <w:noProof/>
            <w:webHidden/>
          </w:rPr>
        </w:r>
        <w:r>
          <w:rPr>
            <w:noProof/>
            <w:webHidden/>
          </w:rPr>
          <w:fldChar w:fldCharType="separate"/>
        </w:r>
        <w:r>
          <w:rPr>
            <w:noProof/>
            <w:webHidden/>
          </w:rPr>
          <w:t>32</w:t>
        </w:r>
        <w:r>
          <w:rPr>
            <w:noProof/>
            <w:webHidden/>
          </w:rPr>
          <w:fldChar w:fldCharType="end"/>
        </w:r>
      </w:hyperlink>
    </w:p>
    <w:p w14:paraId="118CFFEA" w14:textId="53BF24DF"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64" w:history="1">
        <w:r w:rsidRPr="002A0B8D">
          <w:rPr>
            <w:rStyle w:val="Hipervnculo"/>
            <w:rFonts w:asciiTheme="majorHAnsi" w:hAnsiTheme="majorHAnsi"/>
            <w:noProof/>
          </w:rPr>
          <w:t xml:space="preserve">Figura 21: Recaudación Contribuciones Ley de Hidrocarburos año </w:t>
        </w:r>
        <w:r w:rsidRPr="002A0B8D">
          <w:rPr>
            <w:rStyle w:val="Hipervnculo"/>
            <w:rFonts w:asciiTheme="majorHAnsi" w:hAnsiTheme="majorHAnsi"/>
            <w:noProof/>
            <w:spacing w:val="-4"/>
          </w:rPr>
          <w:t>2024</w:t>
        </w:r>
        <w:r>
          <w:rPr>
            <w:noProof/>
            <w:webHidden/>
          </w:rPr>
          <w:tab/>
        </w:r>
        <w:r>
          <w:rPr>
            <w:noProof/>
            <w:webHidden/>
          </w:rPr>
          <w:fldChar w:fldCharType="begin"/>
        </w:r>
        <w:r>
          <w:rPr>
            <w:noProof/>
            <w:webHidden/>
          </w:rPr>
          <w:instrText xml:space="preserve"> PAGEREF _Toc199757564 \h </w:instrText>
        </w:r>
        <w:r>
          <w:rPr>
            <w:noProof/>
            <w:webHidden/>
          </w:rPr>
        </w:r>
        <w:r>
          <w:rPr>
            <w:noProof/>
            <w:webHidden/>
          </w:rPr>
          <w:fldChar w:fldCharType="separate"/>
        </w:r>
        <w:r>
          <w:rPr>
            <w:noProof/>
            <w:webHidden/>
          </w:rPr>
          <w:t>33</w:t>
        </w:r>
        <w:r>
          <w:rPr>
            <w:noProof/>
            <w:webHidden/>
          </w:rPr>
          <w:fldChar w:fldCharType="end"/>
        </w:r>
      </w:hyperlink>
    </w:p>
    <w:p w14:paraId="69427AD0" w14:textId="2E9E6DC7"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65" w:history="1">
        <w:r w:rsidRPr="002A0B8D">
          <w:rPr>
            <w:rStyle w:val="Hipervnculo"/>
            <w:rFonts w:asciiTheme="majorHAnsi" w:hAnsiTheme="majorHAnsi" w:cstheme="majorHAnsi"/>
            <w:noProof/>
          </w:rPr>
          <w:t>Figura 22:  Producción de energía en bornes de generación GWh – S.N.I.</w:t>
        </w:r>
        <w:r>
          <w:rPr>
            <w:noProof/>
            <w:webHidden/>
          </w:rPr>
          <w:tab/>
        </w:r>
        <w:r>
          <w:rPr>
            <w:noProof/>
            <w:webHidden/>
          </w:rPr>
          <w:fldChar w:fldCharType="begin"/>
        </w:r>
        <w:r>
          <w:rPr>
            <w:noProof/>
            <w:webHidden/>
          </w:rPr>
          <w:instrText xml:space="preserve"> PAGEREF _Toc199757565 \h </w:instrText>
        </w:r>
        <w:r>
          <w:rPr>
            <w:noProof/>
            <w:webHidden/>
          </w:rPr>
        </w:r>
        <w:r>
          <w:rPr>
            <w:noProof/>
            <w:webHidden/>
          </w:rPr>
          <w:fldChar w:fldCharType="separate"/>
        </w:r>
        <w:r>
          <w:rPr>
            <w:noProof/>
            <w:webHidden/>
          </w:rPr>
          <w:t>65</w:t>
        </w:r>
        <w:r>
          <w:rPr>
            <w:noProof/>
            <w:webHidden/>
          </w:rPr>
          <w:fldChar w:fldCharType="end"/>
        </w:r>
      </w:hyperlink>
    </w:p>
    <w:p w14:paraId="366E705B" w14:textId="3CCC1EF3"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66" w:history="1">
        <w:r w:rsidRPr="002A0B8D">
          <w:rPr>
            <w:rStyle w:val="Hipervnculo"/>
            <w:rFonts w:asciiTheme="majorHAnsi" w:hAnsiTheme="majorHAnsi" w:cstheme="majorHAnsi"/>
            <w:noProof/>
          </w:rPr>
          <w:t>Figura 23. Transacciones Internacionales de Electricidad con Colombia y Perú (GWh)</w:t>
        </w:r>
        <w:r>
          <w:rPr>
            <w:noProof/>
            <w:webHidden/>
          </w:rPr>
          <w:tab/>
        </w:r>
        <w:r>
          <w:rPr>
            <w:noProof/>
            <w:webHidden/>
          </w:rPr>
          <w:fldChar w:fldCharType="begin"/>
        </w:r>
        <w:r>
          <w:rPr>
            <w:noProof/>
            <w:webHidden/>
          </w:rPr>
          <w:instrText xml:space="preserve"> PAGEREF _Toc199757566 \h </w:instrText>
        </w:r>
        <w:r>
          <w:rPr>
            <w:noProof/>
            <w:webHidden/>
          </w:rPr>
        </w:r>
        <w:r>
          <w:rPr>
            <w:noProof/>
            <w:webHidden/>
          </w:rPr>
          <w:fldChar w:fldCharType="separate"/>
        </w:r>
        <w:r>
          <w:rPr>
            <w:noProof/>
            <w:webHidden/>
          </w:rPr>
          <w:t>65</w:t>
        </w:r>
        <w:r>
          <w:rPr>
            <w:noProof/>
            <w:webHidden/>
          </w:rPr>
          <w:fldChar w:fldCharType="end"/>
        </w:r>
      </w:hyperlink>
    </w:p>
    <w:p w14:paraId="45D91106" w14:textId="7EC98254"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67" w:history="1">
        <w:r w:rsidRPr="002A0B8D">
          <w:rPr>
            <w:rStyle w:val="Hipervnculo"/>
            <w:rFonts w:asciiTheme="majorHAnsi" w:hAnsiTheme="majorHAnsi" w:cstheme="majorHAnsi"/>
            <w:noProof/>
          </w:rPr>
          <w:t>Figura 24. Transacciones comerciales de la demanda año 2024</w:t>
        </w:r>
        <w:r>
          <w:rPr>
            <w:noProof/>
            <w:webHidden/>
          </w:rPr>
          <w:tab/>
        </w:r>
        <w:r>
          <w:rPr>
            <w:noProof/>
            <w:webHidden/>
          </w:rPr>
          <w:fldChar w:fldCharType="begin"/>
        </w:r>
        <w:r>
          <w:rPr>
            <w:noProof/>
            <w:webHidden/>
          </w:rPr>
          <w:instrText xml:space="preserve"> PAGEREF _Toc199757567 \h </w:instrText>
        </w:r>
        <w:r>
          <w:rPr>
            <w:noProof/>
            <w:webHidden/>
          </w:rPr>
        </w:r>
        <w:r>
          <w:rPr>
            <w:noProof/>
            <w:webHidden/>
          </w:rPr>
          <w:fldChar w:fldCharType="separate"/>
        </w:r>
        <w:r>
          <w:rPr>
            <w:noProof/>
            <w:webHidden/>
          </w:rPr>
          <w:t>67</w:t>
        </w:r>
        <w:r>
          <w:rPr>
            <w:noProof/>
            <w:webHidden/>
          </w:rPr>
          <w:fldChar w:fldCharType="end"/>
        </w:r>
      </w:hyperlink>
    </w:p>
    <w:p w14:paraId="336EF556" w14:textId="483B3CAB"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68" w:history="1">
        <w:r w:rsidRPr="002A0B8D">
          <w:rPr>
            <w:rStyle w:val="Hipervnculo"/>
            <w:rFonts w:asciiTheme="majorHAnsi" w:hAnsiTheme="majorHAnsi" w:cstheme="majorHAnsi"/>
            <w:noProof/>
          </w:rPr>
          <w:t>Figura 25. Facturación y recaudación CELEC EP enero – diciembre 2024</w:t>
        </w:r>
        <w:r>
          <w:rPr>
            <w:noProof/>
            <w:webHidden/>
          </w:rPr>
          <w:tab/>
        </w:r>
        <w:r>
          <w:rPr>
            <w:noProof/>
            <w:webHidden/>
          </w:rPr>
          <w:fldChar w:fldCharType="begin"/>
        </w:r>
        <w:r>
          <w:rPr>
            <w:noProof/>
            <w:webHidden/>
          </w:rPr>
          <w:instrText xml:space="preserve"> PAGEREF _Toc199757568 \h </w:instrText>
        </w:r>
        <w:r>
          <w:rPr>
            <w:noProof/>
            <w:webHidden/>
          </w:rPr>
        </w:r>
        <w:r>
          <w:rPr>
            <w:noProof/>
            <w:webHidden/>
          </w:rPr>
          <w:fldChar w:fldCharType="separate"/>
        </w:r>
        <w:r>
          <w:rPr>
            <w:noProof/>
            <w:webHidden/>
          </w:rPr>
          <w:t>68</w:t>
        </w:r>
        <w:r>
          <w:rPr>
            <w:noProof/>
            <w:webHidden/>
          </w:rPr>
          <w:fldChar w:fldCharType="end"/>
        </w:r>
      </w:hyperlink>
    </w:p>
    <w:p w14:paraId="42C6BC22" w14:textId="1003BC87"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69" w:history="1">
        <w:r w:rsidRPr="002A0B8D">
          <w:rPr>
            <w:rStyle w:val="Hipervnculo"/>
            <w:rFonts w:asciiTheme="majorHAnsi" w:hAnsiTheme="majorHAnsi" w:cstheme="majorHAnsi"/>
            <w:noProof/>
          </w:rPr>
          <w:t>Figura 26. Facturación y recaudación ELECAUSTRO enero – diciembre 2024</w:t>
        </w:r>
        <w:r>
          <w:rPr>
            <w:noProof/>
            <w:webHidden/>
          </w:rPr>
          <w:tab/>
        </w:r>
        <w:r>
          <w:rPr>
            <w:noProof/>
            <w:webHidden/>
          </w:rPr>
          <w:fldChar w:fldCharType="begin"/>
        </w:r>
        <w:r>
          <w:rPr>
            <w:noProof/>
            <w:webHidden/>
          </w:rPr>
          <w:instrText xml:space="preserve"> PAGEREF _Toc199757569 \h </w:instrText>
        </w:r>
        <w:r>
          <w:rPr>
            <w:noProof/>
            <w:webHidden/>
          </w:rPr>
        </w:r>
        <w:r>
          <w:rPr>
            <w:noProof/>
            <w:webHidden/>
          </w:rPr>
          <w:fldChar w:fldCharType="separate"/>
        </w:r>
        <w:r>
          <w:rPr>
            <w:noProof/>
            <w:webHidden/>
          </w:rPr>
          <w:t>69</w:t>
        </w:r>
        <w:r>
          <w:rPr>
            <w:noProof/>
            <w:webHidden/>
          </w:rPr>
          <w:fldChar w:fldCharType="end"/>
        </w:r>
      </w:hyperlink>
    </w:p>
    <w:p w14:paraId="5D2C40A9" w14:textId="2A1248AF"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70" w:history="1">
        <w:r w:rsidRPr="002A0B8D">
          <w:rPr>
            <w:rStyle w:val="Hipervnculo"/>
            <w:rFonts w:asciiTheme="majorHAnsi" w:hAnsiTheme="majorHAnsi" w:cstheme="majorHAnsi"/>
            <w:noProof/>
          </w:rPr>
          <w:t>Figura 27. Total aprobado vs ejecutado empresas de generación pública</w:t>
        </w:r>
        <w:r>
          <w:rPr>
            <w:noProof/>
            <w:webHidden/>
          </w:rPr>
          <w:tab/>
        </w:r>
        <w:r>
          <w:rPr>
            <w:noProof/>
            <w:webHidden/>
          </w:rPr>
          <w:fldChar w:fldCharType="begin"/>
        </w:r>
        <w:r>
          <w:rPr>
            <w:noProof/>
            <w:webHidden/>
          </w:rPr>
          <w:instrText xml:space="preserve"> PAGEREF _Toc199757570 \h </w:instrText>
        </w:r>
        <w:r>
          <w:rPr>
            <w:noProof/>
            <w:webHidden/>
          </w:rPr>
        </w:r>
        <w:r>
          <w:rPr>
            <w:noProof/>
            <w:webHidden/>
          </w:rPr>
          <w:fldChar w:fldCharType="separate"/>
        </w:r>
        <w:r>
          <w:rPr>
            <w:noProof/>
            <w:webHidden/>
          </w:rPr>
          <w:t>70</w:t>
        </w:r>
        <w:r>
          <w:rPr>
            <w:noProof/>
            <w:webHidden/>
          </w:rPr>
          <w:fldChar w:fldCharType="end"/>
        </w:r>
      </w:hyperlink>
    </w:p>
    <w:p w14:paraId="05B98B35" w14:textId="2C0F1CA8"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71" w:history="1">
        <w:r w:rsidRPr="002A0B8D">
          <w:rPr>
            <w:rStyle w:val="Hipervnculo"/>
            <w:rFonts w:asciiTheme="majorHAnsi" w:hAnsiTheme="majorHAnsi" w:cstheme="majorHAnsi"/>
            <w:noProof/>
          </w:rPr>
          <w:t>Figura 28. Evolución de la facturación y recaudación a nivel nacional – diciembre 2024</w:t>
        </w:r>
        <w:r>
          <w:rPr>
            <w:noProof/>
            <w:webHidden/>
          </w:rPr>
          <w:tab/>
        </w:r>
        <w:r>
          <w:rPr>
            <w:noProof/>
            <w:webHidden/>
          </w:rPr>
          <w:fldChar w:fldCharType="begin"/>
        </w:r>
        <w:r>
          <w:rPr>
            <w:noProof/>
            <w:webHidden/>
          </w:rPr>
          <w:instrText xml:space="preserve"> PAGEREF _Toc199757571 \h </w:instrText>
        </w:r>
        <w:r>
          <w:rPr>
            <w:noProof/>
            <w:webHidden/>
          </w:rPr>
        </w:r>
        <w:r>
          <w:rPr>
            <w:noProof/>
            <w:webHidden/>
          </w:rPr>
          <w:fldChar w:fldCharType="separate"/>
        </w:r>
        <w:r>
          <w:rPr>
            <w:noProof/>
            <w:webHidden/>
          </w:rPr>
          <w:t>71</w:t>
        </w:r>
        <w:r>
          <w:rPr>
            <w:noProof/>
            <w:webHidden/>
          </w:rPr>
          <w:fldChar w:fldCharType="end"/>
        </w:r>
      </w:hyperlink>
    </w:p>
    <w:p w14:paraId="3A1E34BD" w14:textId="0A35F3BC"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72" w:history="1">
        <w:r w:rsidRPr="002A0B8D">
          <w:rPr>
            <w:rStyle w:val="Hipervnculo"/>
            <w:rFonts w:asciiTheme="majorHAnsi" w:hAnsiTheme="majorHAnsi"/>
            <w:noProof/>
          </w:rPr>
          <w:t>Figura 29. Cumplimiento Programación Racionamientos CNEL-EP Periodo 22sep 2024 Al 22dic 2024</w:t>
        </w:r>
        <w:r>
          <w:rPr>
            <w:noProof/>
            <w:webHidden/>
          </w:rPr>
          <w:tab/>
        </w:r>
        <w:r>
          <w:rPr>
            <w:noProof/>
            <w:webHidden/>
          </w:rPr>
          <w:fldChar w:fldCharType="begin"/>
        </w:r>
        <w:r>
          <w:rPr>
            <w:noProof/>
            <w:webHidden/>
          </w:rPr>
          <w:instrText xml:space="preserve"> PAGEREF _Toc199757572 \h </w:instrText>
        </w:r>
        <w:r>
          <w:rPr>
            <w:noProof/>
            <w:webHidden/>
          </w:rPr>
        </w:r>
        <w:r>
          <w:rPr>
            <w:noProof/>
            <w:webHidden/>
          </w:rPr>
          <w:fldChar w:fldCharType="separate"/>
        </w:r>
        <w:r>
          <w:rPr>
            <w:noProof/>
            <w:webHidden/>
          </w:rPr>
          <w:t>75</w:t>
        </w:r>
        <w:r>
          <w:rPr>
            <w:noProof/>
            <w:webHidden/>
          </w:rPr>
          <w:fldChar w:fldCharType="end"/>
        </w:r>
      </w:hyperlink>
    </w:p>
    <w:p w14:paraId="33DA1140" w14:textId="7843570F"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73" w:history="1">
        <w:r w:rsidRPr="002A0B8D">
          <w:rPr>
            <w:rStyle w:val="Hipervnculo"/>
            <w:rFonts w:asciiTheme="majorHAnsi" w:hAnsiTheme="majorHAnsi"/>
            <w:noProof/>
          </w:rPr>
          <w:t>Figura 30. Cumplimiento Programación Racionamientos S.A. Periodo 22sep 2024 al 22dic 2024</w:t>
        </w:r>
        <w:r>
          <w:rPr>
            <w:noProof/>
            <w:webHidden/>
          </w:rPr>
          <w:tab/>
        </w:r>
        <w:r>
          <w:rPr>
            <w:noProof/>
            <w:webHidden/>
          </w:rPr>
          <w:fldChar w:fldCharType="begin"/>
        </w:r>
        <w:r>
          <w:rPr>
            <w:noProof/>
            <w:webHidden/>
          </w:rPr>
          <w:instrText xml:space="preserve"> PAGEREF _Toc199757573 \h </w:instrText>
        </w:r>
        <w:r>
          <w:rPr>
            <w:noProof/>
            <w:webHidden/>
          </w:rPr>
        </w:r>
        <w:r>
          <w:rPr>
            <w:noProof/>
            <w:webHidden/>
          </w:rPr>
          <w:fldChar w:fldCharType="separate"/>
        </w:r>
        <w:r>
          <w:rPr>
            <w:noProof/>
            <w:webHidden/>
          </w:rPr>
          <w:t>75</w:t>
        </w:r>
        <w:r>
          <w:rPr>
            <w:noProof/>
            <w:webHidden/>
          </w:rPr>
          <w:fldChar w:fldCharType="end"/>
        </w:r>
      </w:hyperlink>
    </w:p>
    <w:p w14:paraId="3E3A3B44" w14:textId="628502A9" w:rsidR="00E7589F" w:rsidRPr="00E7589F" w:rsidRDefault="00E7589F" w:rsidP="00E7589F">
      <w:pPr>
        <w:rPr>
          <w:lang w:val="es-ES" w:eastAsia="es-EC"/>
        </w:rPr>
      </w:pPr>
      <w:r>
        <w:rPr>
          <w:lang w:val="es-ES" w:eastAsia="es-EC"/>
        </w:rPr>
        <w:fldChar w:fldCharType="end"/>
      </w:r>
    </w:p>
    <w:p w14:paraId="6598F6B2" w14:textId="128F43DA" w:rsidR="001C665C" w:rsidRPr="001C665C" w:rsidRDefault="00DD4660" w:rsidP="00C751F5">
      <w:pPr>
        <w:pStyle w:val="Ttulo2"/>
      </w:pPr>
      <w:bookmarkStart w:id="3" w:name="_Toc199759537"/>
      <w:r>
        <w:t>Í</w:t>
      </w:r>
      <w:r w:rsidR="00C06F03" w:rsidRPr="00220287">
        <w:t xml:space="preserve">ndice de </w:t>
      </w:r>
      <w:r w:rsidR="00E7589F">
        <w:t>ilustraciones</w:t>
      </w:r>
      <w:bookmarkEnd w:id="3"/>
    </w:p>
    <w:p w14:paraId="4D8129D3" w14:textId="0E18C3B3" w:rsidR="00467BB4" w:rsidRDefault="00E7589F">
      <w:pPr>
        <w:pStyle w:val="Tabladeilustraciones"/>
        <w:tabs>
          <w:tab w:val="right" w:leader="dot" w:pos="8494"/>
        </w:tabs>
        <w:rPr>
          <w:rFonts w:asciiTheme="minorHAnsi" w:eastAsiaTheme="minorEastAsia" w:hAnsiTheme="minorHAnsi" w:cstheme="minorBidi"/>
          <w:noProof/>
          <w:lang w:eastAsia="es-EC"/>
        </w:rPr>
      </w:pPr>
      <w:r>
        <w:fldChar w:fldCharType="begin"/>
      </w:r>
      <w:r>
        <w:instrText xml:space="preserve"> TOC \h \z \c "Ilustración" </w:instrText>
      </w:r>
      <w:r>
        <w:fldChar w:fldCharType="separate"/>
      </w:r>
      <w:hyperlink w:anchor="_Toc199757574" w:history="1">
        <w:r w:rsidR="00467BB4" w:rsidRPr="00637F85">
          <w:rPr>
            <w:rStyle w:val="Hipervnculo"/>
            <w:rFonts w:asciiTheme="majorHAnsi" w:hAnsiTheme="majorHAnsi" w:cstheme="majorHAnsi"/>
            <w:noProof/>
          </w:rPr>
          <w:t>Ilustración 1: Estructura del sector energía y minas</w:t>
        </w:r>
        <w:r w:rsidR="00467BB4">
          <w:rPr>
            <w:noProof/>
            <w:webHidden/>
          </w:rPr>
          <w:tab/>
        </w:r>
        <w:r w:rsidR="00467BB4">
          <w:rPr>
            <w:noProof/>
            <w:webHidden/>
          </w:rPr>
          <w:fldChar w:fldCharType="begin"/>
        </w:r>
        <w:r w:rsidR="00467BB4">
          <w:rPr>
            <w:noProof/>
            <w:webHidden/>
          </w:rPr>
          <w:instrText xml:space="preserve"> PAGEREF _Toc199757574 \h </w:instrText>
        </w:r>
        <w:r w:rsidR="00467BB4">
          <w:rPr>
            <w:noProof/>
            <w:webHidden/>
          </w:rPr>
        </w:r>
        <w:r w:rsidR="00467BB4">
          <w:rPr>
            <w:noProof/>
            <w:webHidden/>
          </w:rPr>
          <w:fldChar w:fldCharType="separate"/>
        </w:r>
        <w:r w:rsidR="00467BB4">
          <w:rPr>
            <w:noProof/>
            <w:webHidden/>
          </w:rPr>
          <w:t>7</w:t>
        </w:r>
        <w:r w:rsidR="00467BB4">
          <w:rPr>
            <w:noProof/>
            <w:webHidden/>
          </w:rPr>
          <w:fldChar w:fldCharType="end"/>
        </w:r>
      </w:hyperlink>
    </w:p>
    <w:p w14:paraId="6F2E5E2A" w14:textId="647D977C" w:rsidR="00467BB4" w:rsidRDefault="00467BB4">
      <w:pPr>
        <w:pStyle w:val="Tabladeilustraciones"/>
        <w:tabs>
          <w:tab w:val="right" w:leader="dot" w:pos="8494"/>
        </w:tabs>
        <w:rPr>
          <w:rFonts w:asciiTheme="minorHAnsi" w:eastAsiaTheme="minorEastAsia" w:hAnsiTheme="minorHAnsi" w:cstheme="minorBidi"/>
          <w:noProof/>
          <w:lang w:eastAsia="es-EC"/>
        </w:rPr>
      </w:pPr>
      <w:hyperlink r:id="rId14" w:anchor="_Toc199757575" w:history="1">
        <w:r w:rsidRPr="00637F85">
          <w:rPr>
            <w:rStyle w:val="Hipervnculo"/>
            <w:rFonts w:asciiTheme="majorHAnsi" w:hAnsiTheme="majorHAnsi" w:cstheme="majorHAnsi"/>
            <w:noProof/>
          </w:rPr>
          <w:t>Ilustración 2: Bloques Funcionales – Proyecto BIPE 4.0.</w:t>
        </w:r>
        <w:r>
          <w:rPr>
            <w:noProof/>
            <w:webHidden/>
          </w:rPr>
          <w:tab/>
        </w:r>
        <w:r>
          <w:rPr>
            <w:noProof/>
            <w:webHidden/>
          </w:rPr>
          <w:fldChar w:fldCharType="begin"/>
        </w:r>
        <w:r>
          <w:rPr>
            <w:noProof/>
            <w:webHidden/>
          </w:rPr>
          <w:instrText xml:space="preserve"> PAGEREF _Toc199757575 \h </w:instrText>
        </w:r>
        <w:r>
          <w:rPr>
            <w:noProof/>
            <w:webHidden/>
          </w:rPr>
        </w:r>
        <w:r>
          <w:rPr>
            <w:noProof/>
            <w:webHidden/>
          </w:rPr>
          <w:fldChar w:fldCharType="separate"/>
        </w:r>
        <w:r>
          <w:rPr>
            <w:noProof/>
            <w:webHidden/>
          </w:rPr>
          <w:t>18</w:t>
        </w:r>
        <w:r>
          <w:rPr>
            <w:noProof/>
            <w:webHidden/>
          </w:rPr>
          <w:fldChar w:fldCharType="end"/>
        </w:r>
      </w:hyperlink>
    </w:p>
    <w:p w14:paraId="60DF5B48" w14:textId="38B74989" w:rsidR="00467BB4" w:rsidRDefault="00467BB4">
      <w:pPr>
        <w:pStyle w:val="Tabladeilustraciones"/>
        <w:tabs>
          <w:tab w:val="right" w:leader="dot" w:pos="8494"/>
        </w:tabs>
        <w:rPr>
          <w:rFonts w:asciiTheme="minorHAnsi" w:eastAsiaTheme="minorEastAsia" w:hAnsiTheme="minorHAnsi" w:cstheme="minorBidi"/>
          <w:noProof/>
          <w:lang w:eastAsia="es-EC"/>
        </w:rPr>
      </w:pPr>
      <w:hyperlink r:id="rId15" w:anchor="_Toc199757576" w:history="1">
        <w:r w:rsidRPr="00637F85">
          <w:rPr>
            <w:rStyle w:val="Hipervnculo"/>
            <w:rFonts w:asciiTheme="majorHAnsi" w:hAnsiTheme="majorHAnsi" w:cstheme="majorHAnsi"/>
            <w:noProof/>
          </w:rPr>
          <w:t>Ilustración 3: Líneas de Negocio EP FLOPEC</w:t>
        </w:r>
        <w:r>
          <w:rPr>
            <w:noProof/>
            <w:webHidden/>
          </w:rPr>
          <w:tab/>
        </w:r>
        <w:r>
          <w:rPr>
            <w:noProof/>
            <w:webHidden/>
          </w:rPr>
          <w:fldChar w:fldCharType="begin"/>
        </w:r>
        <w:r>
          <w:rPr>
            <w:noProof/>
            <w:webHidden/>
          </w:rPr>
          <w:instrText xml:space="preserve"> PAGEREF _Toc199757576 \h </w:instrText>
        </w:r>
        <w:r>
          <w:rPr>
            <w:noProof/>
            <w:webHidden/>
          </w:rPr>
        </w:r>
        <w:r>
          <w:rPr>
            <w:noProof/>
            <w:webHidden/>
          </w:rPr>
          <w:fldChar w:fldCharType="separate"/>
        </w:r>
        <w:r>
          <w:rPr>
            <w:noProof/>
            <w:webHidden/>
          </w:rPr>
          <w:t>40</w:t>
        </w:r>
        <w:r>
          <w:rPr>
            <w:noProof/>
            <w:webHidden/>
          </w:rPr>
          <w:fldChar w:fldCharType="end"/>
        </w:r>
      </w:hyperlink>
    </w:p>
    <w:p w14:paraId="73BDB3E4" w14:textId="4CEC22F7"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77" w:history="1">
        <w:r w:rsidRPr="00637F85">
          <w:rPr>
            <w:rStyle w:val="Hipervnculo"/>
            <w:rFonts w:asciiTheme="majorHAnsi" w:hAnsiTheme="majorHAnsi"/>
            <w:noProof/>
          </w:rPr>
          <w:t>Ilustración 4: Recaudación tributaria por actividad económica</w:t>
        </w:r>
        <w:r>
          <w:rPr>
            <w:noProof/>
            <w:webHidden/>
          </w:rPr>
          <w:tab/>
        </w:r>
        <w:r>
          <w:rPr>
            <w:noProof/>
            <w:webHidden/>
          </w:rPr>
          <w:fldChar w:fldCharType="begin"/>
        </w:r>
        <w:r>
          <w:rPr>
            <w:noProof/>
            <w:webHidden/>
          </w:rPr>
          <w:instrText xml:space="preserve"> PAGEREF _Toc199757577 \h </w:instrText>
        </w:r>
        <w:r>
          <w:rPr>
            <w:noProof/>
            <w:webHidden/>
          </w:rPr>
        </w:r>
        <w:r>
          <w:rPr>
            <w:noProof/>
            <w:webHidden/>
          </w:rPr>
          <w:fldChar w:fldCharType="separate"/>
        </w:r>
        <w:r>
          <w:rPr>
            <w:noProof/>
            <w:webHidden/>
          </w:rPr>
          <w:t>55</w:t>
        </w:r>
        <w:r>
          <w:rPr>
            <w:noProof/>
            <w:webHidden/>
          </w:rPr>
          <w:fldChar w:fldCharType="end"/>
        </w:r>
      </w:hyperlink>
    </w:p>
    <w:p w14:paraId="4FAB30C2" w14:textId="69C80D7D"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78" w:history="1">
        <w:r w:rsidRPr="00637F85">
          <w:rPr>
            <w:rStyle w:val="Hipervnculo"/>
            <w:rFonts w:asciiTheme="majorHAnsi" w:hAnsiTheme="majorHAnsi"/>
            <w:noProof/>
          </w:rPr>
          <w:t>Ilustración 5: Evaluación de proyecciones mineras 2024 vs recaudación real 2024</w:t>
        </w:r>
        <w:r>
          <w:rPr>
            <w:noProof/>
            <w:webHidden/>
          </w:rPr>
          <w:tab/>
        </w:r>
        <w:r>
          <w:rPr>
            <w:noProof/>
            <w:webHidden/>
          </w:rPr>
          <w:fldChar w:fldCharType="begin"/>
        </w:r>
        <w:r>
          <w:rPr>
            <w:noProof/>
            <w:webHidden/>
          </w:rPr>
          <w:instrText xml:space="preserve"> PAGEREF _Toc199757578 \h </w:instrText>
        </w:r>
        <w:r>
          <w:rPr>
            <w:noProof/>
            <w:webHidden/>
          </w:rPr>
        </w:r>
        <w:r>
          <w:rPr>
            <w:noProof/>
            <w:webHidden/>
          </w:rPr>
          <w:fldChar w:fldCharType="separate"/>
        </w:r>
        <w:r>
          <w:rPr>
            <w:noProof/>
            <w:webHidden/>
          </w:rPr>
          <w:t>56</w:t>
        </w:r>
        <w:r>
          <w:rPr>
            <w:noProof/>
            <w:webHidden/>
          </w:rPr>
          <w:fldChar w:fldCharType="end"/>
        </w:r>
      </w:hyperlink>
    </w:p>
    <w:p w14:paraId="757A50EC" w14:textId="1A2FCC8F"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79" w:history="1">
        <w:r w:rsidRPr="00637F85">
          <w:rPr>
            <w:rStyle w:val="Hipervnculo"/>
            <w:rFonts w:asciiTheme="majorHAnsi" w:hAnsiTheme="majorHAnsi" w:cstheme="majorHAnsi"/>
            <w:noProof/>
          </w:rPr>
          <w:t>Ilustración 6: Exportaciones 2024</w:t>
        </w:r>
        <w:r>
          <w:rPr>
            <w:noProof/>
            <w:webHidden/>
          </w:rPr>
          <w:tab/>
        </w:r>
        <w:r>
          <w:rPr>
            <w:noProof/>
            <w:webHidden/>
          </w:rPr>
          <w:fldChar w:fldCharType="begin"/>
        </w:r>
        <w:r>
          <w:rPr>
            <w:noProof/>
            <w:webHidden/>
          </w:rPr>
          <w:instrText xml:space="preserve"> PAGEREF _Toc199757579 \h </w:instrText>
        </w:r>
        <w:r>
          <w:rPr>
            <w:noProof/>
            <w:webHidden/>
          </w:rPr>
        </w:r>
        <w:r>
          <w:rPr>
            <w:noProof/>
            <w:webHidden/>
          </w:rPr>
          <w:fldChar w:fldCharType="separate"/>
        </w:r>
        <w:r>
          <w:rPr>
            <w:noProof/>
            <w:webHidden/>
          </w:rPr>
          <w:t>56</w:t>
        </w:r>
        <w:r>
          <w:rPr>
            <w:noProof/>
            <w:webHidden/>
          </w:rPr>
          <w:fldChar w:fldCharType="end"/>
        </w:r>
      </w:hyperlink>
    </w:p>
    <w:p w14:paraId="707F74C1" w14:textId="06D1C1AE" w:rsidR="00467BB4" w:rsidRDefault="00467BB4">
      <w:pPr>
        <w:pStyle w:val="Tabladeilustraciones"/>
        <w:tabs>
          <w:tab w:val="right" w:leader="dot" w:pos="8494"/>
        </w:tabs>
        <w:rPr>
          <w:rFonts w:asciiTheme="minorHAnsi" w:eastAsiaTheme="minorEastAsia" w:hAnsiTheme="minorHAnsi" w:cstheme="minorBidi"/>
          <w:noProof/>
          <w:lang w:eastAsia="es-EC"/>
        </w:rPr>
      </w:pPr>
      <w:hyperlink w:anchor="_Toc199757580" w:history="1">
        <w:r w:rsidRPr="00637F85">
          <w:rPr>
            <w:rStyle w:val="Hipervnculo"/>
            <w:rFonts w:asciiTheme="majorHAnsi" w:hAnsiTheme="majorHAnsi" w:cstheme="majorHAnsi"/>
            <w:noProof/>
          </w:rPr>
          <w:t>Ilustración 7: Evaluación de proyecciones mineras 2024 vs exportaciones reales 2024</w:t>
        </w:r>
        <w:r>
          <w:rPr>
            <w:noProof/>
            <w:webHidden/>
          </w:rPr>
          <w:tab/>
        </w:r>
        <w:r>
          <w:rPr>
            <w:noProof/>
            <w:webHidden/>
          </w:rPr>
          <w:fldChar w:fldCharType="begin"/>
        </w:r>
        <w:r>
          <w:rPr>
            <w:noProof/>
            <w:webHidden/>
          </w:rPr>
          <w:instrText xml:space="preserve"> PAGEREF _Toc199757580 \h </w:instrText>
        </w:r>
        <w:r>
          <w:rPr>
            <w:noProof/>
            <w:webHidden/>
          </w:rPr>
        </w:r>
        <w:r>
          <w:rPr>
            <w:noProof/>
            <w:webHidden/>
          </w:rPr>
          <w:fldChar w:fldCharType="separate"/>
        </w:r>
        <w:r>
          <w:rPr>
            <w:noProof/>
            <w:webHidden/>
          </w:rPr>
          <w:t>57</w:t>
        </w:r>
        <w:r>
          <w:rPr>
            <w:noProof/>
            <w:webHidden/>
          </w:rPr>
          <w:fldChar w:fldCharType="end"/>
        </w:r>
      </w:hyperlink>
    </w:p>
    <w:p w14:paraId="18F98FD7" w14:textId="26BAD29A" w:rsidR="00C06F03" w:rsidRDefault="00E7589F" w:rsidP="00E7589F">
      <w:pPr>
        <w:pStyle w:val="Descripcin"/>
      </w:pPr>
      <w:r>
        <w:rPr>
          <w:rFonts w:ascii="Calibri" w:eastAsia="Calibri" w:hAnsi="Calibri" w:cs="Times New Roman"/>
          <w:sz w:val="22"/>
          <w:szCs w:val="22"/>
        </w:rPr>
        <w:fldChar w:fldCharType="end"/>
      </w:r>
    </w:p>
    <w:p w14:paraId="5A20A5BB" w14:textId="59D8B3C8" w:rsidR="00C06F03" w:rsidRPr="00C06F03" w:rsidRDefault="00C751F5" w:rsidP="00001CA3">
      <w:pPr>
        <w:pStyle w:val="Ttulo2"/>
        <w:rPr>
          <w:lang w:val="es-ES" w:eastAsia="es-EC"/>
        </w:rPr>
      </w:pPr>
      <w:bookmarkStart w:id="4" w:name="_Toc199759538"/>
      <w:r>
        <w:rPr>
          <w:lang w:val="es-ES" w:eastAsia="es-EC"/>
        </w:rPr>
        <w:t>Í</w:t>
      </w:r>
      <w:r w:rsidRPr="00174F3A">
        <w:rPr>
          <w:lang w:val="es-ES" w:eastAsia="es-EC"/>
        </w:rPr>
        <w:t>ndice</w:t>
      </w:r>
      <w:r w:rsidR="00C06F03" w:rsidRPr="00174F3A">
        <w:rPr>
          <w:lang w:val="es-ES" w:eastAsia="es-EC"/>
        </w:rPr>
        <w:t xml:space="preserve"> de Acrónimos</w:t>
      </w:r>
      <w:bookmarkEnd w:id="4"/>
      <w:r w:rsidR="00C06F03" w:rsidRPr="00174F3A">
        <w:rPr>
          <w:lang w:val="es-ES" w:eastAsia="es-EC"/>
        </w:rPr>
        <w:t xml:space="preserve"> </w:t>
      </w:r>
    </w:p>
    <w:p w14:paraId="3182E9F3"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AM Acuerdo Ministerial</w:t>
      </w:r>
    </w:p>
    <w:p w14:paraId="0655E227"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AME Asociación de Municipalidades del Ecuador</w:t>
      </w:r>
    </w:p>
    <w:p w14:paraId="27D1A199"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 xml:space="preserve">API American </w:t>
      </w:r>
      <w:proofErr w:type="spellStart"/>
      <w:r w:rsidRPr="00C06F03">
        <w:rPr>
          <w:rFonts w:asciiTheme="majorHAnsi" w:hAnsiTheme="majorHAnsi" w:cstheme="majorHAnsi"/>
          <w:sz w:val="22"/>
          <w:szCs w:val="22"/>
        </w:rPr>
        <w:t>Petroleum</w:t>
      </w:r>
      <w:proofErr w:type="spellEnd"/>
      <w:r w:rsidRPr="00C06F03">
        <w:rPr>
          <w:rFonts w:asciiTheme="majorHAnsi" w:hAnsiTheme="majorHAnsi" w:cstheme="majorHAnsi"/>
          <w:sz w:val="22"/>
          <w:szCs w:val="22"/>
        </w:rPr>
        <w:t xml:space="preserve"> </w:t>
      </w:r>
      <w:proofErr w:type="spellStart"/>
      <w:r w:rsidRPr="00C06F03">
        <w:rPr>
          <w:rFonts w:asciiTheme="majorHAnsi" w:hAnsiTheme="majorHAnsi" w:cstheme="majorHAnsi"/>
          <w:sz w:val="22"/>
          <w:szCs w:val="22"/>
        </w:rPr>
        <w:t>Institute</w:t>
      </w:r>
      <w:proofErr w:type="spellEnd"/>
    </w:p>
    <w:p w14:paraId="30314399"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ARCERNNR Agencia de Regulación y Control de Energía y Recursos Naturales No Renovables</w:t>
      </w:r>
    </w:p>
    <w:p w14:paraId="6CFB1654"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ARS Áreas Reservadas de Seguridad</w:t>
      </w:r>
    </w:p>
    <w:p w14:paraId="779474DF"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BCE Banco Central del Ecuador</w:t>
      </w:r>
    </w:p>
    <w:p w14:paraId="15547FA2"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BEN Balance Energético Nacional</w:t>
      </w:r>
    </w:p>
    <w:p w14:paraId="65B11DA0"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BEP Barriles Equivalentes</w:t>
      </w:r>
    </w:p>
    <w:p w14:paraId="56CA70AB"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de Petróleo BEU Balance en Términos de Energía Útil BID Banco Interamericano de Desarrollo</w:t>
      </w:r>
    </w:p>
    <w:p w14:paraId="2F513F64"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BIPE Banco de Información Petrolera del Ecuador</w:t>
      </w:r>
    </w:p>
    <w:p w14:paraId="5AF9AF0D"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BLS NTS Barriles Netos</w:t>
      </w:r>
    </w:p>
    <w:p w14:paraId="37BD69C1"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BSW Sedimento Básico y Agua</w:t>
      </w:r>
    </w:p>
    <w:p w14:paraId="788ED765"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CAF Corporación Andina de Fomento</w:t>
      </w:r>
    </w:p>
    <w:p w14:paraId="1AEA2612"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CAPEX Gastos de Capital</w:t>
      </w:r>
    </w:p>
    <w:p w14:paraId="23C33511"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CELEC EP Corporación Eléctrica del Ecuador</w:t>
      </w:r>
    </w:p>
    <w:p w14:paraId="12D78D51"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CENACE Operador Nacional de Electricidad</w:t>
      </w:r>
    </w:p>
    <w:p w14:paraId="7255227B"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CEPAL Comisión Económica para América Latina y el Caribe</w:t>
      </w:r>
    </w:p>
    <w:p w14:paraId="4718C284"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CNEL EP Empresa Pública Estratégica Corporación Nacional de Electricidad</w:t>
      </w:r>
    </w:p>
    <w:p w14:paraId="1BEB2948" w14:textId="77777777" w:rsidR="00C06F03" w:rsidRPr="00C06F03" w:rsidRDefault="00C06F03" w:rsidP="00C06F03">
      <w:pPr>
        <w:pStyle w:val="Textoindependiente"/>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 xml:space="preserve">COE Comité de Operaciones de Emergencia COHL Comité de Licitación </w:t>
      </w:r>
      <w:proofErr w:type="spellStart"/>
      <w:r w:rsidRPr="00C06F03">
        <w:rPr>
          <w:rFonts w:asciiTheme="majorHAnsi" w:hAnsiTheme="majorHAnsi" w:cstheme="majorHAnsi"/>
          <w:sz w:val="22"/>
          <w:szCs w:val="22"/>
        </w:rPr>
        <w:t>Hidrocarburífera</w:t>
      </w:r>
      <w:proofErr w:type="spellEnd"/>
      <w:r w:rsidRPr="00C06F03">
        <w:rPr>
          <w:rFonts w:asciiTheme="majorHAnsi" w:hAnsiTheme="majorHAnsi" w:cstheme="majorHAnsi"/>
          <w:sz w:val="22"/>
          <w:szCs w:val="22"/>
        </w:rPr>
        <w:t xml:space="preserve"> ED Empresa Distribuidora</w:t>
      </w:r>
    </w:p>
    <w:p w14:paraId="279B7524"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EP Empresa Pública</w:t>
      </w:r>
    </w:p>
    <w:p w14:paraId="11E9B295"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EPN Escuela Politécnica Nacional</w:t>
      </w:r>
    </w:p>
    <w:p w14:paraId="4D74C310"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ERNC Energía Renovable No Convencional</w:t>
      </w:r>
    </w:p>
    <w:p w14:paraId="136C1ADA"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ESIGEF Sistema Integrado de Gestión Financiera</w:t>
      </w:r>
    </w:p>
    <w:p w14:paraId="354ECF19"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FERUM Programa de Electrificación Rural y Urbano Marginal</w:t>
      </w:r>
    </w:p>
    <w:p w14:paraId="2B6BCAE0"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GPR Gobierno por Resultados</w:t>
      </w:r>
    </w:p>
    <w:p w14:paraId="6152B037"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GWh Gigavatios hora</w:t>
      </w:r>
    </w:p>
    <w:p w14:paraId="3C3F1AB4"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 xml:space="preserve">HDS </w:t>
      </w:r>
      <w:proofErr w:type="spellStart"/>
      <w:r w:rsidRPr="00C06F03">
        <w:rPr>
          <w:rFonts w:asciiTheme="majorHAnsi" w:hAnsiTheme="majorHAnsi" w:cstheme="majorHAnsi"/>
          <w:sz w:val="22"/>
          <w:szCs w:val="22"/>
        </w:rPr>
        <w:t>Hidrodesulfuradora</w:t>
      </w:r>
      <w:proofErr w:type="spellEnd"/>
    </w:p>
    <w:p w14:paraId="5BF0345F"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HPLC Cromatografía Líquida de Alta Eficiencia</w:t>
      </w:r>
    </w:p>
    <w:p w14:paraId="2915F735"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IIGE Instituto de Investigación Geológico Energético</w:t>
      </w:r>
    </w:p>
    <w:p w14:paraId="4AB965CC"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INEN Servicio Ecuatoriano de Normalización</w:t>
      </w:r>
    </w:p>
    <w:p w14:paraId="45833021"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JICA Agencia de Cooperación Internacional del Japón</w:t>
      </w:r>
    </w:p>
    <w:p w14:paraId="54DA46D7"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LOEE Ley Orgánica de Eficiencia Energética</w:t>
      </w:r>
    </w:p>
    <w:p w14:paraId="54DC92AD" w14:textId="77777777" w:rsidR="00C06F03" w:rsidRPr="00C06F03" w:rsidRDefault="00C06F03" w:rsidP="00C06F03">
      <w:pPr>
        <w:pStyle w:val="Textoindependiente"/>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LOSPEE Ley Orgánica de Servicio Público de Energía Eléctrica MAATE Ministerio de Ambiente, Agua y Transición Ecológica MBEPD Millones de barriles por día</w:t>
      </w:r>
    </w:p>
    <w:p w14:paraId="2CF3D842"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MEF Ministerio de Economía y Finanzas</w:t>
      </w:r>
    </w:p>
    <w:p w14:paraId="21BC148D"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MIDUVI Ministerio de Desarrollo Urbano y Vivienda</w:t>
      </w:r>
    </w:p>
    <w:p w14:paraId="476D1E05"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MINTEL Ministerio de Telecomunicaciones</w:t>
      </w:r>
    </w:p>
    <w:p w14:paraId="40257384"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lastRenderedPageBreak/>
        <w:t>MMBLS Millones de barriles</w:t>
      </w:r>
    </w:p>
    <w:p w14:paraId="77CD76A7"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MTT3 Mesa Técnica de Trabajo 3</w:t>
      </w:r>
    </w:p>
    <w:p w14:paraId="204DCD7F"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MW Megavatios</w:t>
      </w:r>
    </w:p>
    <w:p w14:paraId="63D1391B"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OCP Oleoducto de Crudos Pesados</w:t>
      </w:r>
    </w:p>
    <w:p w14:paraId="6C88B4F2" w14:textId="5BB9BAC2" w:rsidR="00C06F03" w:rsidRDefault="00C06F03" w:rsidP="00C06F03">
      <w:pPr>
        <w:pStyle w:val="Textoindependiente"/>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 xml:space="preserve">OIEA Organismo Internacional de Energía Atómica OLADE Organización Latinoamericana de Energía ONU Organización Mundial de las Naciones Unidas </w:t>
      </w:r>
    </w:p>
    <w:p w14:paraId="7F3E94CA" w14:textId="4871354B" w:rsidR="003C39F2" w:rsidRPr="003C39F2" w:rsidRDefault="003C39F2" w:rsidP="003C39F2">
      <w:pPr>
        <w:pStyle w:val="Prrafodelista"/>
        <w:numPr>
          <w:ilvl w:val="0"/>
          <w:numId w:val="3"/>
        </w:numPr>
        <w:rPr>
          <w:rFonts w:asciiTheme="majorHAnsi" w:hAnsiTheme="majorHAnsi" w:cstheme="majorHAnsi"/>
          <w:sz w:val="22"/>
          <w:szCs w:val="22"/>
        </w:rPr>
      </w:pPr>
      <w:r w:rsidRPr="003C39F2">
        <w:rPr>
          <w:rFonts w:asciiTheme="majorHAnsi" w:hAnsiTheme="majorHAnsi" w:cstheme="majorHAnsi"/>
          <w:sz w:val="22"/>
          <w:szCs w:val="22"/>
        </w:rPr>
        <w:t>OPEX Gasto Operativo</w:t>
      </w:r>
    </w:p>
    <w:p w14:paraId="39A7B6E8"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PAAG Programa de Acondicionadores de aire de consumo energético en Galápagos</w:t>
      </w:r>
    </w:p>
    <w:p w14:paraId="7220C7E2"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PAC Plan Anual Comprometido</w:t>
      </w:r>
    </w:p>
    <w:p w14:paraId="6EA10EA0"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PAI Plan Anual de Inversiones</w:t>
      </w:r>
    </w:p>
    <w:p w14:paraId="33BB1520"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PEC Programa de Cocción Eficiente</w:t>
      </w:r>
    </w:p>
    <w:p w14:paraId="2B262FFD"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PEDSM Plan Estratégico de Desarrollo del Sector Minero</w:t>
      </w:r>
    </w:p>
    <w:p w14:paraId="730BBBB3"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PEM Plan Energético Minero</w:t>
      </w:r>
    </w:p>
    <w:p w14:paraId="242CA41C"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PLANEE Plan Nacional de Eficiencia Energética</w:t>
      </w:r>
    </w:p>
    <w:p w14:paraId="5FA0972B"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PMD Plan de Mejoramiento de los Sistemas de Distribución de energía eléctrica</w:t>
      </w:r>
    </w:p>
    <w:p w14:paraId="2ED43406"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PME Plan Maestro de Electricidad</w:t>
      </w:r>
    </w:p>
    <w:p w14:paraId="1DDC9722"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PMRSEE Programa de Modernización y Renovación del sistema eléctrico ecuatoriano</w:t>
      </w:r>
    </w:p>
    <w:p w14:paraId="329EBBBC"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PNACC Plan Nacional de Adaptación al Cambio Climático</w:t>
      </w:r>
    </w:p>
    <w:p w14:paraId="0E94E09C"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PND Plan Nacional de Desarrollo</w:t>
      </w:r>
    </w:p>
    <w:p w14:paraId="007974D4"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POA Plan Operativo Anual</w:t>
      </w:r>
    </w:p>
    <w:p w14:paraId="4E838650"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PPS Proyectos Públicos de Selección ppm Partes por millón</w:t>
      </w:r>
    </w:p>
    <w:p w14:paraId="26C485BB"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PRI Plan Regulatorio Institucional</w:t>
      </w:r>
    </w:p>
    <w:p w14:paraId="5C4B0DA1"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PRRDESA Programa de Reforzamiento de Redes de Distribución Eléctrica para el sector acuícola</w:t>
      </w:r>
    </w:p>
    <w:p w14:paraId="4656CA41"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RODA Red de Oleoductos del Distrito Amazónico</w:t>
      </w:r>
    </w:p>
    <w:p w14:paraId="0A9A079E"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RTE Reglamentación Técnica Ecuatoriano</w:t>
      </w:r>
    </w:p>
    <w:p w14:paraId="5222F05E"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S.N.I. Sistema Nacional Interconectado</w:t>
      </w:r>
    </w:p>
    <w:p w14:paraId="216C3A4A"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SAPG Servicio de Alumbrado Público General</w:t>
      </w:r>
    </w:p>
    <w:p w14:paraId="5004F130"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SGM Sistema de Gestión Minera</w:t>
      </w:r>
    </w:p>
    <w:p w14:paraId="68A5A324"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SIPEIP Sistema Integrado de Planificación e Inversión Pública</w:t>
      </w:r>
    </w:p>
    <w:p w14:paraId="35707AB7"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SNT Sistema Nacional de Transmisión</w:t>
      </w:r>
    </w:p>
    <w:p w14:paraId="372081C4"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SOTE Sistema de Oleoducto Transecuatoriano</w:t>
      </w:r>
    </w:p>
    <w:p w14:paraId="751F1A63"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SRI Servicio de Rentas Internas</w:t>
      </w:r>
    </w:p>
    <w:p w14:paraId="45442E2B"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ST Sistema de Transmisión</w:t>
      </w:r>
    </w:p>
    <w:p w14:paraId="63ABF82B"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TI Tecnologías de la Información</w:t>
      </w:r>
    </w:p>
    <w:p w14:paraId="575C6D93"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VEER Viceministerio de Electricidad y Energía Renovable</w:t>
      </w:r>
    </w:p>
    <w:p w14:paraId="0FE48615" w14:textId="77777777" w:rsidR="00C06F03" w:rsidRP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VH Viceministerio de Hidrocarburos</w:t>
      </w:r>
    </w:p>
    <w:p w14:paraId="4CF899C3" w14:textId="1547F5D5" w:rsidR="00C06F03" w:rsidRDefault="00C06F03" w:rsidP="00C06F03">
      <w:pPr>
        <w:pStyle w:val="Lista"/>
        <w:numPr>
          <w:ilvl w:val="0"/>
          <w:numId w:val="3"/>
        </w:numPr>
        <w:jc w:val="both"/>
        <w:rPr>
          <w:rFonts w:asciiTheme="majorHAnsi" w:hAnsiTheme="majorHAnsi" w:cstheme="majorHAnsi"/>
          <w:sz w:val="22"/>
          <w:szCs w:val="22"/>
        </w:rPr>
      </w:pPr>
      <w:r w:rsidRPr="00C06F03">
        <w:rPr>
          <w:rFonts w:asciiTheme="majorHAnsi" w:hAnsiTheme="majorHAnsi" w:cstheme="majorHAnsi"/>
          <w:sz w:val="22"/>
          <w:szCs w:val="22"/>
        </w:rPr>
        <w:t>VM Viceministerio de Minería</w:t>
      </w:r>
    </w:p>
    <w:p w14:paraId="04AE99B7" w14:textId="394BB0D6" w:rsidR="00186095" w:rsidRDefault="00186095" w:rsidP="00186095">
      <w:pPr>
        <w:pStyle w:val="Lista"/>
        <w:jc w:val="both"/>
        <w:rPr>
          <w:rFonts w:asciiTheme="majorHAnsi" w:hAnsiTheme="majorHAnsi" w:cstheme="majorHAnsi"/>
          <w:sz w:val="22"/>
          <w:szCs w:val="22"/>
        </w:rPr>
      </w:pPr>
    </w:p>
    <w:p w14:paraId="27CBD3CA" w14:textId="0183586D" w:rsidR="00186095" w:rsidRDefault="00186095" w:rsidP="00186095">
      <w:pPr>
        <w:pStyle w:val="Lista"/>
        <w:jc w:val="both"/>
        <w:rPr>
          <w:rFonts w:asciiTheme="majorHAnsi" w:hAnsiTheme="majorHAnsi" w:cstheme="majorHAnsi"/>
          <w:sz w:val="22"/>
          <w:szCs w:val="22"/>
        </w:rPr>
      </w:pPr>
    </w:p>
    <w:p w14:paraId="26E407F8" w14:textId="314727C7" w:rsidR="00186095" w:rsidRDefault="00186095" w:rsidP="00186095">
      <w:pPr>
        <w:pStyle w:val="Lista"/>
        <w:jc w:val="both"/>
        <w:rPr>
          <w:rFonts w:asciiTheme="majorHAnsi" w:hAnsiTheme="majorHAnsi" w:cstheme="majorHAnsi"/>
          <w:sz w:val="22"/>
          <w:szCs w:val="22"/>
        </w:rPr>
      </w:pPr>
    </w:p>
    <w:p w14:paraId="11CDB861" w14:textId="23567D48" w:rsidR="00186095" w:rsidRDefault="00186095" w:rsidP="00186095">
      <w:pPr>
        <w:pStyle w:val="Lista"/>
        <w:jc w:val="both"/>
        <w:rPr>
          <w:rFonts w:asciiTheme="majorHAnsi" w:hAnsiTheme="majorHAnsi" w:cstheme="majorHAnsi"/>
          <w:sz w:val="22"/>
          <w:szCs w:val="22"/>
        </w:rPr>
      </w:pPr>
    </w:p>
    <w:p w14:paraId="4811013B" w14:textId="4F69189D" w:rsidR="00190089" w:rsidRDefault="00190089" w:rsidP="00186095">
      <w:pPr>
        <w:pStyle w:val="Lista"/>
        <w:jc w:val="both"/>
        <w:rPr>
          <w:rFonts w:asciiTheme="majorHAnsi" w:hAnsiTheme="majorHAnsi" w:cstheme="majorHAnsi"/>
          <w:sz w:val="22"/>
          <w:szCs w:val="22"/>
        </w:rPr>
      </w:pPr>
    </w:p>
    <w:p w14:paraId="0DE21342" w14:textId="484B38C4" w:rsidR="00190089" w:rsidRDefault="00190089" w:rsidP="00186095">
      <w:pPr>
        <w:pStyle w:val="Lista"/>
        <w:jc w:val="both"/>
        <w:rPr>
          <w:rFonts w:asciiTheme="majorHAnsi" w:hAnsiTheme="majorHAnsi" w:cstheme="majorHAnsi"/>
          <w:sz w:val="22"/>
          <w:szCs w:val="22"/>
        </w:rPr>
      </w:pPr>
    </w:p>
    <w:p w14:paraId="08CDA4E7" w14:textId="1591AE8D" w:rsidR="00190089" w:rsidRDefault="00190089" w:rsidP="00186095">
      <w:pPr>
        <w:pStyle w:val="Lista"/>
        <w:jc w:val="both"/>
        <w:rPr>
          <w:rFonts w:asciiTheme="majorHAnsi" w:hAnsiTheme="majorHAnsi" w:cstheme="majorHAnsi"/>
          <w:sz w:val="22"/>
          <w:szCs w:val="22"/>
        </w:rPr>
      </w:pPr>
    </w:p>
    <w:p w14:paraId="10E21677" w14:textId="7E4978ED" w:rsidR="00190089" w:rsidRDefault="00190089" w:rsidP="00186095">
      <w:pPr>
        <w:pStyle w:val="Lista"/>
        <w:jc w:val="both"/>
        <w:rPr>
          <w:rFonts w:asciiTheme="majorHAnsi" w:hAnsiTheme="majorHAnsi" w:cstheme="majorHAnsi"/>
          <w:sz w:val="22"/>
          <w:szCs w:val="22"/>
        </w:rPr>
      </w:pPr>
    </w:p>
    <w:p w14:paraId="63B124C4" w14:textId="0AE55805" w:rsidR="00190089" w:rsidRDefault="00190089" w:rsidP="00186095">
      <w:pPr>
        <w:pStyle w:val="Lista"/>
        <w:jc w:val="both"/>
        <w:rPr>
          <w:rFonts w:asciiTheme="majorHAnsi" w:hAnsiTheme="majorHAnsi" w:cstheme="majorHAnsi"/>
          <w:sz w:val="22"/>
          <w:szCs w:val="22"/>
        </w:rPr>
      </w:pPr>
    </w:p>
    <w:p w14:paraId="1B6E7543" w14:textId="4C9E972F" w:rsidR="00190089" w:rsidRDefault="00190089" w:rsidP="00186095">
      <w:pPr>
        <w:pStyle w:val="Lista"/>
        <w:jc w:val="both"/>
        <w:rPr>
          <w:rFonts w:asciiTheme="majorHAnsi" w:hAnsiTheme="majorHAnsi" w:cstheme="majorHAnsi"/>
          <w:sz w:val="22"/>
          <w:szCs w:val="22"/>
        </w:rPr>
      </w:pPr>
    </w:p>
    <w:p w14:paraId="7B1AB7BE" w14:textId="620484F0" w:rsidR="00190089" w:rsidRDefault="00190089" w:rsidP="00186095">
      <w:pPr>
        <w:pStyle w:val="Lista"/>
        <w:jc w:val="both"/>
        <w:rPr>
          <w:rFonts w:asciiTheme="majorHAnsi" w:hAnsiTheme="majorHAnsi" w:cstheme="majorHAnsi"/>
          <w:sz w:val="22"/>
          <w:szCs w:val="22"/>
        </w:rPr>
      </w:pPr>
    </w:p>
    <w:p w14:paraId="626CD968" w14:textId="77777777" w:rsidR="00190089" w:rsidRPr="00C06F03" w:rsidRDefault="00190089" w:rsidP="00186095">
      <w:pPr>
        <w:pStyle w:val="Lista"/>
        <w:jc w:val="both"/>
        <w:rPr>
          <w:rFonts w:asciiTheme="majorHAnsi" w:hAnsiTheme="majorHAnsi" w:cstheme="majorHAnsi"/>
          <w:sz w:val="22"/>
          <w:szCs w:val="22"/>
        </w:rPr>
      </w:pPr>
    </w:p>
    <w:p w14:paraId="550FF9C4" w14:textId="2B78E20B" w:rsidR="00C06F03" w:rsidRDefault="00C06F03" w:rsidP="00622265">
      <w:pPr>
        <w:pStyle w:val="Ttulo2"/>
        <w:rPr>
          <w:sz w:val="24"/>
          <w:szCs w:val="24"/>
        </w:rPr>
      </w:pPr>
      <w:bookmarkStart w:id="5" w:name="_Toc199759539"/>
      <w:r w:rsidRPr="005366E1">
        <w:rPr>
          <w:sz w:val="24"/>
          <w:szCs w:val="24"/>
        </w:rPr>
        <w:t>I</w:t>
      </w:r>
      <w:r w:rsidR="005366E1">
        <w:rPr>
          <w:sz w:val="24"/>
          <w:szCs w:val="24"/>
        </w:rPr>
        <w:t>ntroducción</w:t>
      </w:r>
      <w:bookmarkEnd w:id="5"/>
    </w:p>
    <w:p w14:paraId="40B7F3BB" w14:textId="77777777" w:rsidR="00FC39C3" w:rsidRPr="00FC39C3" w:rsidRDefault="00FC39C3" w:rsidP="00FC39C3"/>
    <w:p w14:paraId="26EF1C77" w14:textId="5659B13E" w:rsidR="00EA3742" w:rsidRPr="005366E1" w:rsidRDefault="00C06F03" w:rsidP="00C06F03">
      <w:pPr>
        <w:pStyle w:val="Textoindependiente"/>
        <w:jc w:val="both"/>
        <w:rPr>
          <w:rFonts w:asciiTheme="majorHAnsi" w:hAnsiTheme="majorHAnsi" w:cstheme="majorHAnsi"/>
          <w:sz w:val="22"/>
          <w:szCs w:val="22"/>
        </w:rPr>
      </w:pPr>
      <w:r w:rsidRPr="00C06F03">
        <w:rPr>
          <w:rFonts w:asciiTheme="majorHAnsi" w:hAnsiTheme="majorHAnsi" w:cstheme="majorHAnsi"/>
          <w:sz w:val="22"/>
          <w:szCs w:val="22"/>
        </w:rPr>
        <w:t>La gestión del Ministerio de Energía y Minas se sustenta en un marco jurídico, encabezado por la Constitución de la República del Ecuador, la Ley de Minería, la Ley Orgánica del Servicio Público de Energía Eléctrica, Ley Orgánica de Eficiencia Energética, Ley Orgánica de Competitividad, Ley de Hidrocarburos, y demás normativas conexas, que le otorgan la rectoría en las facultades de: Planificación, Coordinación, Gestión, Regulación, Control y Evaluación de las políticas públicas en el ámbito de electricidad, hidrocarburos, minería y energía atómica, en concordancia con los lineamientos establecidos en el Plan Nacional de Desarrollo 2024-2025.</w:t>
      </w:r>
    </w:p>
    <w:p w14:paraId="08E18DE1" w14:textId="479C7BD1" w:rsidR="00C06F03" w:rsidRDefault="00C06F03" w:rsidP="00C06F03">
      <w:pPr>
        <w:pStyle w:val="Ttulo2"/>
        <w:jc w:val="both"/>
        <w:rPr>
          <w:rFonts w:cstheme="majorHAnsi"/>
          <w:sz w:val="24"/>
          <w:szCs w:val="24"/>
        </w:rPr>
      </w:pPr>
      <w:bookmarkStart w:id="6" w:name="_Toc199759540"/>
      <w:r w:rsidRPr="008F5AD4">
        <w:rPr>
          <w:rFonts w:cstheme="majorHAnsi"/>
          <w:sz w:val="24"/>
          <w:szCs w:val="24"/>
        </w:rPr>
        <w:t>M</w:t>
      </w:r>
      <w:r w:rsidR="005366E1">
        <w:rPr>
          <w:rFonts w:cstheme="majorHAnsi"/>
          <w:sz w:val="24"/>
          <w:szCs w:val="24"/>
        </w:rPr>
        <w:t>isión</w:t>
      </w:r>
      <w:bookmarkEnd w:id="6"/>
    </w:p>
    <w:p w14:paraId="50F5532B" w14:textId="77777777" w:rsidR="005366E1" w:rsidRPr="005366E1" w:rsidRDefault="005366E1" w:rsidP="005366E1"/>
    <w:p w14:paraId="6FA3A786" w14:textId="7A40B69B" w:rsidR="00FC39C3" w:rsidRPr="00C06F03" w:rsidRDefault="00C06F03" w:rsidP="00C06F03">
      <w:pPr>
        <w:pStyle w:val="Textoindependiente"/>
        <w:jc w:val="both"/>
        <w:rPr>
          <w:rFonts w:asciiTheme="majorHAnsi" w:hAnsiTheme="majorHAnsi" w:cstheme="majorHAnsi"/>
          <w:sz w:val="22"/>
          <w:szCs w:val="22"/>
        </w:rPr>
      </w:pPr>
      <w:r w:rsidRPr="00C06F03">
        <w:rPr>
          <w:rFonts w:asciiTheme="majorHAnsi" w:hAnsiTheme="majorHAnsi" w:cstheme="majorHAnsi"/>
          <w:sz w:val="22"/>
          <w:szCs w:val="22"/>
        </w:rPr>
        <w:t>Impulsar el aprovechamiento sostenible de los recursos energéticos y mineros en el Ecuador, siendo el órgano rector que emite políticas públicas que fomenten la optimización, eficiencia, transparencia, innovación, responsabilidad social y ambiental en las actividades del sector, contribuyendo sustancialmente al desarrollo integral del país.</w:t>
      </w:r>
    </w:p>
    <w:p w14:paraId="12EA424A" w14:textId="1317387B" w:rsidR="00C06F03" w:rsidRDefault="00C06F03" w:rsidP="00C06F03">
      <w:pPr>
        <w:pStyle w:val="Ttulo2"/>
        <w:jc w:val="both"/>
        <w:rPr>
          <w:rFonts w:cstheme="majorHAnsi"/>
          <w:sz w:val="24"/>
          <w:szCs w:val="24"/>
        </w:rPr>
      </w:pPr>
      <w:bookmarkStart w:id="7" w:name="_Toc199759541"/>
      <w:r w:rsidRPr="008F5AD4">
        <w:rPr>
          <w:rFonts w:cstheme="majorHAnsi"/>
          <w:sz w:val="24"/>
          <w:szCs w:val="24"/>
        </w:rPr>
        <w:t>V</w:t>
      </w:r>
      <w:r w:rsidR="005366E1">
        <w:rPr>
          <w:rFonts w:cstheme="majorHAnsi"/>
          <w:sz w:val="24"/>
          <w:szCs w:val="24"/>
        </w:rPr>
        <w:t>isión</w:t>
      </w:r>
      <w:bookmarkEnd w:id="7"/>
    </w:p>
    <w:p w14:paraId="6C023533" w14:textId="77777777" w:rsidR="005366E1" w:rsidRPr="005366E1" w:rsidRDefault="005366E1" w:rsidP="005366E1"/>
    <w:p w14:paraId="723754AD" w14:textId="1FAA54FE" w:rsidR="005366E1" w:rsidRPr="00EA3742" w:rsidRDefault="00C06F03" w:rsidP="005366E1">
      <w:pPr>
        <w:pStyle w:val="Textoindependiente"/>
        <w:jc w:val="both"/>
        <w:rPr>
          <w:rFonts w:asciiTheme="majorHAnsi" w:hAnsiTheme="majorHAnsi" w:cstheme="majorHAnsi"/>
          <w:sz w:val="22"/>
          <w:szCs w:val="22"/>
        </w:rPr>
      </w:pPr>
      <w:r w:rsidRPr="00C06F03">
        <w:rPr>
          <w:rFonts w:asciiTheme="majorHAnsi" w:hAnsiTheme="majorHAnsi" w:cstheme="majorHAnsi"/>
          <w:sz w:val="22"/>
          <w:szCs w:val="22"/>
        </w:rPr>
        <w:t>Al 2025, ser reconocidos a nivel regional por la aplicación de modelos eficientes que promuevan el aprovechamiento sostenible de los recursos energéticos y mineros en el Ecuador, bajo criterios de seguridad jurídica, calidad, innovación, convergencia de tecnologías, responsabilidad social y ambiental; y, el fortalecimiento de capacidades institucionales, que encaminen al país hacia una verdadera transición energética.</w:t>
      </w:r>
    </w:p>
    <w:p w14:paraId="3E4B0B01" w14:textId="2FC215F2" w:rsidR="00C06F03" w:rsidRPr="00D85310" w:rsidRDefault="00C06F03" w:rsidP="00C06F03">
      <w:pPr>
        <w:pStyle w:val="Ttulo2"/>
        <w:jc w:val="both"/>
        <w:rPr>
          <w:rFonts w:cstheme="majorHAnsi"/>
          <w:sz w:val="24"/>
          <w:szCs w:val="24"/>
        </w:rPr>
      </w:pPr>
      <w:bookmarkStart w:id="8" w:name="_Toc199759542"/>
      <w:r w:rsidRPr="00D85310">
        <w:rPr>
          <w:rFonts w:cstheme="majorHAnsi"/>
          <w:sz w:val="24"/>
          <w:szCs w:val="24"/>
        </w:rPr>
        <w:t>V</w:t>
      </w:r>
      <w:r w:rsidR="005366E1">
        <w:rPr>
          <w:rFonts w:cstheme="majorHAnsi"/>
          <w:sz w:val="24"/>
          <w:szCs w:val="24"/>
        </w:rPr>
        <w:t>alores</w:t>
      </w:r>
      <w:bookmarkEnd w:id="8"/>
    </w:p>
    <w:p w14:paraId="0EF2C460" w14:textId="77777777" w:rsidR="00EA3742" w:rsidRPr="00EA3742" w:rsidRDefault="00EA3742" w:rsidP="00EA3742"/>
    <w:p w14:paraId="5FF1FDED" w14:textId="77777777" w:rsidR="00C06F03" w:rsidRPr="00C06F03" w:rsidRDefault="00C06F03" w:rsidP="00C06F03">
      <w:pPr>
        <w:pStyle w:val="Textoindependiente"/>
        <w:jc w:val="both"/>
        <w:rPr>
          <w:rFonts w:asciiTheme="majorHAnsi" w:hAnsiTheme="majorHAnsi" w:cstheme="majorHAnsi"/>
          <w:sz w:val="22"/>
          <w:szCs w:val="22"/>
        </w:rPr>
      </w:pPr>
      <w:r w:rsidRPr="00C06F03">
        <w:rPr>
          <w:rFonts w:asciiTheme="majorHAnsi" w:hAnsiTheme="majorHAnsi" w:cstheme="majorHAnsi"/>
          <w:sz w:val="22"/>
          <w:szCs w:val="22"/>
        </w:rPr>
        <w:t>Con Acuerdo Ministerial No. MERNNR-MERNNR-2019-0042-AM, del 21 de agosto del 2019, se expidió el Código de Conducta del Ministerio de Energía y Recursos Naturales no Renovables, el cual hace referencia a los siguientes valores institucionales:</w:t>
      </w:r>
    </w:p>
    <w:p w14:paraId="61A761C2" w14:textId="77777777" w:rsidR="00C06F03" w:rsidRPr="00C06F03" w:rsidRDefault="00C06F03" w:rsidP="00C06F03">
      <w:pPr>
        <w:pStyle w:val="Prrafodelista"/>
        <w:numPr>
          <w:ilvl w:val="0"/>
          <w:numId w:val="1"/>
        </w:numPr>
        <w:spacing w:before="240" w:after="240"/>
        <w:jc w:val="both"/>
        <w:rPr>
          <w:rFonts w:asciiTheme="majorHAnsi" w:hAnsiTheme="majorHAnsi" w:cstheme="majorHAnsi"/>
          <w:sz w:val="22"/>
          <w:szCs w:val="22"/>
        </w:rPr>
      </w:pPr>
      <w:r w:rsidRPr="00C06F03">
        <w:rPr>
          <w:rFonts w:asciiTheme="majorHAnsi" w:hAnsiTheme="majorHAnsi" w:cstheme="majorHAnsi"/>
          <w:sz w:val="22"/>
          <w:szCs w:val="22"/>
        </w:rPr>
        <w:t>Transparencia</w:t>
      </w:r>
    </w:p>
    <w:p w14:paraId="6D5E488F" w14:textId="77777777" w:rsidR="00C06F03" w:rsidRPr="00C06F03" w:rsidRDefault="00C06F03" w:rsidP="00C06F03">
      <w:pPr>
        <w:pStyle w:val="Prrafodelista"/>
        <w:numPr>
          <w:ilvl w:val="0"/>
          <w:numId w:val="1"/>
        </w:numPr>
        <w:spacing w:before="240" w:after="240"/>
        <w:jc w:val="both"/>
        <w:rPr>
          <w:rFonts w:asciiTheme="majorHAnsi" w:hAnsiTheme="majorHAnsi" w:cstheme="majorHAnsi"/>
          <w:sz w:val="22"/>
          <w:szCs w:val="22"/>
        </w:rPr>
      </w:pPr>
      <w:r w:rsidRPr="00C06F03">
        <w:rPr>
          <w:rFonts w:asciiTheme="majorHAnsi" w:hAnsiTheme="majorHAnsi" w:cstheme="majorHAnsi"/>
          <w:sz w:val="22"/>
          <w:szCs w:val="22"/>
        </w:rPr>
        <w:t>Integridad</w:t>
      </w:r>
    </w:p>
    <w:p w14:paraId="5512842B" w14:textId="77777777" w:rsidR="00C06F03" w:rsidRPr="00C06F03" w:rsidRDefault="00C06F03" w:rsidP="00C06F03">
      <w:pPr>
        <w:pStyle w:val="Prrafodelista"/>
        <w:numPr>
          <w:ilvl w:val="0"/>
          <w:numId w:val="1"/>
        </w:numPr>
        <w:spacing w:before="240" w:after="240"/>
        <w:jc w:val="both"/>
        <w:rPr>
          <w:rFonts w:asciiTheme="majorHAnsi" w:hAnsiTheme="majorHAnsi" w:cstheme="majorHAnsi"/>
          <w:sz w:val="22"/>
          <w:szCs w:val="22"/>
        </w:rPr>
      </w:pPr>
      <w:r w:rsidRPr="00C06F03">
        <w:rPr>
          <w:rFonts w:asciiTheme="majorHAnsi" w:hAnsiTheme="majorHAnsi" w:cstheme="majorHAnsi"/>
          <w:sz w:val="22"/>
          <w:szCs w:val="22"/>
        </w:rPr>
        <w:t>Respeto</w:t>
      </w:r>
    </w:p>
    <w:p w14:paraId="426546F4" w14:textId="77777777" w:rsidR="00C06F03" w:rsidRPr="00C06F03" w:rsidRDefault="00C06F03" w:rsidP="00C06F03">
      <w:pPr>
        <w:pStyle w:val="Prrafodelista"/>
        <w:numPr>
          <w:ilvl w:val="0"/>
          <w:numId w:val="1"/>
        </w:numPr>
        <w:spacing w:before="240" w:after="240"/>
        <w:jc w:val="both"/>
        <w:rPr>
          <w:rFonts w:asciiTheme="majorHAnsi" w:hAnsiTheme="majorHAnsi" w:cstheme="majorHAnsi"/>
          <w:sz w:val="22"/>
          <w:szCs w:val="22"/>
        </w:rPr>
      </w:pPr>
      <w:r w:rsidRPr="00C06F03">
        <w:rPr>
          <w:rFonts w:asciiTheme="majorHAnsi" w:hAnsiTheme="majorHAnsi" w:cstheme="majorHAnsi"/>
          <w:sz w:val="22"/>
          <w:szCs w:val="22"/>
        </w:rPr>
        <w:t>Lealtad</w:t>
      </w:r>
    </w:p>
    <w:p w14:paraId="312A7AC9" w14:textId="3C7FD270" w:rsidR="005366E1" w:rsidRPr="00512E79" w:rsidRDefault="00C06F03" w:rsidP="005366E1">
      <w:pPr>
        <w:pStyle w:val="Prrafodelista"/>
        <w:numPr>
          <w:ilvl w:val="0"/>
          <w:numId w:val="1"/>
        </w:numPr>
        <w:spacing w:before="240" w:after="240"/>
        <w:jc w:val="both"/>
        <w:rPr>
          <w:rFonts w:asciiTheme="majorHAnsi" w:hAnsiTheme="majorHAnsi" w:cstheme="majorHAnsi"/>
          <w:sz w:val="22"/>
          <w:szCs w:val="22"/>
        </w:rPr>
      </w:pPr>
      <w:r w:rsidRPr="00C06F03">
        <w:rPr>
          <w:rFonts w:asciiTheme="majorHAnsi" w:hAnsiTheme="majorHAnsi" w:cstheme="majorHAnsi"/>
          <w:sz w:val="22"/>
          <w:szCs w:val="22"/>
        </w:rPr>
        <w:t>Honestidad</w:t>
      </w:r>
    </w:p>
    <w:p w14:paraId="71B8DB96" w14:textId="5286F086" w:rsidR="00C06F03" w:rsidRPr="00C751F5" w:rsidRDefault="005366E1" w:rsidP="00C751F5">
      <w:pPr>
        <w:pStyle w:val="Ttulo1"/>
        <w:rPr>
          <w:sz w:val="24"/>
          <w:szCs w:val="24"/>
        </w:rPr>
      </w:pPr>
      <w:bookmarkStart w:id="9" w:name="_Toc196485183"/>
      <w:bookmarkStart w:id="10" w:name="_Toc199759543"/>
      <w:r w:rsidRPr="00C751F5">
        <w:rPr>
          <w:sz w:val="24"/>
          <w:szCs w:val="24"/>
        </w:rPr>
        <w:t>Contexto Estratégico del Sector Energético y Minero del Ecuador</w:t>
      </w:r>
      <w:bookmarkEnd w:id="9"/>
      <w:bookmarkEnd w:id="10"/>
    </w:p>
    <w:p w14:paraId="5BCCFD2E" w14:textId="33F7FC62" w:rsidR="00C06F03" w:rsidRPr="00FC39C3" w:rsidRDefault="005366E1" w:rsidP="00595C27">
      <w:pPr>
        <w:pStyle w:val="Ttulo2"/>
        <w:spacing w:before="240" w:after="240"/>
        <w:rPr>
          <w:rFonts w:cstheme="majorHAnsi"/>
          <w:sz w:val="24"/>
          <w:szCs w:val="24"/>
        </w:rPr>
      </w:pPr>
      <w:bookmarkStart w:id="11" w:name="_Toc196485184"/>
      <w:bookmarkStart w:id="12" w:name="_Toc199759544"/>
      <w:r w:rsidRPr="00FC39C3">
        <w:rPr>
          <w:rFonts w:cstheme="majorHAnsi"/>
          <w:sz w:val="24"/>
          <w:szCs w:val="24"/>
        </w:rPr>
        <w:t xml:space="preserve">Modelo </w:t>
      </w:r>
      <w:r>
        <w:rPr>
          <w:rFonts w:cstheme="majorHAnsi"/>
          <w:sz w:val="24"/>
          <w:szCs w:val="24"/>
        </w:rPr>
        <w:t>d</w:t>
      </w:r>
      <w:r w:rsidRPr="00FC39C3">
        <w:rPr>
          <w:rFonts w:cstheme="majorHAnsi"/>
          <w:sz w:val="24"/>
          <w:szCs w:val="24"/>
        </w:rPr>
        <w:t xml:space="preserve">e Gestión </w:t>
      </w:r>
      <w:r>
        <w:rPr>
          <w:rFonts w:cstheme="majorHAnsi"/>
          <w:sz w:val="24"/>
          <w:szCs w:val="24"/>
        </w:rPr>
        <w:t>d</w:t>
      </w:r>
      <w:r w:rsidRPr="00FC39C3">
        <w:rPr>
          <w:rFonts w:cstheme="majorHAnsi"/>
          <w:sz w:val="24"/>
          <w:szCs w:val="24"/>
        </w:rPr>
        <w:t>el Sector Energético Minero</w:t>
      </w:r>
      <w:bookmarkEnd w:id="11"/>
      <w:bookmarkEnd w:id="12"/>
    </w:p>
    <w:p w14:paraId="6219B8EE" w14:textId="77777777" w:rsidR="00C06F03" w:rsidRPr="00C06F03" w:rsidRDefault="00C06F03" w:rsidP="00C06F03">
      <w:pPr>
        <w:pStyle w:val="Textoindependiente"/>
        <w:jc w:val="both"/>
        <w:rPr>
          <w:rFonts w:asciiTheme="majorHAnsi" w:hAnsiTheme="majorHAnsi" w:cstheme="majorHAnsi"/>
          <w:sz w:val="22"/>
          <w:szCs w:val="22"/>
        </w:rPr>
      </w:pPr>
      <w:r w:rsidRPr="00C06F03">
        <w:rPr>
          <w:rFonts w:asciiTheme="majorHAnsi" w:hAnsiTheme="majorHAnsi" w:cstheme="majorHAnsi"/>
          <w:sz w:val="22"/>
          <w:szCs w:val="22"/>
        </w:rPr>
        <w:t>De acuerdo con lo que estipula el artículo 204 de la Constitución de la República, el pueblo es el mandante y primer fiscalizador del poder público. Así también, en el artículo 208 se precisa la obligación y atribución que tiene el Consejo de Participación Ciudadana y Control Social, que es el establecer mecanismos de rendición de cuentas de las instituciones y entidades del sector público, y coadyuvar procesos de veeduría ciudadana y control social.</w:t>
      </w:r>
    </w:p>
    <w:p w14:paraId="0FD87FE5" w14:textId="77777777" w:rsidR="00C06F03" w:rsidRPr="00C06F03" w:rsidRDefault="00C06F03" w:rsidP="00C06F03">
      <w:pPr>
        <w:pStyle w:val="Textoindependiente"/>
        <w:jc w:val="both"/>
        <w:rPr>
          <w:rFonts w:asciiTheme="majorHAnsi" w:hAnsiTheme="majorHAnsi" w:cstheme="majorHAnsi"/>
          <w:sz w:val="22"/>
          <w:szCs w:val="22"/>
        </w:rPr>
      </w:pPr>
      <w:r w:rsidRPr="00C06F03">
        <w:rPr>
          <w:rFonts w:asciiTheme="majorHAnsi" w:hAnsiTheme="majorHAnsi" w:cstheme="majorHAnsi"/>
          <w:sz w:val="22"/>
          <w:szCs w:val="22"/>
        </w:rPr>
        <w:t>Por tanto, la Ley Orgánica de Participación Ciudadana en el artículo 89 define a la Rendición de Cuentas como un proceso sistemático, deliberado, interactivo y universal, que involucra a autoridades, funcionarios o sus representantes, quienes tienen la obligación de informar y someterse a evaluación de la ciudadanía por las acciones u omisiones en el ejercicio de su gestión y en la administración de recursos públicos.</w:t>
      </w:r>
    </w:p>
    <w:p w14:paraId="7FAF2A36" w14:textId="77777777" w:rsidR="00C06F03" w:rsidRPr="00C06F03" w:rsidRDefault="00C06F03" w:rsidP="00C06F03">
      <w:pPr>
        <w:pStyle w:val="Textoindependiente"/>
        <w:jc w:val="both"/>
        <w:rPr>
          <w:rFonts w:asciiTheme="majorHAnsi" w:hAnsiTheme="majorHAnsi" w:cstheme="majorHAnsi"/>
          <w:sz w:val="22"/>
          <w:szCs w:val="22"/>
        </w:rPr>
      </w:pPr>
      <w:r w:rsidRPr="00C06F03">
        <w:rPr>
          <w:rFonts w:asciiTheme="majorHAnsi" w:hAnsiTheme="majorHAnsi" w:cstheme="majorHAnsi"/>
          <w:sz w:val="22"/>
          <w:szCs w:val="22"/>
        </w:rPr>
        <w:lastRenderedPageBreak/>
        <w:t>El Ministerio de Energía y Minas (MEM), en calidad de ente rector de las entidades adscritas y empresas públicas del sector, tiene la rectoría con las facultades de: Planificación, Coordinación, Gestión, Regulación, Control y Evaluación de las políticas públicas en el ámbito de electricidad, hidrocarburos, minería y energía atómica, por lo que ejecuta procesos de formulación, ejecución, seguimiento y evaluación de la política pública; por lo que debe trabajar de manera coordinada con cada una de las instituciones a las cuales coordina para cumplir con las metas planteadas y alcanzar resultados.</w:t>
      </w:r>
    </w:p>
    <w:p w14:paraId="7DF35864" w14:textId="77777777" w:rsidR="00C06F03" w:rsidRPr="00C06F03" w:rsidRDefault="00C06F03" w:rsidP="00C06F03">
      <w:pPr>
        <w:pStyle w:val="Textoindependiente"/>
        <w:jc w:val="both"/>
        <w:rPr>
          <w:rFonts w:asciiTheme="majorHAnsi" w:hAnsiTheme="majorHAnsi" w:cstheme="majorHAnsi"/>
          <w:sz w:val="22"/>
          <w:szCs w:val="22"/>
        </w:rPr>
      </w:pPr>
      <w:r w:rsidRPr="00C06F03">
        <w:rPr>
          <w:rFonts w:asciiTheme="majorHAnsi" w:hAnsiTheme="majorHAnsi" w:cstheme="majorHAnsi"/>
          <w:sz w:val="22"/>
          <w:szCs w:val="22"/>
        </w:rPr>
        <w:t>En la figura, se resume la estructura del relacionamiento de gestión del Ministerio de Energía y Minas con sus entidades adscritas y empresas públicas que son parte del sector de Energía y Minas.</w:t>
      </w:r>
    </w:p>
    <w:p w14:paraId="01780375" w14:textId="6935A1CC" w:rsidR="006562FE" w:rsidRPr="006562FE" w:rsidRDefault="00C06F03" w:rsidP="006562FE">
      <w:pPr>
        <w:pStyle w:val="Descripcin"/>
        <w:rPr>
          <w:rFonts w:asciiTheme="majorHAnsi" w:hAnsiTheme="majorHAnsi" w:cstheme="majorHAnsi"/>
        </w:rPr>
      </w:pPr>
      <w:bookmarkStart w:id="13" w:name="_Toc199757574"/>
      <w:r w:rsidRPr="00E7589F">
        <w:rPr>
          <w:rFonts w:asciiTheme="majorHAnsi" w:hAnsiTheme="majorHAnsi" w:cstheme="majorHAnsi"/>
        </w:rPr>
        <w:t xml:space="preserve">Ilustración </w:t>
      </w:r>
      <w:r w:rsidR="00E7589F" w:rsidRPr="00E7589F">
        <w:rPr>
          <w:rFonts w:asciiTheme="majorHAnsi" w:hAnsiTheme="majorHAnsi" w:cstheme="majorHAnsi"/>
        </w:rPr>
        <w:fldChar w:fldCharType="begin"/>
      </w:r>
      <w:r w:rsidR="00E7589F" w:rsidRPr="00E7589F">
        <w:rPr>
          <w:rFonts w:asciiTheme="majorHAnsi" w:hAnsiTheme="majorHAnsi" w:cstheme="majorHAnsi"/>
        </w:rPr>
        <w:instrText xml:space="preserve"> SEQ Ilustración \* ARABIC </w:instrText>
      </w:r>
      <w:r w:rsidR="00E7589F" w:rsidRPr="00E7589F">
        <w:rPr>
          <w:rFonts w:asciiTheme="majorHAnsi" w:hAnsiTheme="majorHAnsi" w:cstheme="majorHAnsi"/>
        </w:rPr>
        <w:fldChar w:fldCharType="separate"/>
      </w:r>
      <w:r w:rsidR="00910BEC">
        <w:rPr>
          <w:rFonts w:asciiTheme="majorHAnsi" w:hAnsiTheme="majorHAnsi" w:cstheme="majorHAnsi"/>
          <w:noProof/>
        </w:rPr>
        <w:t>1</w:t>
      </w:r>
      <w:r w:rsidR="00E7589F" w:rsidRPr="00E7589F">
        <w:rPr>
          <w:rFonts w:asciiTheme="majorHAnsi" w:hAnsiTheme="majorHAnsi" w:cstheme="majorHAnsi"/>
        </w:rPr>
        <w:fldChar w:fldCharType="end"/>
      </w:r>
      <w:r w:rsidR="009348E0">
        <w:rPr>
          <w:rFonts w:asciiTheme="majorHAnsi" w:hAnsiTheme="majorHAnsi" w:cstheme="majorHAnsi"/>
        </w:rPr>
        <w:t xml:space="preserve">: </w:t>
      </w:r>
      <w:r w:rsidRPr="00E7589F">
        <w:rPr>
          <w:rFonts w:asciiTheme="majorHAnsi" w:hAnsiTheme="majorHAnsi" w:cstheme="majorHAnsi"/>
        </w:rPr>
        <w:t>Estructura del sector energía y minas</w:t>
      </w:r>
      <w:bookmarkEnd w:id="13"/>
    </w:p>
    <w:p w14:paraId="51AA40E9" w14:textId="35A120E7" w:rsidR="00C06F03" w:rsidRDefault="006562FE" w:rsidP="00C06F03">
      <w:r w:rsidRPr="006562FE">
        <w:drawing>
          <wp:inline distT="0" distB="0" distL="0" distR="0" wp14:anchorId="1AC5A8A3" wp14:editId="67A66D1F">
            <wp:extent cx="5202820" cy="3695096"/>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34" t="2544"/>
                    <a:stretch/>
                  </pic:blipFill>
                  <pic:spPr bwMode="auto">
                    <a:xfrm>
                      <a:off x="0" y="0"/>
                      <a:ext cx="5208740" cy="3699301"/>
                    </a:xfrm>
                    <a:prstGeom prst="rect">
                      <a:avLst/>
                    </a:prstGeom>
                    <a:ln>
                      <a:noFill/>
                    </a:ln>
                    <a:extLst>
                      <a:ext uri="{53640926-AAD7-44D8-BBD7-CCE9431645EC}">
                        <a14:shadowObscured xmlns:a14="http://schemas.microsoft.com/office/drawing/2010/main"/>
                      </a:ext>
                    </a:extLst>
                  </pic:spPr>
                </pic:pic>
              </a:graphicData>
            </a:graphic>
          </wp:inline>
        </w:drawing>
      </w:r>
    </w:p>
    <w:p w14:paraId="0B88F8CC" w14:textId="77777777" w:rsidR="00C06F03" w:rsidRPr="00450639" w:rsidRDefault="00C06F03" w:rsidP="00450639">
      <w:pPr>
        <w:rPr>
          <w:rFonts w:asciiTheme="majorHAnsi" w:hAnsiTheme="majorHAnsi"/>
          <w:i/>
          <w:sz w:val="18"/>
          <w:szCs w:val="18"/>
        </w:rPr>
      </w:pPr>
      <w:r w:rsidRPr="00450639">
        <w:rPr>
          <w:rFonts w:asciiTheme="majorHAnsi" w:hAnsiTheme="majorHAnsi"/>
          <w:i/>
          <w:sz w:val="18"/>
          <w:szCs w:val="18"/>
        </w:rPr>
        <w:t>Fuente: Plan Sectorial de Energía y Minas 2021-2025</w:t>
      </w:r>
      <w:r w:rsidRPr="00450639">
        <w:rPr>
          <w:rStyle w:val="Refdenotaalpie"/>
          <w:rFonts w:asciiTheme="majorHAnsi" w:hAnsiTheme="majorHAnsi"/>
          <w:i/>
          <w:sz w:val="18"/>
          <w:szCs w:val="18"/>
        </w:rPr>
        <w:footnoteReference w:id="1"/>
      </w:r>
    </w:p>
    <w:p w14:paraId="20BD6EE5" w14:textId="77777777" w:rsidR="00C06F03" w:rsidRPr="00C06F03" w:rsidRDefault="00C06F03" w:rsidP="00C06F03"/>
    <w:p w14:paraId="7C81AC95" w14:textId="0B135A26" w:rsidR="00186095" w:rsidRDefault="00C06F03" w:rsidP="00186095">
      <w:pPr>
        <w:pStyle w:val="Textoindependiente"/>
        <w:jc w:val="both"/>
        <w:rPr>
          <w:rFonts w:asciiTheme="majorHAnsi" w:hAnsiTheme="majorHAnsi" w:cstheme="majorHAnsi"/>
          <w:sz w:val="22"/>
          <w:szCs w:val="22"/>
        </w:rPr>
      </w:pPr>
      <w:r w:rsidRPr="00C06F03">
        <w:rPr>
          <w:rFonts w:asciiTheme="majorHAnsi" w:hAnsiTheme="majorHAnsi" w:cstheme="majorHAnsi"/>
          <w:sz w:val="22"/>
          <w:szCs w:val="22"/>
        </w:rPr>
        <w:t>Con la estructura expuesta, se da a conocer la distribución de gestión que existe en cada sector: hidrocarburos, minería, electricidad y energía atómica, mismos que se basan en la ejecución de los planes, programas y proyectos.</w:t>
      </w:r>
      <w:bookmarkStart w:id="14" w:name="_Toc196485185"/>
    </w:p>
    <w:p w14:paraId="00761BDB" w14:textId="77777777" w:rsidR="00186095" w:rsidRPr="00186095" w:rsidRDefault="00186095" w:rsidP="00186095">
      <w:pPr>
        <w:pStyle w:val="Textoindependiente"/>
        <w:jc w:val="both"/>
        <w:rPr>
          <w:rFonts w:asciiTheme="majorHAnsi" w:hAnsiTheme="majorHAnsi" w:cstheme="majorHAnsi"/>
          <w:sz w:val="22"/>
          <w:szCs w:val="22"/>
        </w:rPr>
      </w:pPr>
    </w:p>
    <w:p w14:paraId="462B4D4F" w14:textId="67266659" w:rsidR="00CF0AD2" w:rsidRPr="00186095" w:rsidRDefault="00926335" w:rsidP="00186095">
      <w:pPr>
        <w:pStyle w:val="Ttulo2"/>
        <w:spacing w:before="240" w:after="240"/>
        <w:rPr>
          <w:rFonts w:cstheme="majorHAnsi"/>
          <w:sz w:val="24"/>
          <w:szCs w:val="24"/>
        </w:rPr>
      </w:pPr>
      <w:bookmarkStart w:id="15" w:name="_Toc199759545"/>
      <w:r w:rsidRPr="00450639">
        <w:rPr>
          <w:rFonts w:cstheme="majorHAnsi"/>
          <w:sz w:val="24"/>
          <w:szCs w:val="24"/>
        </w:rPr>
        <w:t xml:space="preserve">Alineación </w:t>
      </w:r>
      <w:r w:rsidR="00CF0AD2">
        <w:rPr>
          <w:rFonts w:cstheme="majorHAnsi"/>
          <w:sz w:val="24"/>
          <w:szCs w:val="24"/>
        </w:rPr>
        <w:t>d</w:t>
      </w:r>
      <w:r>
        <w:rPr>
          <w:rFonts w:cstheme="majorHAnsi"/>
          <w:sz w:val="24"/>
          <w:szCs w:val="24"/>
        </w:rPr>
        <w:t>e</w:t>
      </w:r>
      <w:r w:rsidRPr="00450639">
        <w:rPr>
          <w:rFonts w:cstheme="majorHAnsi"/>
          <w:sz w:val="24"/>
          <w:szCs w:val="24"/>
        </w:rPr>
        <w:t xml:space="preserve">l Plan Nacional </w:t>
      </w:r>
      <w:r>
        <w:rPr>
          <w:rFonts w:cstheme="majorHAnsi"/>
          <w:sz w:val="24"/>
          <w:szCs w:val="24"/>
        </w:rPr>
        <w:t>d</w:t>
      </w:r>
      <w:r w:rsidRPr="00450639">
        <w:rPr>
          <w:rFonts w:cstheme="majorHAnsi"/>
          <w:sz w:val="24"/>
          <w:szCs w:val="24"/>
        </w:rPr>
        <w:t>e Desarrollo</w:t>
      </w:r>
      <w:bookmarkEnd w:id="14"/>
      <w:r w:rsidR="00001CA3">
        <w:rPr>
          <w:rFonts w:cstheme="majorHAnsi"/>
          <w:sz w:val="24"/>
          <w:szCs w:val="24"/>
        </w:rPr>
        <w:t xml:space="preserve">, </w:t>
      </w:r>
      <w:r w:rsidR="00CF0AD2">
        <w:rPr>
          <w:rFonts w:cstheme="majorHAnsi"/>
          <w:sz w:val="24"/>
          <w:szCs w:val="24"/>
        </w:rPr>
        <w:t>con los Objetivos Estratégicos Institucionales</w:t>
      </w:r>
      <w:bookmarkEnd w:id="15"/>
      <w:r w:rsidR="00CF0AD2">
        <w:rPr>
          <w:rFonts w:cstheme="majorHAnsi"/>
          <w:sz w:val="24"/>
          <w:szCs w:val="24"/>
        </w:rPr>
        <w:t xml:space="preserve"> </w:t>
      </w:r>
    </w:p>
    <w:p w14:paraId="33F97294" w14:textId="77777777" w:rsidR="00CF0AD2" w:rsidRDefault="00CF0AD2" w:rsidP="00CF0AD2">
      <w:pPr>
        <w:jc w:val="both"/>
        <w:rPr>
          <w:rFonts w:asciiTheme="majorHAnsi" w:hAnsiTheme="majorHAnsi" w:cstheme="majorHAnsi"/>
          <w:sz w:val="22"/>
          <w:szCs w:val="22"/>
        </w:rPr>
      </w:pPr>
      <w:r w:rsidRPr="001717A6">
        <w:rPr>
          <w:rFonts w:asciiTheme="majorHAnsi" w:hAnsiTheme="majorHAnsi" w:cstheme="majorHAnsi"/>
          <w:sz w:val="22"/>
          <w:szCs w:val="22"/>
        </w:rPr>
        <w:t xml:space="preserve">La evaluación de cumplimiento global de los indicadores de gestión del MEM, del </w:t>
      </w:r>
      <w:r w:rsidRPr="00761E92">
        <w:rPr>
          <w:rFonts w:asciiTheme="majorHAnsi" w:hAnsiTheme="majorHAnsi" w:cstheme="majorHAnsi"/>
          <w:sz w:val="22"/>
          <w:szCs w:val="22"/>
        </w:rPr>
        <w:t>87,15%.</w:t>
      </w:r>
      <w:r w:rsidRPr="001717A6">
        <w:rPr>
          <w:rFonts w:asciiTheme="majorHAnsi" w:hAnsiTheme="majorHAnsi" w:cstheme="majorHAnsi"/>
          <w:b/>
          <w:sz w:val="22"/>
          <w:szCs w:val="22"/>
        </w:rPr>
        <w:t xml:space="preserve"> </w:t>
      </w:r>
    </w:p>
    <w:p w14:paraId="2DCCD16D" w14:textId="70441BEA" w:rsidR="00CF0AD2" w:rsidRPr="001717A6" w:rsidRDefault="00CF0AD2" w:rsidP="00186095">
      <w:pPr>
        <w:pStyle w:val="Descripcin"/>
        <w:jc w:val="left"/>
      </w:pPr>
    </w:p>
    <w:p w14:paraId="71FE0136" w14:textId="6F911073" w:rsidR="00CF0AD2" w:rsidRPr="00CF0AD2" w:rsidRDefault="00CF0AD2" w:rsidP="00CF0AD2">
      <w:pPr>
        <w:pStyle w:val="Descripcin"/>
        <w:rPr>
          <w:rFonts w:asciiTheme="majorHAnsi" w:hAnsiTheme="majorHAnsi" w:cstheme="majorHAnsi"/>
        </w:rPr>
      </w:pPr>
      <w:bookmarkStart w:id="16" w:name="_Toc199759671"/>
      <w:r w:rsidRPr="00CF0AD2">
        <w:rPr>
          <w:rFonts w:asciiTheme="majorHAnsi" w:hAnsiTheme="majorHAnsi" w:cstheme="majorHAnsi"/>
        </w:rPr>
        <w:t xml:space="preserve">Tabla </w:t>
      </w:r>
      <w:r w:rsidRPr="00CF0AD2">
        <w:rPr>
          <w:rFonts w:asciiTheme="majorHAnsi" w:hAnsiTheme="majorHAnsi" w:cstheme="majorHAnsi"/>
        </w:rPr>
        <w:fldChar w:fldCharType="begin"/>
      </w:r>
      <w:r w:rsidRPr="00CF0AD2">
        <w:rPr>
          <w:rFonts w:asciiTheme="majorHAnsi" w:hAnsiTheme="majorHAnsi" w:cstheme="majorHAnsi"/>
        </w:rPr>
        <w:instrText xml:space="preserve"> SEQ Tabla \* ARABIC </w:instrText>
      </w:r>
      <w:r w:rsidRPr="00CF0AD2">
        <w:rPr>
          <w:rFonts w:asciiTheme="majorHAnsi" w:hAnsiTheme="majorHAnsi" w:cstheme="majorHAnsi"/>
        </w:rPr>
        <w:fldChar w:fldCharType="separate"/>
      </w:r>
      <w:r>
        <w:rPr>
          <w:rFonts w:asciiTheme="majorHAnsi" w:hAnsiTheme="majorHAnsi" w:cstheme="majorHAnsi"/>
          <w:noProof/>
        </w:rPr>
        <w:t>1</w:t>
      </w:r>
      <w:r w:rsidRPr="00CF0AD2">
        <w:rPr>
          <w:rFonts w:asciiTheme="majorHAnsi" w:hAnsiTheme="majorHAnsi" w:cstheme="majorHAnsi"/>
        </w:rPr>
        <w:fldChar w:fldCharType="end"/>
      </w:r>
      <w:r w:rsidRPr="00CF0AD2">
        <w:rPr>
          <w:rFonts w:asciiTheme="majorHAnsi" w:hAnsiTheme="majorHAnsi" w:cstheme="majorHAnsi"/>
        </w:rPr>
        <w:t xml:space="preserve">: Objetivos del PND alineación </w:t>
      </w:r>
      <w:proofErr w:type="gramStart"/>
      <w:r w:rsidRPr="00CF0AD2">
        <w:rPr>
          <w:rFonts w:asciiTheme="majorHAnsi" w:hAnsiTheme="majorHAnsi" w:cstheme="majorHAnsi"/>
        </w:rPr>
        <w:t>Estratégica  Institucional</w:t>
      </w:r>
      <w:proofErr w:type="gramEnd"/>
      <w:r w:rsidRPr="00CF0AD2">
        <w:rPr>
          <w:rFonts w:asciiTheme="majorHAnsi" w:hAnsiTheme="majorHAnsi" w:cstheme="majorHAnsi"/>
        </w:rPr>
        <w:t xml:space="preserve"> MEM</w:t>
      </w:r>
      <w:bookmarkEnd w:id="16"/>
    </w:p>
    <w:tbl>
      <w:tblPr>
        <w:tblW w:w="0" w:type="auto"/>
        <w:tblCellMar>
          <w:left w:w="70" w:type="dxa"/>
          <w:right w:w="70" w:type="dxa"/>
        </w:tblCellMar>
        <w:tblLook w:val="04A0" w:firstRow="1" w:lastRow="0" w:firstColumn="1" w:lastColumn="0" w:noHBand="0" w:noVBand="1"/>
      </w:tblPr>
      <w:tblGrid>
        <w:gridCol w:w="1193"/>
        <w:gridCol w:w="1244"/>
        <w:gridCol w:w="1283"/>
        <w:gridCol w:w="1226"/>
        <w:gridCol w:w="1255"/>
        <w:gridCol w:w="1255"/>
        <w:gridCol w:w="1038"/>
      </w:tblGrid>
      <w:tr w:rsidR="00CF0AD2" w:rsidRPr="00CF0AD2" w14:paraId="14E5DF83" w14:textId="77777777" w:rsidTr="00CF0AD2">
        <w:trPr>
          <w:trHeight w:val="290"/>
          <w:tblHeader/>
        </w:trPr>
        <w:tc>
          <w:tcPr>
            <w:tcW w:w="0" w:type="auto"/>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258B013D" w14:textId="77777777" w:rsidR="00CF0AD2" w:rsidRPr="00CF0AD2" w:rsidRDefault="00CF0AD2" w:rsidP="00155C19">
            <w:pPr>
              <w:jc w:val="center"/>
              <w:rPr>
                <w:rFonts w:asciiTheme="majorHAnsi" w:eastAsia="Times New Roman" w:hAnsiTheme="majorHAnsi" w:cstheme="majorHAnsi"/>
                <w:b/>
                <w:bCs/>
                <w:color w:val="FFFFFF"/>
                <w:sz w:val="18"/>
                <w:szCs w:val="18"/>
                <w:lang w:eastAsia="es-EC"/>
              </w:rPr>
            </w:pPr>
            <w:bookmarkStart w:id="17" w:name="_Toc160003922"/>
            <w:bookmarkEnd w:id="17"/>
            <w:r w:rsidRPr="00CF0AD2">
              <w:rPr>
                <w:rFonts w:asciiTheme="majorHAnsi" w:eastAsia="Times New Roman" w:hAnsiTheme="majorHAnsi" w:cstheme="majorHAnsi"/>
                <w:b/>
                <w:bCs/>
                <w:color w:val="FFFFFF"/>
                <w:sz w:val="18"/>
                <w:szCs w:val="18"/>
                <w:lang w:eastAsia="es-EC"/>
              </w:rPr>
              <w:t>Objetivo PND</w:t>
            </w:r>
          </w:p>
        </w:tc>
        <w:tc>
          <w:tcPr>
            <w:tcW w:w="0" w:type="auto"/>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60BB554E" w14:textId="77777777" w:rsidR="00CF0AD2" w:rsidRPr="00CF0AD2" w:rsidRDefault="00CF0AD2" w:rsidP="00155C19">
            <w:pPr>
              <w:jc w:val="center"/>
              <w:rPr>
                <w:rFonts w:asciiTheme="majorHAnsi" w:eastAsia="Times New Roman" w:hAnsiTheme="majorHAnsi" w:cstheme="majorHAnsi"/>
                <w:b/>
                <w:bCs/>
                <w:color w:val="FFFFFF"/>
                <w:sz w:val="18"/>
                <w:szCs w:val="18"/>
                <w:lang w:eastAsia="es-EC"/>
              </w:rPr>
            </w:pPr>
            <w:r w:rsidRPr="00CF0AD2">
              <w:rPr>
                <w:rFonts w:asciiTheme="majorHAnsi" w:eastAsia="Times New Roman" w:hAnsiTheme="majorHAnsi" w:cstheme="majorHAnsi"/>
                <w:b/>
                <w:bCs/>
                <w:color w:val="FFFFFF"/>
                <w:sz w:val="18"/>
                <w:szCs w:val="18"/>
                <w:lang w:eastAsia="es-EC"/>
              </w:rPr>
              <w:t>Objetivo PS</w:t>
            </w:r>
          </w:p>
        </w:tc>
        <w:tc>
          <w:tcPr>
            <w:tcW w:w="0" w:type="auto"/>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0DC46A81" w14:textId="77777777" w:rsidR="00CF0AD2" w:rsidRPr="00CF0AD2" w:rsidRDefault="00CF0AD2" w:rsidP="00155C19">
            <w:pPr>
              <w:jc w:val="center"/>
              <w:rPr>
                <w:rFonts w:asciiTheme="majorHAnsi" w:eastAsia="Times New Roman" w:hAnsiTheme="majorHAnsi" w:cstheme="majorHAnsi"/>
                <w:b/>
                <w:bCs/>
                <w:color w:val="FFFFFF"/>
                <w:sz w:val="18"/>
                <w:szCs w:val="18"/>
                <w:lang w:eastAsia="es-EC"/>
              </w:rPr>
            </w:pPr>
            <w:r w:rsidRPr="00CF0AD2">
              <w:rPr>
                <w:rFonts w:asciiTheme="majorHAnsi" w:eastAsia="Times New Roman" w:hAnsiTheme="majorHAnsi" w:cstheme="majorHAnsi"/>
                <w:b/>
                <w:bCs/>
                <w:color w:val="FFFFFF"/>
                <w:sz w:val="18"/>
                <w:szCs w:val="18"/>
                <w:lang w:eastAsia="es-EC"/>
              </w:rPr>
              <w:t>Objetivo PEI</w:t>
            </w:r>
          </w:p>
        </w:tc>
        <w:tc>
          <w:tcPr>
            <w:tcW w:w="1213"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4336902F" w14:textId="77777777" w:rsidR="00CF0AD2" w:rsidRPr="00CF0AD2" w:rsidRDefault="00CF0AD2" w:rsidP="00155C19">
            <w:pPr>
              <w:jc w:val="center"/>
              <w:rPr>
                <w:rFonts w:asciiTheme="majorHAnsi" w:eastAsia="Times New Roman" w:hAnsiTheme="majorHAnsi" w:cstheme="majorHAnsi"/>
                <w:b/>
                <w:bCs/>
                <w:color w:val="FFFFFF"/>
                <w:sz w:val="18"/>
                <w:szCs w:val="18"/>
                <w:lang w:eastAsia="es-EC"/>
              </w:rPr>
            </w:pPr>
            <w:r w:rsidRPr="00CF0AD2">
              <w:rPr>
                <w:rFonts w:asciiTheme="majorHAnsi" w:eastAsia="Times New Roman" w:hAnsiTheme="majorHAnsi" w:cstheme="majorHAnsi"/>
                <w:b/>
                <w:bCs/>
                <w:color w:val="FFFFFF"/>
                <w:sz w:val="18"/>
                <w:szCs w:val="18"/>
                <w:lang w:eastAsia="es-EC"/>
              </w:rPr>
              <w:t>Indicador</w:t>
            </w:r>
          </w:p>
        </w:tc>
        <w:tc>
          <w:tcPr>
            <w:tcW w:w="1241" w:type="dxa"/>
            <w:tcBorders>
              <w:top w:val="nil"/>
              <w:left w:val="nil"/>
              <w:bottom w:val="single" w:sz="4" w:space="0" w:color="auto"/>
              <w:right w:val="single" w:sz="4" w:space="0" w:color="auto"/>
            </w:tcBorders>
            <w:shd w:val="clear" w:color="auto" w:fill="2F5496" w:themeFill="accent1" w:themeFillShade="BF"/>
            <w:vAlign w:val="center"/>
            <w:hideMark/>
          </w:tcPr>
          <w:p w14:paraId="1F463331" w14:textId="77777777" w:rsidR="00CF0AD2" w:rsidRPr="00CF0AD2" w:rsidRDefault="00CF0AD2" w:rsidP="00155C19">
            <w:pPr>
              <w:jc w:val="center"/>
              <w:rPr>
                <w:rFonts w:asciiTheme="majorHAnsi" w:eastAsia="Times New Roman" w:hAnsiTheme="majorHAnsi" w:cstheme="majorHAnsi"/>
                <w:b/>
                <w:bCs/>
                <w:color w:val="FFFFFF"/>
                <w:sz w:val="18"/>
                <w:szCs w:val="18"/>
                <w:lang w:eastAsia="es-EC"/>
              </w:rPr>
            </w:pPr>
            <w:r w:rsidRPr="00CF0AD2">
              <w:rPr>
                <w:rFonts w:asciiTheme="majorHAnsi" w:eastAsia="Times New Roman" w:hAnsiTheme="majorHAnsi" w:cstheme="majorHAnsi"/>
                <w:b/>
                <w:bCs/>
                <w:color w:val="FFFFFF"/>
                <w:sz w:val="18"/>
                <w:szCs w:val="18"/>
                <w:lang w:eastAsia="es-EC"/>
              </w:rPr>
              <w:t>Meta</w:t>
            </w:r>
          </w:p>
        </w:tc>
        <w:tc>
          <w:tcPr>
            <w:tcW w:w="1241" w:type="dxa"/>
            <w:tcBorders>
              <w:top w:val="nil"/>
              <w:left w:val="nil"/>
              <w:bottom w:val="single" w:sz="4" w:space="0" w:color="auto"/>
              <w:right w:val="single" w:sz="4" w:space="0" w:color="auto"/>
            </w:tcBorders>
            <w:shd w:val="clear" w:color="auto" w:fill="2F5496" w:themeFill="accent1" w:themeFillShade="BF"/>
            <w:vAlign w:val="center"/>
            <w:hideMark/>
          </w:tcPr>
          <w:p w14:paraId="6326A9A7" w14:textId="77777777" w:rsidR="00CF0AD2" w:rsidRPr="00CF0AD2" w:rsidRDefault="00CF0AD2" w:rsidP="00155C19">
            <w:pPr>
              <w:jc w:val="center"/>
              <w:rPr>
                <w:rFonts w:asciiTheme="majorHAnsi" w:eastAsia="Times New Roman" w:hAnsiTheme="majorHAnsi" w:cstheme="majorHAnsi"/>
                <w:b/>
                <w:bCs/>
                <w:color w:val="FFFFFF"/>
                <w:sz w:val="18"/>
                <w:szCs w:val="18"/>
                <w:lang w:eastAsia="es-EC"/>
              </w:rPr>
            </w:pPr>
            <w:r w:rsidRPr="00CF0AD2">
              <w:rPr>
                <w:rFonts w:asciiTheme="majorHAnsi" w:eastAsia="Times New Roman" w:hAnsiTheme="majorHAnsi" w:cstheme="majorHAnsi"/>
                <w:b/>
                <w:bCs/>
                <w:color w:val="FFFFFF"/>
                <w:sz w:val="18"/>
                <w:szCs w:val="18"/>
                <w:lang w:eastAsia="es-EC"/>
              </w:rPr>
              <w:t>Resultado</w:t>
            </w:r>
          </w:p>
        </w:tc>
        <w:tc>
          <w:tcPr>
            <w:tcW w:w="1118" w:type="dxa"/>
            <w:tcBorders>
              <w:top w:val="nil"/>
              <w:left w:val="nil"/>
              <w:bottom w:val="single" w:sz="4" w:space="0" w:color="auto"/>
              <w:right w:val="single" w:sz="4" w:space="0" w:color="auto"/>
            </w:tcBorders>
            <w:shd w:val="clear" w:color="auto" w:fill="2F5496" w:themeFill="accent1" w:themeFillShade="BF"/>
            <w:vAlign w:val="center"/>
            <w:hideMark/>
          </w:tcPr>
          <w:p w14:paraId="5D47571D" w14:textId="77777777" w:rsidR="00CF0AD2" w:rsidRPr="00CF0AD2" w:rsidRDefault="00CF0AD2" w:rsidP="00155C19">
            <w:pPr>
              <w:jc w:val="center"/>
              <w:rPr>
                <w:rFonts w:asciiTheme="majorHAnsi" w:eastAsia="Times New Roman" w:hAnsiTheme="majorHAnsi" w:cstheme="majorHAnsi"/>
                <w:b/>
                <w:bCs/>
                <w:color w:val="FFFFFF"/>
                <w:sz w:val="18"/>
                <w:szCs w:val="18"/>
                <w:lang w:eastAsia="es-EC"/>
              </w:rPr>
            </w:pPr>
            <w:r w:rsidRPr="00CF0AD2">
              <w:rPr>
                <w:rFonts w:asciiTheme="majorHAnsi" w:eastAsia="Times New Roman" w:hAnsiTheme="majorHAnsi" w:cstheme="majorHAnsi"/>
                <w:b/>
                <w:bCs/>
                <w:color w:val="FFFFFF"/>
                <w:sz w:val="18"/>
                <w:szCs w:val="18"/>
                <w:lang w:eastAsia="es-EC"/>
              </w:rPr>
              <w:t>% Cumplimiento</w:t>
            </w:r>
          </w:p>
        </w:tc>
      </w:tr>
      <w:tr w:rsidR="00CF0AD2" w:rsidRPr="00CF0AD2" w14:paraId="060B2907" w14:textId="77777777" w:rsidTr="00CF0AD2">
        <w:trPr>
          <w:trHeight w:val="1392"/>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51BC4E40" w14:textId="77777777" w:rsidR="00CF0AD2" w:rsidRPr="00CF0AD2" w:rsidRDefault="00CF0AD2" w:rsidP="00155C19">
            <w:pPr>
              <w:rPr>
                <w:rFonts w:asciiTheme="majorHAnsi" w:eastAsia="Times New Roman" w:hAnsiTheme="majorHAnsi" w:cstheme="majorHAnsi"/>
                <w:sz w:val="18"/>
                <w:szCs w:val="18"/>
                <w:lang w:eastAsia="es-EC"/>
              </w:rPr>
            </w:pPr>
            <w:r w:rsidRPr="00CF0AD2">
              <w:rPr>
                <w:rFonts w:asciiTheme="majorHAnsi" w:eastAsia="Times New Roman" w:hAnsiTheme="majorHAnsi" w:cstheme="majorHAnsi"/>
                <w:sz w:val="18"/>
                <w:szCs w:val="18"/>
                <w:lang w:eastAsia="es-EC"/>
              </w:rPr>
              <w:t>7. Precautelar el uso responsable de los recursos naturales con un entorno ambientalmente sostenible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12C6CA"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Energía y Minas 1. Garantizar el abastecimiento de la demanda de potencia y energía eléctrica del Ecuador mediante la expansión del parque generador con criterios de eficiencia, sostenibilidad, calidad, confiabilidad y seguridad, basado en la investigación, innovación y transferencia de tecnología, permitiendo además la participación de empresas públicas e inversión privada</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2B610F8C"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21. Incrementar la eficiencia y productividad en el aprovechamiento de los recursos energéticos y mineros.</w:t>
            </w:r>
          </w:p>
        </w:tc>
        <w:tc>
          <w:tcPr>
            <w:tcW w:w="1213" w:type="dxa"/>
            <w:tcBorders>
              <w:top w:val="nil"/>
              <w:left w:val="nil"/>
              <w:bottom w:val="single" w:sz="4" w:space="0" w:color="auto"/>
              <w:right w:val="single" w:sz="4" w:space="0" w:color="auto"/>
            </w:tcBorders>
            <w:shd w:val="clear" w:color="auto" w:fill="auto"/>
            <w:vAlign w:val="center"/>
            <w:hideMark/>
          </w:tcPr>
          <w:p w14:paraId="459E315F"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 xml:space="preserve">21.13 Capacidad instalada de nueva generación eléctrica </w:t>
            </w:r>
          </w:p>
        </w:tc>
        <w:tc>
          <w:tcPr>
            <w:tcW w:w="1241" w:type="dxa"/>
            <w:tcBorders>
              <w:top w:val="nil"/>
              <w:left w:val="nil"/>
              <w:bottom w:val="single" w:sz="4" w:space="0" w:color="auto"/>
              <w:right w:val="single" w:sz="4" w:space="0" w:color="auto"/>
            </w:tcBorders>
            <w:shd w:val="clear" w:color="auto" w:fill="auto"/>
            <w:noWrap/>
            <w:vAlign w:val="center"/>
            <w:hideMark/>
          </w:tcPr>
          <w:p w14:paraId="60D8D63D"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7.974,38</w:t>
            </w:r>
          </w:p>
        </w:tc>
        <w:tc>
          <w:tcPr>
            <w:tcW w:w="1241" w:type="dxa"/>
            <w:tcBorders>
              <w:top w:val="nil"/>
              <w:left w:val="nil"/>
              <w:bottom w:val="single" w:sz="4" w:space="0" w:color="auto"/>
              <w:right w:val="single" w:sz="4" w:space="0" w:color="auto"/>
            </w:tcBorders>
            <w:shd w:val="clear" w:color="auto" w:fill="auto"/>
            <w:noWrap/>
            <w:vAlign w:val="center"/>
            <w:hideMark/>
          </w:tcPr>
          <w:p w14:paraId="799FBBFF"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 xml:space="preserve">                     7.509,12 </w:t>
            </w:r>
          </w:p>
        </w:tc>
        <w:tc>
          <w:tcPr>
            <w:tcW w:w="1118" w:type="dxa"/>
            <w:tcBorders>
              <w:top w:val="nil"/>
              <w:left w:val="nil"/>
              <w:bottom w:val="single" w:sz="4" w:space="0" w:color="auto"/>
              <w:right w:val="single" w:sz="4" w:space="0" w:color="auto"/>
            </w:tcBorders>
            <w:shd w:val="clear" w:color="auto" w:fill="auto"/>
            <w:vAlign w:val="center"/>
            <w:hideMark/>
          </w:tcPr>
          <w:p w14:paraId="7FFC1DAB"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94,17%</w:t>
            </w:r>
          </w:p>
        </w:tc>
      </w:tr>
      <w:tr w:rsidR="00CF0AD2" w:rsidRPr="00CF0AD2" w14:paraId="2A69E36D" w14:textId="77777777" w:rsidTr="00CF0AD2">
        <w:trPr>
          <w:trHeight w:val="690"/>
        </w:trPr>
        <w:tc>
          <w:tcPr>
            <w:tcW w:w="0" w:type="auto"/>
            <w:vMerge/>
            <w:tcBorders>
              <w:top w:val="nil"/>
              <w:left w:val="single" w:sz="4" w:space="0" w:color="auto"/>
              <w:bottom w:val="single" w:sz="4" w:space="0" w:color="auto"/>
              <w:right w:val="single" w:sz="4" w:space="0" w:color="auto"/>
            </w:tcBorders>
            <w:vAlign w:val="center"/>
            <w:hideMark/>
          </w:tcPr>
          <w:p w14:paraId="7531A76A" w14:textId="77777777" w:rsidR="00CF0AD2" w:rsidRPr="00CF0AD2" w:rsidRDefault="00CF0AD2" w:rsidP="00155C19">
            <w:pPr>
              <w:rPr>
                <w:rFonts w:asciiTheme="majorHAnsi" w:eastAsia="Times New Roman" w:hAnsiTheme="majorHAnsi" w:cstheme="majorHAnsi"/>
                <w:sz w:val="18"/>
                <w:szCs w:val="18"/>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0CF07E5A" w14:textId="77777777" w:rsidR="00CF0AD2" w:rsidRPr="00CF0AD2" w:rsidRDefault="00CF0AD2" w:rsidP="00155C19">
            <w:pPr>
              <w:rPr>
                <w:rFonts w:asciiTheme="majorHAnsi" w:eastAsia="Times New Roman" w:hAnsiTheme="majorHAnsi" w:cstheme="majorHAnsi"/>
                <w:color w:val="000000"/>
                <w:sz w:val="18"/>
                <w:szCs w:val="18"/>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012C0B74" w14:textId="77777777" w:rsidR="00CF0AD2" w:rsidRPr="00CF0AD2" w:rsidRDefault="00CF0AD2" w:rsidP="00155C19">
            <w:pPr>
              <w:rPr>
                <w:rFonts w:asciiTheme="majorHAnsi" w:eastAsia="Times New Roman" w:hAnsiTheme="majorHAnsi" w:cstheme="majorHAnsi"/>
                <w:color w:val="000000"/>
                <w:sz w:val="18"/>
                <w:szCs w:val="18"/>
                <w:lang w:eastAsia="es-EC"/>
              </w:rPr>
            </w:pPr>
          </w:p>
        </w:tc>
        <w:tc>
          <w:tcPr>
            <w:tcW w:w="1213" w:type="dxa"/>
            <w:tcBorders>
              <w:top w:val="nil"/>
              <w:left w:val="nil"/>
              <w:bottom w:val="single" w:sz="4" w:space="0" w:color="auto"/>
              <w:right w:val="single" w:sz="4" w:space="0" w:color="auto"/>
            </w:tcBorders>
            <w:shd w:val="clear" w:color="auto" w:fill="auto"/>
            <w:vAlign w:val="center"/>
            <w:hideMark/>
          </w:tcPr>
          <w:p w14:paraId="11C022EE"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 xml:space="preserve">21.14 Porcentaje de pérdidas de energía eléctrica en los sistemas de distribución. </w:t>
            </w:r>
          </w:p>
        </w:tc>
        <w:tc>
          <w:tcPr>
            <w:tcW w:w="1241" w:type="dxa"/>
            <w:tcBorders>
              <w:top w:val="nil"/>
              <w:left w:val="nil"/>
              <w:bottom w:val="single" w:sz="4" w:space="0" w:color="auto"/>
              <w:right w:val="single" w:sz="4" w:space="0" w:color="auto"/>
            </w:tcBorders>
            <w:shd w:val="clear" w:color="auto" w:fill="auto"/>
            <w:noWrap/>
            <w:vAlign w:val="center"/>
            <w:hideMark/>
          </w:tcPr>
          <w:p w14:paraId="1308CA60"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14,70%</w:t>
            </w:r>
          </w:p>
        </w:tc>
        <w:tc>
          <w:tcPr>
            <w:tcW w:w="1241" w:type="dxa"/>
            <w:tcBorders>
              <w:top w:val="nil"/>
              <w:left w:val="nil"/>
              <w:bottom w:val="single" w:sz="4" w:space="0" w:color="auto"/>
              <w:right w:val="single" w:sz="4" w:space="0" w:color="auto"/>
            </w:tcBorders>
            <w:shd w:val="clear" w:color="auto" w:fill="auto"/>
            <w:noWrap/>
            <w:vAlign w:val="center"/>
            <w:hideMark/>
          </w:tcPr>
          <w:p w14:paraId="53486F8C"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15,58%</w:t>
            </w:r>
          </w:p>
        </w:tc>
        <w:tc>
          <w:tcPr>
            <w:tcW w:w="1118" w:type="dxa"/>
            <w:tcBorders>
              <w:top w:val="nil"/>
              <w:left w:val="nil"/>
              <w:bottom w:val="single" w:sz="4" w:space="0" w:color="auto"/>
              <w:right w:val="single" w:sz="4" w:space="0" w:color="auto"/>
            </w:tcBorders>
            <w:shd w:val="clear" w:color="auto" w:fill="auto"/>
            <w:vAlign w:val="center"/>
            <w:hideMark/>
          </w:tcPr>
          <w:p w14:paraId="1CEC2591"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94,35%</w:t>
            </w:r>
          </w:p>
        </w:tc>
      </w:tr>
      <w:tr w:rsidR="00CF0AD2" w:rsidRPr="00CF0AD2" w14:paraId="176D9852" w14:textId="77777777" w:rsidTr="00CF0AD2">
        <w:trPr>
          <w:trHeight w:val="920"/>
        </w:trPr>
        <w:tc>
          <w:tcPr>
            <w:tcW w:w="0" w:type="auto"/>
            <w:vMerge/>
            <w:tcBorders>
              <w:top w:val="nil"/>
              <w:left w:val="single" w:sz="4" w:space="0" w:color="auto"/>
              <w:bottom w:val="single" w:sz="4" w:space="0" w:color="auto"/>
              <w:right w:val="single" w:sz="4" w:space="0" w:color="auto"/>
            </w:tcBorders>
            <w:vAlign w:val="center"/>
            <w:hideMark/>
          </w:tcPr>
          <w:p w14:paraId="3B468578" w14:textId="77777777" w:rsidR="00CF0AD2" w:rsidRPr="00CF0AD2" w:rsidRDefault="00CF0AD2" w:rsidP="00155C19">
            <w:pPr>
              <w:rPr>
                <w:rFonts w:asciiTheme="majorHAnsi" w:eastAsia="Times New Roman" w:hAnsiTheme="majorHAnsi" w:cstheme="majorHAnsi"/>
                <w:sz w:val="18"/>
                <w:szCs w:val="18"/>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1B7B2144" w14:textId="77777777" w:rsidR="00CF0AD2" w:rsidRPr="00CF0AD2" w:rsidRDefault="00CF0AD2" w:rsidP="00155C19">
            <w:pPr>
              <w:rPr>
                <w:rFonts w:asciiTheme="majorHAnsi" w:eastAsia="Times New Roman" w:hAnsiTheme="majorHAnsi" w:cstheme="majorHAnsi"/>
                <w:color w:val="000000"/>
                <w:sz w:val="18"/>
                <w:szCs w:val="18"/>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5DB7EAEB" w14:textId="77777777" w:rsidR="00CF0AD2" w:rsidRPr="00CF0AD2" w:rsidRDefault="00CF0AD2" w:rsidP="00155C19">
            <w:pPr>
              <w:rPr>
                <w:rFonts w:asciiTheme="majorHAnsi" w:eastAsia="Times New Roman" w:hAnsiTheme="majorHAnsi" w:cstheme="majorHAnsi"/>
                <w:color w:val="000000"/>
                <w:sz w:val="18"/>
                <w:szCs w:val="18"/>
                <w:lang w:eastAsia="es-EC"/>
              </w:rPr>
            </w:pPr>
          </w:p>
        </w:tc>
        <w:tc>
          <w:tcPr>
            <w:tcW w:w="1213" w:type="dxa"/>
            <w:tcBorders>
              <w:top w:val="nil"/>
              <w:left w:val="nil"/>
              <w:bottom w:val="single" w:sz="4" w:space="0" w:color="auto"/>
              <w:right w:val="single" w:sz="4" w:space="0" w:color="auto"/>
            </w:tcBorders>
            <w:shd w:val="clear" w:color="auto" w:fill="auto"/>
            <w:vAlign w:val="center"/>
            <w:hideMark/>
          </w:tcPr>
          <w:p w14:paraId="73BC2291"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 xml:space="preserve">21.15 Potencia instalada para atender el crecimiento de la demanda de energía eléctrica del país. </w:t>
            </w:r>
          </w:p>
        </w:tc>
        <w:tc>
          <w:tcPr>
            <w:tcW w:w="1241" w:type="dxa"/>
            <w:tcBorders>
              <w:top w:val="nil"/>
              <w:left w:val="nil"/>
              <w:bottom w:val="single" w:sz="4" w:space="0" w:color="auto"/>
              <w:right w:val="single" w:sz="4" w:space="0" w:color="auto"/>
            </w:tcBorders>
            <w:shd w:val="clear" w:color="auto" w:fill="auto"/>
            <w:noWrap/>
            <w:vAlign w:val="center"/>
            <w:hideMark/>
          </w:tcPr>
          <w:p w14:paraId="138715C8"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7.027,93</w:t>
            </w:r>
          </w:p>
        </w:tc>
        <w:tc>
          <w:tcPr>
            <w:tcW w:w="1241" w:type="dxa"/>
            <w:tcBorders>
              <w:top w:val="nil"/>
              <w:left w:val="nil"/>
              <w:bottom w:val="single" w:sz="4" w:space="0" w:color="auto"/>
              <w:right w:val="single" w:sz="4" w:space="0" w:color="auto"/>
            </w:tcBorders>
            <w:shd w:val="clear" w:color="auto" w:fill="auto"/>
            <w:noWrap/>
            <w:vAlign w:val="center"/>
            <w:hideMark/>
          </w:tcPr>
          <w:p w14:paraId="405B4BEF"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7089,16</w:t>
            </w:r>
          </w:p>
        </w:tc>
        <w:tc>
          <w:tcPr>
            <w:tcW w:w="1118" w:type="dxa"/>
            <w:tcBorders>
              <w:top w:val="nil"/>
              <w:left w:val="nil"/>
              <w:bottom w:val="single" w:sz="4" w:space="0" w:color="auto"/>
              <w:right w:val="single" w:sz="4" w:space="0" w:color="auto"/>
            </w:tcBorders>
            <w:shd w:val="clear" w:color="auto" w:fill="auto"/>
            <w:vAlign w:val="center"/>
            <w:hideMark/>
          </w:tcPr>
          <w:p w14:paraId="097CE519"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100,87%</w:t>
            </w:r>
          </w:p>
        </w:tc>
      </w:tr>
      <w:tr w:rsidR="00CF0AD2" w:rsidRPr="00CF0AD2" w14:paraId="1347A3B0" w14:textId="77777777" w:rsidTr="00CF0AD2">
        <w:trPr>
          <w:trHeight w:val="1150"/>
        </w:trPr>
        <w:tc>
          <w:tcPr>
            <w:tcW w:w="0" w:type="auto"/>
            <w:vMerge/>
            <w:tcBorders>
              <w:top w:val="nil"/>
              <w:left w:val="single" w:sz="4" w:space="0" w:color="auto"/>
              <w:bottom w:val="single" w:sz="4" w:space="0" w:color="auto"/>
              <w:right w:val="single" w:sz="4" w:space="0" w:color="auto"/>
            </w:tcBorders>
            <w:vAlign w:val="center"/>
            <w:hideMark/>
          </w:tcPr>
          <w:p w14:paraId="62794A05" w14:textId="77777777" w:rsidR="00CF0AD2" w:rsidRPr="00CF0AD2" w:rsidRDefault="00CF0AD2" w:rsidP="00155C19">
            <w:pPr>
              <w:rPr>
                <w:rFonts w:asciiTheme="majorHAnsi" w:eastAsia="Times New Roman" w:hAnsiTheme="majorHAnsi" w:cstheme="majorHAnsi"/>
                <w:sz w:val="18"/>
                <w:szCs w:val="18"/>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62197F8D" w14:textId="77777777" w:rsidR="00CF0AD2" w:rsidRPr="00CF0AD2" w:rsidRDefault="00CF0AD2" w:rsidP="00155C19">
            <w:pPr>
              <w:rPr>
                <w:rFonts w:asciiTheme="majorHAnsi" w:eastAsia="Times New Roman" w:hAnsiTheme="majorHAnsi" w:cstheme="majorHAnsi"/>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vAlign w:val="center"/>
            <w:hideMark/>
          </w:tcPr>
          <w:p w14:paraId="073F26FB"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23. Incrementar las buenas prácticas de regulación y control en el ámbito energético y minero.</w:t>
            </w:r>
          </w:p>
        </w:tc>
        <w:tc>
          <w:tcPr>
            <w:tcW w:w="1213" w:type="dxa"/>
            <w:tcBorders>
              <w:top w:val="nil"/>
              <w:left w:val="nil"/>
              <w:bottom w:val="single" w:sz="4" w:space="0" w:color="auto"/>
              <w:right w:val="single" w:sz="4" w:space="0" w:color="auto"/>
            </w:tcBorders>
            <w:shd w:val="clear" w:color="auto" w:fill="auto"/>
            <w:vAlign w:val="center"/>
            <w:hideMark/>
          </w:tcPr>
          <w:p w14:paraId="1CC72E19"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 xml:space="preserve">23.2 Índice de regulación y control de las actividades y prácticas que utilizan radiación ionizante </w:t>
            </w:r>
          </w:p>
        </w:tc>
        <w:tc>
          <w:tcPr>
            <w:tcW w:w="1241" w:type="dxa"/>
            <w:tcBorders>
              <w:top w:val="nil"/>
              <w:left w:val="nil"/>
              <w:bottom w:val="single" w:sz="4" w:space="0" w:color="auto"/>
              <w:right w:val="single" w:sz="4" w:space="0" w:color="auto"/>
            </w:tcBorders>
            <w:shd w:val="clear" w:color="auto" w:fill="auto"/>
            <w:noWrap/>
            <w:vAlign w:val="center"/>
            <w:hideMark/>
          </w:tcPr>
          <w:p w14:paraId="2040306D"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1</w:t>
            </w:r>
          </w:p>
        </w:tc>
        <w:tc>
          <w:tcPr>
            <w:tcW w:w="1241" w:type="dxa"/>
            <w:tcBorders>
              <w:top w:val="nil"/>
              <w:left w:val="nil"/>
              <w:bottom w:val="single" w:sz="4" w:space="0" w:color="auto"/>
              <w:right w:val="single" w:sz="4" w:space="0" w:color="auto"/>
            </w:tcBorders>
            <w:shd w:val="clear" w:color="auto" w:fill="auto"/>
            <w:noWrap/>
            <w:vAlign w:val="center"/>
            <w:hideMark/>
          </w:tcPr>
          <w:p w14:paraId="598E9A0A"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1</w:t>
            </w:r>
          </w:p>
        </w:tc>
        <w:tc>
          <w:tcPr>
            <w:tcW w:w="1118" w:type="dxa"/>
            <w:tcBorders>
              <w:top w:val="nil"/>
              <w:left w:val="nil"/>
              <w:bottom w:val="single" w:sz="4" w:space="0" w:color="auto"/>
              <w:right w:val="single" w:sz="4" w:space="0" w:color="auto"/>
            </w:tcBorders>
            <w:shd w:val="clear" w:color="auto" w:fill="auto"/>
            <w:noWrap/>
            <w:vAlign w:val="center"/>
            <w:hideMark/>
          </w:tcPr>
          <w:p w14:paraId="4EB866AC"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100%</w:t>
            </w:r>
          </w:p>
        </w:tc>
      </w:tr>
      <w:tr w:rsidR="00CF0AD2" w:rsidRPr="00CF0AD2" w14:paraId="30D54789" w14:textId="77777777" w:rsidTr="00CF0AD2">
        <w:trPr>
          <w:trHeight w:val="1380"/>
        </w:trPr>
        <w:tc>
          <w:tcPr>
            <w:tcW w:w="0" w:type="auto"/>
            <w:vMerge/>
            <w:tcBorders>
              <w:top w:val="nil"/>
              <w:left w:val="single" w:sz="4" w:space="0" w:color="auto"/>
              <w:bottom w:val="single" w:sz="4" w:space="0" w:color="auto"/>
              <w:right w:val="single" w:sz="4" w:space="0" w:color="auto"/>
            </w:tcBorders>
            <w:vAlign w:val="center"/>
            <w:hideMark/>
          </w:tcPr>
          <w:p w14:paraId="3E5F4A30" w14:textId="77777777" w:rsidR="00CF0AD2" w:rsidRPr="00CF0AD2" w:rsidRDefault="00CF0AD2" w:rsidP="00155C19">
            <w:pPr>
              <w:rPr>
                <w:rFonts w:asciiTheme="majorHAnsi" w:eastAsia="Times New Roman" w:hAnsiTheme="majorHAnsi" w:cstheme="majorHAnsi"/>
                <w:sz w:val="18"/>
                <w:szCs w:val="18"/>
                <w:lang w:eastAsia="es-EC"/>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ADF691"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Energía y Minas 2. Incrementar la producción de los hidrocarburos de una manera eficiente, racional y con las mejores prácticas socioambientales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74D8FE6D"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21. Incrementar la eficiencia y productividad en el aprovechamiento de los recursos energéticos y mineros.</w:t>
            </w:r>
          </w:p>
        </w:tc>
        <w:tc>
          <w:tcPr>
            <w:tcW w:w="1213" w:type="dxa"/>
            <w:tcBorders>
              <w:top w:val="nil"/>
              <w:left w:val="nil"/>
              <w:bottom w:val="single" w:sz="4" w:space="0" w:color="auto"/>
              <w:right w:val="single" w:sz="4" w:space="0" w:color="auto"/>
            </w:tcBorders>
            <w:shd w:val="clear" w:color="auto" w:fill="auto"/>
            <w:vAlign w:val="center"/>
            <w:hideMark/>
          </w:tcPr>
          <w:p w14:paraId="43A58F10"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 xml:space="preserve">21.16 Volumen promedio de producción diaria de hidrocarburos </w:t>
            </w:r>
          </w:p>
        </w:tc>
        <w:tc>
          <w:tcPr>
            <w:tcW w:w="1241" w:type="dxa"/>
            <w:tcBorders>
              <w:top w:val="nil"/>
              <w:left w:val="nil"/>
              <w:bottom w:val="single" w:sz="4" w:space="0" w:color="auto"/>
              <w:right w:val="single" w:sz="4" w:space="0" w:color="auto"/>
            </w:tcBorders>
            <w:shd w:val="clear" w:color="auto" w:fill="auto"/>
            <w:noWrap/>
            <w:vAlign w:val="center"/>
            <w:hideMark/>
          </w:tcPr>
          <w:p w14:paraId="416E2F34"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498.984,93</w:t>
            </w:r>
          </w:p>
        </w:tc>
        <w:tc>
          <w:tcPr>
            <w:tcW w:w="1241" w:type="dxa"/>
            <w:tcBorders>
              <w:top w:val="nil"/>
              <w:left w:val="nil"/>
              <w:bottom w:val="single" w:sz="4" w:space="0" w:color="auto"/>
              <w:right w:val="single" w:sz="4" w:space="0" w:color="auto"/>
            </w:tcBorders>
            <w:shd w:val="clear" w:color="auto" w:fill="auto"/>
            <w:noWrap/>
            <w:vAlign w:val="center"/>
            <w:hideMark/>
          </w:tcPr>
          <w:p w14:paraId="3B15C84A"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478.737,19</w:t>
            </w:r>
          </w:p>
        </w:tc>
        <w:tc>
          <w:tcPr>
            <w:tcW w:w="1118" w:type="dxa"/>
            <w:tcBorders>
              <w:top w:val="nil"/>
              <w:left w:val="nil"/>
              <w:bottom w:val="single" w:sz="4" w:space="0" w:color="auto"/>
              <w:right w:val="single" w:sz="4" w:space="0" w:color="auto"/>
            </w:tcBorders>
            <w:shd w:val="clear" w:color="auto" w:fill="auto"/>
            <w:vAlign w:val="center"/>
            <w:hideMark/>
          </w:tcPr>
          <w:p w14:paraId="4DB19606"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95,94%</w:t>
            </w:r>
          </w:p>
        </w:tc>
      </w:tr>
      <w:tr w:rsidR="00CF0AD2" w:rsidRPr="00CF0AD2" w14:paraId="0918F8F0" w14:textId="77777777" w:rsidTr="00CF0AD2">
        <w:trPr>
          <w:trHeight w:val="1367"/>
        </w:trPr>
        <w:tc>
          <w:tcPr>
            <w:tcW w:w="0" w:type="auto"/>
            <w:vMerge/>
            <w:tcBorders>
              <w:top w:val="nil"/>
              <w:left w:val="single" w:sz="4" w:space="0" w:color="auto"/>
              <w:bottom w:val="single" w:sz="4" w:space="0" w:color="auto"/>
              <w:right w:val="single" w:sz="4" w:space="0" w:color="auto"/>
            </w:tcBorders>
            <w:vAlign w:val="center"/>
            <w:hideMark/>
          </w:tcPr>
          <w:p w14:paraId="01262711" w14:textId="77777777" w:rsidR="00CF0AD2" w:rsidRPr="00CF0AD2" w:rsidRDefault="00CF0AD2" w:rsidP="00155C19">
            <w:pPr>
              <w:rPr>
                <w:rFonts w:asciiTheme="majorHAnsi" w:eastAsia="Times New Roman" w:hAnsiTheme="majorHAnsi" w:cstheme="majorHAnsi"/>
                <w:sz w:val="18"/>
                <w:szCs w:val="18"/>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2FB577EA" w14:textId="77777777" w:rsidR="00CF0AD2" w:rsidRPr="00CF0AD2" w:rsidRDefault="00CF0AD2" w:rsidP="00155C19">
            <w:pPr>
              <w:rPr>
                <w:rFonts w:asciiTheme="majorHAnsi" w:eastAsia="Times New Roman" w:hAnsiTheme="majorHAnsi" w:cstheme="majorHAnsi"/>
                <w:color w:val="000000"/>
                <w:sz w:val="18"/>
                <w:szCs w:val="18"/>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5FC62373" w14:textId="77777777" w:rsidR="00CF0AD2" w:rsidRPr="00CF0AD2" w:rsidRDefault="00CF0AD2" w:rsidP="00155C19">
            <w:pPr>
              <w:rPr>
                <w:rFonts w:asciiTheme="majorHAnsi" w:eastAsia="Times New Roman" w:hAnsiTheme="majorHAnsi" w:cstheme="majorHAnsi"/>
                <w:color w:val="000000"/>
                <w:sz w:val="18"/>
                <w:szCs w:val="18"/>
                <w:lang w:eastAsia="es-EC"/>
              </w:rPr>
            </w:pPr>
          </w:p>
        </w:tc>
        <w:tc>
          <w:tcPr>
            <w:tcW w:w="1213" w:type="dxa"/>
            <w:tcBorders>
              <w:top w:val="nil"/>
              <w:left w:val="nil"/>
              <w:bottom w:val="single" w:sz="4" w:space="0" w:color="auto"/>
              <w:right w:val="single" w:sz="4" w:space="0" w:color="auto"/>
            </w:tcBorders>
            <w:shd w:val="clear" w:color="auto" w:fill="auto"/>
            <w:vAlign w:val="center"/>
            <w:hideMark/>
          </w:tcPr>
          <w:p w14:paraId="4F4AD725"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21.17 Ahorro de combustibles en Barriles Equivalentes de Petróleo (BEP) por la Optimización de Generación Eléctrica y Eficiencia Energética en el Sector de Hidrocarburos</w:t>
            </w:r>
          </w:p>
        </w:tc>
        <w:tc>
          <w:tcPr>
            <w:tcW w:w="1241" w:type="dxa"/>
            <w:tcBorders>
              <w:top w:val="nil"/>
              <w:left w:val="nil"/>
              <w:bottom w:val="single" w:sz="4" w:space="0" w:color="auto"/>
              <w:right w:val="single" w:sz="4" w:space="0" w:color="auto"/>
            </w:tcBorders>
            <w:shd w:val="clear" w:color="auto" w:fill="auto"/>
            <w:noWrap/>
            <w:vAlign w:val="center"/>
            <w:hideMark/>
          </w:tcPr>
          <w:p w14:paraId="052C78DE"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36.629.998,61</w:t>
            </w:r>
          </w:p>
        </w:tc>
        <w:tc>
          <w:tcPr>
            <w:tcW w:w="1241" w:type="dxa"/>
            <w:tcBorders>
              <w:top w:val="nil"/>
              <w:left w:val="nil"/>
              <w:bottom w:val="single" w:sz="4" w:space="0" w:color="auto"/>
              <w:right w:val="single" w:sz="4" w:space="0" w:color="auto"/>
            </w:tcBorders>
            <w:shd w:val="clear" w:color="auto" w:fill="auto"/>
            <w:noWrap/>
            <w:vAlign w:val="center"/>
            <w:hideMark/>
          </w:tcPr>
          <w:p w14:paraId="162588A2"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36447195</w:t>
            </w:r>
          </w:p>
        </w:tc>
        <w:tc>
          <w:tcPr>
            <w:tcW w:w="1118" w:type="dxa"/>
            <w:tcBorders>
              <w:top w:val="nil"/>
              <w:left w:val="nil"/>
              <w:bottom w:val="single" w:sz="4" w:space="0" w:color="auto"/>
              <w:right w:val="single" w:sz="4" w:space="0" w:color="auto"/>
            </w:tcBorders>
            <w:shd w:val="clear" w:color="auto" w:fill="auto"/>
            <w:vAlign w:val="center"/>
            <w:hideMark/>
          </w:tcPr>
          <w:p w14:paraId="38F77A3B"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99,50%</w:t>
            </w:r>
          </w:p>
        </w:tc>
      </w:tr>
      <w:tr w:rsidR="00CF0AD2" w:rsidRPr="00CF0AD2" w14:paraId="3CCB0359" w14:textId="77777777" w:rsidTr="00CF0AD2">
        <w:trPr>
          <w:trHeight w:val="1610"/>
        </w:trPr>
        <w:tc>
          <w:tcPr>
            <w:tcW w:w="0" w:type="auto"/>
            <w:vMerge/>
            <w:tcBorders>
              <w:top w:val="nil"/>
              <w:left w:val="single" w:sz="4" w:space="0" w:color="auto"/>
              <w:bottom w:val="single" w:sz="4" w:space="0" w:color="auto"/>
              <w:right w:val="single" w:sz="4" w:space="0" w:color="auto"/>
            </w:tcBorders>
            <w:vAlign w:val="center"/>
            <w:hideMark/>
          </w:tcPr>
          <w:p w14:paraId="1E12B7F3" w14:textId="77777777" w:rsidR="00CF0AD2" w:rsidRPr="00CF0AD2" w:rsidRDefault="00CF0AD2" w:rsidP="00155C19">
            <w:pPr>
              <w:rPr>
                <w:rFonts w:asciiTheme="majorHAnsi" w:eastAsia="Times New Roman" w:hAnsiTheme="majorHAnsi" w:cstheme="majorHAnsi"/>
                <w:sz w:val="18"/>
                <w:szCs w:val="18"/>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4F27B7EC" w14:textId="77777777" w:rsidR="00CF0AD2" w:rsidRPr="00CF0AD2" w:rsidRDefault="00CF0AD2" w:rsidP="00155C19">
            <w:pPr>
              <w:rPr>
                <w:rFonts w:asciiTheme="majorHAnsi" w:eastAsia="Times New Roman" w:hAnsiTheme="majorHAnsi" w:cstheme="majorHAnsi"/>
                <w:color w:val="000000"/>
                <w:sz w:val="18"/>
                <w:szCs w:val="18"/>
                <w:lang w:eastAsia="es-EC"/>
              </w:rPr>
            </w:pP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41C7BFFC"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22. Incrementar la calidad en la gestión ambiental y social en las áreas de influencia del sector, considerando las mejores prácticas socioambientales.</w:t>
            </w:r>
          </w:p>
        </w:tc>
        <w:tc>
          <w:tcPr>
            <w:tcW w:w="1213" w:type="dxa"/>
            <w:tcBorders>
              <w:top w:val="nil"/>
              <w:left w:val="nil"/>
              <w:bottom w:val="single" w:sz="4" w:space="0" w:color="auto"/>
              <w:right w:val="single" w:sz="4" w:space="0" w:color="auto"/>
            </w:tcBorders>
            <w:shd w:val="clear" w:color="auto" w:fill="auto"/>
            <w:vAlign w:val="center"/>
            <w:hideMark/>
          </w:tcPr>
          <w:p w14:paraId="271D0BED"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 xml:space="preserve">22.4 Fuentes de contaminación de la industria </w:t>
            </w:r>
            <w:proofErr w:type="spellStart"/>
            <w:r w:rsidRPr="00CF0AD2">
              <w:rPr>
                <w:rFonts w:asciiTheme="majorHAnsi" w:eastAsia="Times New Roman" w:hAnsiTheme="majorHAnsi" w:cstheme="majorHAnsi"/>
                <w:color w:val="000000"/>
                <w:sz w:val="18"/>
                <w:szCs w:val="18"/>
                <w:lang w:eastAsia="es-EC"/>
              </w:rPr>
              <w:t>hidrocarburífera</w:t>
            </w:r>
            <w:proofErr w:type="spellEnd"/>
            <w:r w:rsidRPr="00CF0AD2">
              <w:rPr>
                <w:rFonts w:asciiTheme="majorHAnsi" w:eastAsia="Times New Roman" w:hAnsiTheme="majorHAnsi" w:cstheme="majorHAnsi"/>
                <w:color w:val="000000"/>
                <w:sz w:val="18"/>
                <w:szCs w:val="18"/>
                <w:lang w:eastAsia="es-EC"/>
              </w:rPr>
              <w:t xml:space="preserve"> remediadas por el operador estatal responsable y avaladas por la Autoridad Ambiental y del Recurso Hídrico Nacional. </w:t>
            </w:r>
          </w:p>
        </w:tc>
        <w:tc>
          <w:tcPr>
            <w:tcW w:w="1241" w:type="dxa"/>
            <w:tcBorders>
              <w:top w:val="nil"/>
              <w:left w:val="nil"/>
              <w:bottom w:val="single" w:sz="4" w:space="0" w:color="auto"/>
              <w:right w:val="single" w:sz="4" w:space="0" w:color="auto"/>
            </w:tcBorders>
            <w:shd w:val="clear" w:color="auto" w:fill="auto"/>
            <w:noWrap/>
            <w:vAlign w:val="center"/>
            <w:hideMark/>
          </w:tcPr>
          <w:p w14:paraId="205F53B9"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1.975,000</w:t>
            </w:r>
          </w:p>
        </w:tc>
        <w:tc>
          <w:tcPr>
            <w:tcW w:w="1241" w:type="dxa"/>
            <w:tcBorders>
              <w:top w:val="nil"/>
              <w:left w:val="nil"/>
              <w:bottom w:val="single" w:sz="4" w:space="0" w:color="auto"/>
              <w:right w:val="single" w:sz="4" w:space="0" w:color="auto"/>
            </w:tcBorders>
            <w:shd w:val="clear" w:color="auto" w:fill="auto"/>
            <w:noWrap/>
            <w:vAlign w:val="center"/>
            <w:hideMark/>
          </w:tcPr>
          <w:p w14:paraId="041BA4C5"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1947</w:t>
            </w:r>
          </w:p>
        </w:tc>
        <w:tc>
          <w:tcPr>
            <w:tcW w:w="1118" w:type="dxa"/>
            <w:tcBorders>
              <w:top w:val="nil"/>
              <w:left w:val="nil"/>
              <w:bottom w:val="single" w:sz="4" w:space="0" w:color="auto"/>
              <w:right w:val="single" w:sz="4" w:space="0" w:color="auto"/>
            </w:tcBorders>
            <w:shd w:val="clear" w:color="auto" w:fill="auto"/>
            <w:vAlign w:val="center"/>
            <w:hideMark/>
          </w:tcPr>
          <w:p w14:paraId="338CD4C3"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98,58%</w:t>
            </w:r>
          </w:p>
        </w:tc>
      </w:tr>
      <w:tr w:rsidR="00CF0AD2" w:rsidRPr="00CF0AD2" w14:paraId="6BC81FE2" w14:textId="77777777" w:rsidTr="00CF0AD2">
        <w:trPr>
          <w:trHeight w:val="920"/>
        </w:trPr>
        <w:tc>
          <w:tcPr>
            <w:tcW w:w="0" w:type="auto"/>
            <w:vMerge/>
            <w:tcBorders>
              <w:top w:val="nil"/>
              <w:left w:val="single" w:sz="4" w:space="0" w:color="auto"/>
              <w:bottom w:val="single" w:sz="4" w:space="0" w:color="auto"/>
              <w:right w:val="single" w:sz="4" w:space="0" w:color="auto"/>
            </w:tcBorders>
            <w:vAlign w:val="center"/>
            <w:hideMark/>
          </w:tcPr>
          <w:p w14:paraId="534C443F" w14:textId="77777777" w:rsidR="00CF0AD2" w:rsidRPr="00CF0AD2" w:rsidRDefault="00CF0AD2" w:rsidP="00155C19">
            <w:pPr>
              <w:rPr>
                <w:rFonts w:asciiTheme="majorHAnsi" w:eastAsia="Times New Roman" w:hAnsiTheme="majorHAnsi" w:cstheme="majorHAnsi"/>
                <w:sz w:val="18"/>
                <w:szCs w:val="18"/>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2FE319B4" w14:textId="77777777" w:rsidR="00CF0AD2" w:rsidRPr="00CF0AD2" w:rsidRDefault="00CF0AD2" w:rsidP="00155C19">
            <w:pPr>
              <w:rPr>
                <w:rFonts w:asciiTheme="majorHAnsi" w:eastAsia="Times New Roman" w:hAnsiTheme="majorHAnsi" w:cstheme="majorHAnsi"/>
                <w:color w:val="000000"/>
                <w:sz w:val="18"/>
                <w:szCs w:val="18"/>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365DC8B0" w14:textId="77777777" w:rsidR="00CF0AD2" w:rsidRPr="00CF0AD2" w:rsidRDefault="00CF0AD2" w:rsidP="00155C19">
            <w:pPr>
              <w:rPr>
                <w:rFonts w:asciiTheme="majorHAnsi" w:eastAsia="Times New Roman" w:hAnsiTheme="majorHAnsi" w:cstheme="majorHAnsi"/>
                <w:color w:val="000000"/>
                <w:sz w:val="18"/>
                <w:szCs w:val="18"/>
                <w:lang w:eastAsia="es-EC"/>
              </w:rPr>
            </w:pPr>
          </w:p>
        </w:tc>
        <w:tc>
          <w:tcPr>
            <w:tcW w:w="1213" w:type="dxa"/>
            <w:tcBorders>
              <w:top w:val="nil"/>
              <w:left w:val="nil"/>
              <w:bottom w:val="single" w:sz="4" w:space="0" w:color="auto"/>
              <w:right w:val="single" w:sz="4" w:space="0" w:color="auto"/>
            </w:tcBorders>
            <w:shd w:val="clear" w:color="auto" w:fill="auto"/>
            <w:vAlign w:val="center"/>
            <w:hideMark/>
          </w:tcPr>
          <w:p w14:paraId="46E8C78D"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 xml:space="preserve">22.2 Metros cúbicos de suelo remediado por el operador estatal </w:t>
            </w:r>
            <w:proofErr w:type="spellStart"/>
            <w:r w:rsidRPr="00CF0AD2">
              <w:rPr>
                <w:rFonts w:asciiTheme="majorHAnsi" w:eastAsia="Times New Roman" w:hAnsiTheme="majorHAnsi" w:cstheme="majorHAnsi"/>
                <w:color w:val="000000"/>
                <w:sz w:val="18"/>
                <w:szCs w:val="18"/>
                <w:lang w:eastAsia="es-EC"/>
              </w:rPr>
              <w:t>hidrocarburífero</w:t>
            </w:r>
            <w:proofErr w:type="spellEnd"/>
            <w:r w:rsidRPr="00CF0AD2">
              <w:rPr>
                <w:rFonts w:asciiTheme="majorHAnsi" w:eastAsia="Times New Roman" w:hAnsiTheme="majorHAnsi" w:cstheme="majorHAnsi"/>
                <w:color w:val="000000"/>
                <w:sz w:val="18"/>
                <w:szCs w:val="18"/>
                <w:lang w:eastAsia="es-EC"/>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6B3C4E3A"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70.003,00</w:t>
            </w:r>
          </w:p>
        </w:tc>
        <w:tc>
          <w:tcPr>
            <w:tcW w:w="1241" w:type="dxa"/>
            <w:tcBorders>
              <w:top w:val="nil"/>
              <w:left w:val="nil"/>
              <w:bottom w:val="single" w:sz="4" w:space="0" w:color="auto"/>
              <w:right w:val="single" w:sz="4" w:space="0" w:color="auto"/>
            </w:tcBorders>
            <w:shd w:val="clear" w:color="auto" w:fill="auto"/>
            <w:noWrap/>
            <w:vAlign w:val="center"/>
            <w:hideMark/>
          </w:tcPr>
          <w:p w14:paraId="0391F764"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74.530,00</w:t>
            </w:r>
          </w:p>
        </w:tc>
        <w:tc>
          <w:tcPr>
            <w:tcW w:w="1118" w:type="dxa"/>
            <w:tcBorders>
              <w:top w:val="nil"/>
              <w:left w:val="nil"/>
              <w:bottom w:val="single" w:sz="4" w:space="0" w:color="auto"/>
              <w:right w:val="single" w:sz="4" w:space="0" w:color="auto"/>
            </w:tcBorders>
            <w:shd w:val="clear" w:color="auto" w:fill="auto"/>
            <w:vAlign w:val="center"/>
            <w:hideMark/>
          </w:tcPr>
          <w:p w14:paraId="11CC7599"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93,93%</w:t>
            </w:r>
          </w:p>
        </w:tc>
      </w:tr>
      <w:tr w:rsidR="00CF0AD2" w:rsidRPr="00CF0AD2" w14:paraId="4371AA4D" w14:textId="77777777" w:rsidTr="00CF0AD2">
        <w:trPr>
          <w:trHeight w:val="929"/>
        </w:trPr>
        <w:tc>
          <w:tcPr>
            <w:tcW w:w="0" w:type="auto"/>
            <w:vMerge/>
            <w:tcBorders>
              <w:top w:val="nil"/>
              <w:left w:val="single" w:sz="4" w:space="0" w:color="auto"/>
              <w:bottom w:val="single" w:sz="4" w:space="0" w:color="auto"/>
              <w:right w:val="single" w:sz="4" w:space="0" w:color="auto"/>
            </w:tcBorders>
            <w:vAlign w:val="center"/>
            <w:hideMark/>
          </w:tcPr>
          <w:p w14:paraId="777C0EDE" w14:textId="77777777" w:rsidR="00CF0AD2" w:rsidRPr="00CF0AD2" w:rsidRDefault="00CF0AD2" w:rsidP="00155C19">
            <w:pPr>
              <w:rPr>
                <w:rFonts w:asciiTheme="majorHAnsi" w:eastAsia="Times New Roman" w:hAnsiTheme="majorHAnsi" w:cstheme="majorHAnsi"/>
                <w:sz w:val="18"/>
                <w:szCs w:val="18"/>
                <w:lang w:eastAsia="es-EC"/>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535EE5"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Energía y Minas 3. Incrementar el desarrollo de una minería sostenible y eficiente, con responsabilidad social y ambiental, basada en la investigación, innovación y transferencia tecnológica</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26C67F6"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21. Incrementar la eficiencia y productividad en el aprovechamiento de los recursos energéticos y mineros.</w:t>
            </w:r>
          </w:p>
        </w:tc>
        <w:tc>
          <w:tcPr>
            <w:tcW w:w="1213" w:type="dxa"/>
            <w:tcBorders>
              <w:top w:val="nil"/>
              <w:left w:val="nil"/>
              <w:bottom w:val="single" w:sz="4" w:space="0" w:color="auto"/>
              <w:right w:val="single" w:sz="4" w:space="0" w:color="auto"/>
            </w:tcBorders>
            <w:shd w:val="clear" w:color="auto" w:fill="auto"/>
            <w:vAlign w:val="center"/>
            <w:hideMark/>
          </w:tcPr>
          <w:p w14:paraId="03DD0A15"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 xml:space="preserve">21.18 Recaudación tributaria del sector minero. </w:t>
            </w:r>
          </w:p>
        </w:tc>
        <w:tc>
          <w:tcPr>
            <w:tcW w:w="1241" w:type="dxa"/>
            <w:tcBorders>
              <w:top w:val="nil"/>
              <w:left w:val="nil"/>
              <w:bottom w:val="single" w:sz="4" w:space="0" w:color="auto"/>
              <w:right w:val="single" w:sz="4" w:space="0" w:color="auto"/>
            </w:tcBorders>
            <w:shd w:val="clear" w:color="auto" w:fill="auto"/>
            <w:vAlign w:val="center"/>
            <w:hideMark/>
          </w:tcPr>
          <w:p w14:paraId="51D88691"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227.772.560,00</w:t>
            </w:r>
          </w:p>
        </w:tc>
        <w:tc>
          <w:tcPr>
            <w:tcW w:w="1241" w:type="dxa"/>
            <w:tcBorders>
              <w:top w:val="nil"/>
              <w:left w:val="nil"/>
              <w:bottom w:val="single" w:sz="4" w:space="0" w:color="auto"/>
              <w:right w:val="single" w:sz="4" w:space="0" w:color="auto"/>
            </w:tcBorders>
            <w:shd w:val="clear" w:color="auto" w:fill="auto"/>
            <w:noWrap/>
            <w:vAlign w:val="center"/>
            <w:hideMark/>
          </w:tcPr>
          <w:p w14:paraId="7AAF58B1"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229043768</w:t>
            </w:r>
          </w:p>
        </w:tc>
        <w:tc>
          <w:tcPr>
            <w:tcW w:w="1118" w:type="dxa"/>
            <w:tcBorders>
              <w:top w:val="nil"/>
              <w:left w:val="nil"/>
              <w:bottom w:val="single" w:sz="4" w:space="0" w:color="auto"/>
              <w:right w:val="single" w:sz="4" w:space="0" w:color="auto"/>
            </w:tcBorders>
            <w:shd w:val="clear" w:color="auto" w:fill="auto"/>
            <w:vAlign w:val="center"/>
            <w:hideMark/>
          </w:tcPr>
          <w:p w14:paraId="33EA6D58"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100,56%</w:t>
            </w:r>
          </w:p>
        </w:tc>
      </w:tr>
      <w:tr w:rsidR="00CF0AD2" w:rsidRPr="00CF0AD2" w14:paraId="3187D74C" w14:textId="77777777" w:rsidTr="00CF0AD2">
        <w:trPr>
          <w:trHeight w:val="460"/>
        </w:trPr>
        <w:tc>
          <w:tcPr>
            <w:tcW w:w="0" w:type="auto"/>
            <w:vMerge/>
            <w:tcBorders>
              <w:top w:val="nil"/>
              <w:left w:val="single" w:sz="4" w:space="0" w:color="auto"/>
              <w:bottom w:val="single" w:sz="4" w:space="0" w:color="auto"/>
              <w:right w:val="single" w:sz="4" w:space="0" w:color="auto"/>
            </w:tcBorders>
            <w:vAlign w:val="center"/>
            <w:hideMark/>
          </w:tcPr>
          <w:p w14:paraId="7A9F23EF" w14:textId="77777777" w:rsidR="00CF0AD2" w:rsidRPr="00CF0AD2" w:rsidRDefault="00CF0AD2" w:rsidP="00155C19">
            <w:pPr>
              <w:rPr>
                <w:rFonts w:asciiTheme="majorHAnsi" w:eastAsia="Times New Roman" w:hAnsiTheme="majorHAnsi" w:cstheme="majorHAnsi"/>
                <w:sz w:val="18"/>
                <w:szCs w:val="18"/>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46329178" w14:textId="77777777" w:rsidR="00CF0AD2" w:rsidRPr="00CF0AD2" w:rsidRDefault="00CF0AD2" w:rsidP="00155C19">
            <w:pPr>
              <w:rPr>
                <w:rFonts w:asciiTheme="majorHAnsi" w:eastAsia="Times New Roman" w:hAnsiTheme="majorHAnsi" w:cstheme="majorHAnsi"/>
                <w:color w:val="000000"/>
                <w:sz w:val="18"/>
                <w:szCs w:val="18"/>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1D0375FF" w14:textId="77777777" w:rsidR="00CF0AD2" w:rsidRPr="00CF0AD2" w:rsidRDefault="00CF0AD2" w:rsidP="00155C19">
            <w:pPr>
              <w:rPr>
                <w:rFonts w:asciiTheme="majorHAnsi" w:eastAsia="Times New Roman" w:hAnsiTheme="majorHAnsi" w:cstheme="majorHAnsi"/>
                <w:color w:val="000000"/>
                <w:sz w:val="18"/>
                <w:szCs w:val="18"/>
                <w:lang w:eastAsia="es-EC"/>
              </w:rPr>
            </w:pPr>
          </w:p>
        </w:tc>
        <w:tc>
          <w:tcPr>
            <w:tcW w:w="1213" w:type="dxa"/>
            <w:tcBorders>
              <w:top w:val="nil"/>
              <w:left w:val="nil"/>
              <w:bottom w:val="single" w:sz="4" w:space="0" w:color="auto"/>
              <w:right w:val="single" w:sz="4" w:space="0" w:color="auto"/>
            </w:tcBorders>
            <w:shd w:val="clear" w:color="auto" w:fill="auto"/>
            <w:vAlign w:val="center"/>
            <w:hideMark/>
          </w:tcPr>
          <w:p w14:paraId="28D28377"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 xml:space="preserve">21.19 Exportaciones de productos mineros. </w:t>
            </w:r>
          </w:p>
        </w:tc>
        <w:tc>
          <w:tcPr>
            <w:tcW w:w="1241" w:type="dxa"/>
            <w:tcBorders>
              <w:top w:val="nil"/>
              <w:left w:val="nil"/>
              <w:bottom w:val="single" w:sz="4" w:space="0" w:color="auto"/>
              <w:right w:val="single" w:sz="4" w:space="0" w:color="auto"/>
            </w:tcBorders>
            <w:shd w:val="clear" w:color="auto" w:fill="auto"/>
            <w:noWrap/>
            <w:vAlign w:val="center"/>
            <w:hideMark/>
          </w:tcPr>
          <w:p w14:paraId="2F0A3F2D"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3.411.420.037,93</w:t>
            </w:r>
          </w:p>
        </w:tc>
        <w:tc>
          <w:tcPr>
            <w:tcW w:w="1241" w:type="dxa"/>
            <w:tcBorders>
              <w:top w:val="nil"/>
              <w:left w:val="nil"/>
              <w:bottom w:val="single" w:sz="4" w:space="0" w:color="auto"/>
              <w:right w:val="single" w:sz="4" w:space="0" w:color="auto"/>
            </w:tcBorders>
            <w:shd w:val="clear" w:color="auto" w:fill="auto"/>
            <w:noWrap/>
            <w:vAlign w:val="center"/>
            <w:hideMark/>
          </w:tcPr>
          <w:p w14:paraId="37267E1C"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3.074.850.768,89</w:t>
            </w:r>
          </w:p>
        </w:tc>
        <w:tc>
          <w:tcPr>
            <w:tcW w:w="1118" w:type="dxa"/>
            <w:tcBorders>
              <w:top w:val="nil"/>
              <w:left w:val="nil"/>
              <w:bottom w:val="single" w:sz="4" w:space="0" w:color="auto"/>
              <w:right w:val="single" w:sz="4" w:space="0" w:color="auto"/>
            </w:tcBorders>
            <w:shd w:val="clear" w:color="auto" w:fill="auto"/>
            <w:vAlign w:val="center"/>
            <w:hideMark/>
          </w:tcPr>
          <w:p w14:paraId="5AC0CD10"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90,13%</w:t>
            </w:r>
          </w:p>
        </w:tc>
      </w:tr>
      <w:tr w:rsidR="00CF0AD2" w:rsidRPr="00CF0AD2" w14:paraId="6FB2B094" w14:textId="77777777" w:rsidTr="00CF0AD2">
        <w:trPr>
          <w:trHeight w:val="690"/>
        </w:trPr>
        <w:tc>
          <w:tcPr>
            <w:tcW w:w="0" w:type="auto"/>
            <w:vMerge/>
            <w:tcBorders>
              <w:top w:val="nil"/>
              <w:left w:val="single" w:sz="4" w:space="0" w:color="auto"/>
              <w:bottom w:val="single" w:sz="4" w:space="0" w:color="auto"/>
              <w:right w:val="single" w:sz="4" w:space="0" w:color="auto"/>
            </w:tcBorders>
            <w:vAlign w:val="center"/>
            <w:hideMark/>
          </w:tcPr>
          <w:p w14:paraId="435B5B72" w14:textId="77777777" w:rsidR="00CF0AD2" w:rsidRPr="00CF0AD2" w:rsidRDefault="00CF0AD2" w:rsidP="00155C19">
            <w:pPr>
              <w:rPr>
                <w:rFonts w:asciiTheme="majorHAnsi" w:eastAsia="Times New Roman" w:hAnsiTheme="majorHAnsi" w:cstheme="majorHAnsi"/>
                <w:sz w:val="18"/>
                <w:szCs w:val="18"/>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22D00047" w14:textId="77777777" w:rsidR="00CF0AD2" w:rsidRPr="00CF0AD2" w:rsidRDefault="00CF0AD2" w:rsidP="00155C19">
            <w:pPr>
              <w:rPr>
                <w:rFonts w:asciiTheme="majorHAnsi" w:eastAsia="Times New Roman" w:hAnsiTheme="majorHAnsi" w:cstheme="majorHAnsi"/>
                <w:color w:val="000000"/>
                <w:sz w:val="18"/>
                <w:szCs w:val="18"/>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20A771CC" w14:textId="77777777" w:rsidR="00CF0AD2" w:rsidRPr="00CF0AD2" w:rsidRDefault="00CF0AD2" w:rsidP="00155C19">
            <w:pPr>
              <w:rPr>
                <w:rFonts w:asciiTheme="majorHAnsi" w:eastAsia="Times New Roman" w:hAnsiTheme="majorHAnsi" w:cstheme="majorHAnsi"/>
                <w:color w:val="000000"/>
                <w:sz w:val="18"/>
                <w:szCs w:val="18"/>
                <w:lang w:eastAsia="es-EC"/>
              </w:rPr>
            </w:pPr>
          </w:p>
        </w:tc>
        <w:tc>
          <w:tcPr>
            <w:tcW w:w="1213" w:type="dxa"/>
            <w:tcBorders>
              <w:top w:val="nil"/>
              <w:left w:val="nil"/>
              <w:bottom w:val="single" w:sz="4" w:space="0" w:color="auto"/>
              <w:right w:val="single" w:sz="4" w:space="0" w:color="auto"/>
            </w:tcBorders>
            <w:shd w:val="clear" w:color="auto" w:fill="auto"/>
            <w:vAlign w:val="center"/>
            <w:hideMark/>
          </w:tcPr>
          <w:p w14:paraId="52C555F5"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 xml:space="preserve">21.11 Balanza Comercial </w:t>
            </w:r>
            <w:proofErr w:type="spellStart"/>
            <w:r w:rsidRPr="00CF0AD2">
              <w:rPr>
                <w:rFonts w:asciiTheme="majorHAnsi" w:eastAsia="Times New Roman" w:hAnsiTheme="majorHAnsi" w:cstheme="majorHAnsi"/>
                <w:color w:val="000000"/>
                <w:sz w:val="18"/>
                <w:szCs w:val="18"/>
                <w:lang w:eastAsia="es-EC"/>
              </w:rPr>
              <w:t>Hidrocarburífera</w:t>
            </w:r>
            <w:proofErr w:type="spellEnd"/>
            <w:r w:rsidRPr="00CF0AD2">
              <w:rPr>
                <w:rFonts w:asciiTheme="majorHAnsi" w:eastAsia="Times New Roman" w:hAnsiTheme="majorHAnsi" w:cstheme="majorHAnsi"/>
                <w:color w:val="000000"/>
                <w:sz w:val="18"/>
                <w:szCs w:val="18"/>
                <w:lang w:eastAsia="es-EC"/>
              </w:rPr>
              <w:t xml:space="preserve"> (actualizado) </w:t>
            </w:r>
          </w:p>
        </w:tc>
        <w:tc>
          <w:tcPr>
            <w:tcW w:w="1241" w:type="dxa"/>
            <w:tcBorders>
              <w:top w:val="nil"/>
              <w:left w:val="nil"/>
              <w:bottom w:val="single" w:sz="4" w:space="0" w:color="auto"/>
              <w:right w:val="single" w:sz="4" w:space="0" w:color="auto"/>
            </w:tcBorders>
            <w:shd w:val="clear" w:color="auto" w:fill="auto"/>
            <w:vAlign w:val="center"/>
            <w:hideMark/>
          </w:tcPr>
          <w:p w14:paraId="777F7057"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62,00%</w:t>
            </w:r>
          </w:p>
        </w:tc>
        <w:tc>
          <w:tcPr>
            <w:tcW w:w="1241" w:type="dxa"/>
            <w:tcBorders>
              <w:top w:val="nil"/>
              <w:left w:val="nil"/>
              <w:bottom w:val="single" w:sz="4" w:space="0" w:color="auto"/>
              <w:right w:val="single" w:sz="4" w:space="0" w:color="auto"/>
            </w:tcBorders>
            <w:shd w:val="clear" w:color="auto" w:fill="auto"/>
            <w:vAlign w:val="center"/>
            <w:hideMark/>
          </w:tcPr>
          <w:p w14:paraId="6F05BFB9"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62,67%</w:t>
            </w:r>
          </w:p>
        </w:tc>
        <w:tc>
          <w:tcPr>
            <w:tcW w:w="1118" w:type="dxa"/>
            <w:tcBorders>
              <w:top w:val="nil"/>
              <w:left w:val="nil"/>
              <w:bottom w:val="single" w:sz="4" w:space="0" w:color="auto"/>
              <w:right w:val="single" w:sz="4" w:space="0" w:color="auto"/>
            </w:tcBorders>
            <w:shd w:val="clear" w:color="auto" w:fill="auto"/>
            <w:vAlign w:val="center"/>
            <w:hideMark/>
          </w:tcPr>
          <w:p w14:paraId="4A9921CE"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101,08%</w:t>
            </w:r>
          </w:p>
        </w:tc>
      </w:tr>
      <w:tr w:rsidR="00CF0AD2" w:rsidRPr="00CF0AD2" w14:paraId="105A7449" w14:textId="77777777" w:rsidTr="00CF0AD2">
        <w:trPr>
          <w:trHeight w:val="1150"/>
        </w:trPr>
        <w:tc>
          <w:tcPr>
            <w:tcW w:w="0" w:type="auto"/>
            <w:vMerge/>
            <w:tcBorders>
              <w:top w:val="nil"/>
              <w:left w:val="single" w:sz="4" w:space="0" w:color="auto"/>
              <w:bottom w:val="single" w:sz="4" w:space="0" w:color="auto"/>
              <w:right w:val="single" w:sz="4" w:space="0" w:color="auto"/>
            </w:tcBorders>
            <w:vAlign w:val="center"/>
            <w:hideMark/>
          </w:tcPr>
          <w:p w14:paraId="352D0851" w14:textId="77777777" w:rsidR="00CF0AD2" w:rsidRPr="00CF0AD2" w:rsidRDefault="00CF0AD2" w:rsidP="00155C19">
            <w:pPr>
              <w:rPr>
                <w:rFonts w:asciiTheme="majorHAnsi" w:eastAsia="Times New Roman" w:hAnsiTheme="majorHAnsi" w:cstheme="majorHAnsi"/>
                <w:sz w:val="18"/>
                <w:szCs w:val="18"/>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1BA4CA4B" w14:textId="77777777" w:rsidR="00CF0AD2" w:rsidRPr="00CF0AD2" w:rsidRDefault="00CF0AD2" w:rsidP="00155C19">
            <w:pPr>
              <w:rPr>
                <w:rFonts w:asciiTheme="majorHAnsi" w:eastAsia="Times New Roman" w:hAnsiTheme="majorHAnsi" w:cstheme="majorHAnsi"/>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vAlign w:val="center"/>
            <w:hideMark/>
          </w:tcPr>
          <w:p w14:paraId="1BF161EF"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23. Incrementar las buenas prácticas de regulación y control en el ámbito energético y minero.</w:t>
            </w:r>
          </w:p>
        </w:tc>
        <w:tc>
          <w:tcPr>
            <w:tcW w:w="1213" w:type="dxa"/>
            <w:tcBorders>
              <w:top w:val="nil"/>
              <w:left w:val="nil"/>
              <w:bottom w:val="single" w:sz="4" w:space="0" w:color="auto"/>
              <w:right w:val="single" w:sz="4" w:space="0" w:color="auto"/>
            </w:tcBorders>
            <w:shd w:val="clear" w:color="auto" w:fill="auto"/>
            <w:vAlign w:val="center"/>
            <w:hideMark/>
          </w:tcPr>
          <w:p w14:paraId="1646DAA1" w14:textId="77777777" w:rsidR="00CF0AD2" w:rsidRPr="00CF0AD2" w:rsidRDefault="00CF0AD2" w:rsidP="00155C19">
            <w:pPr>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 xml:space="preserve">23.3 Porcentaje de emisión y/o reformas de normativas de regulación y control aprobadas, en el ámbito energético y minero. </w:t>
            </w:r>
          </w:p>
        </w:tc>
        <w:tc>
          <w:tcPr>
            <w:tcW w:w="1241" w:type="dxa"/>
            <w:tcBorders>
              <w:top w:val="nil"/>
              <w:left w:val="nil"/>
              <w:bottom w:val="single" w:sz="4" w:space="0" w:color="auto"/>
              <w:right w:val="single" w:sz="4" w:space="0" w:color="auto"/>
            </w:tcBorders>
            <w:shd w:val="clear" w:color="auto" w:fill="auto"/>
            <w:noWrap/>
            <w:vAlign w:val="center"/>
            <w:hideMark/>
          </w:tcPr>
          <w:p w14:paraId="373E0CEF"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1</w:t>
            </w:r>
          </w:p>
        </w:tc>
        <w:tc>
          <w:tcPr>
            <w:tcW w:w="1241" w:type="dxa"/>
            <w:tcBorders>
              <w:top w:val="nil"/>
              <w:left w:val="nil"/>
              <w:bottom w:val="single" w:sz="4" w:space="0" w:color="auto"/>
              <w:right w:val="single" w:sz="4" w:space="0" w:color="auto"/>
            </w:tcBorders>
            <w:shd w:val="clear" w:color="auto" w:fill="auto"/>
            <w:noWrap/>
            <w:vAlign w:val="center"/>
            <w:hideMark/>
          </w:tcPr>
          <w:p w14:paraId="6282FA60"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1</w:t>
            </w:r>
          </w:p>
        </w:tc>
        <w:tc>
          <w:tcPr>
            <w:tcW w:w="1118" w:type="dxa"/>
            <w:tcBorders>
              <w:top w:val="nil"/>
              <w:left w:val="nil"/>
              <w:bottom w:val="single" w:sz="4" w:space="0" w:color="auto"/>
              <w:right w:val="single" w:sz="4" w:space="0" w:color="auto"/>
            </w:tcBorders>
            <w:shd w:val="clear" w:color="auto" w:fill="auto"/>
            <w:noWrap/>
            <w:vAlign w:val="center"/>
            <w:hideMark/>
          </w:tcPr>
          <w:p w14:paraId="55CC0EA3" w14:textId="77777777" w:rsidR="00CF0AD2" w:rsidRPr="00CF0AD2" w:rsidRDefault="00CF0AD2" w:rsidP="00155C19">
            <w:pPr>
              <w:jc w:val="right"/>
              <w:rPr>
                <w:rFonts w:asciiTheme="majorHAnsi" w:eastAsia="Times New Roman" w:hAnsiTheme="majorHAnsi" w:cstheme="majorHAnsi"/>
                <w:color w:val="000000"/>
                <w:sz w:val="18"/>
                <w:szCs w:val="18"/>
                <w:lang w:eastAsia="es-EC"/>
              </w:rPr>
            </w:pPr>
            <w:r w:rsidRPr="00CF0AD2">
              <w:rPr>
                <w:rFonts w:asciiTheme="majorHAnsi" w:eastAsia="Times New Roman" w:hAnsiTheme="majorHAnsi" w:cstheme="majorHAnsi"/>
                <w:color w:val="000000"/>
                <w:sz w:val="18"/>
                <w:szCs w:val="18"/>
                <w:lang w:eastAsia="es-EC"/>
              </w:rPr>
              <w:t>100%</w:t>
            </w:r>
          </w:p>
        </w:tc>
      </w:tr>
    </w:tbl>
    <w:p w14:paraId="400DBB23" w14:textId="1490CBF8" w:rsidR="00C06F03" w:rsidRDefault="00926335" w:rsidP="00091074">
      <w:pPr>
        <w:pStyle w:val="Ttulo1"/>
        <w:rPr>
          <w:sz w:val="24"/>
          <w:szCs w:val="24"/>
        </w:rPr>
      </w:pPr>
      <w:bookmarkStart w:id="18" w:name="_Toc196485188"/>
      <w:bookmarkStart w:id="19" w:name="_Toc199759546"/>
      <w:r w:rsidRPr="00091074">
        <w:rPr>
          <w:sz w:val="24"/>
          <w:szCs w:val="24"/>
        </w:rPr>
        <w:t>Ejecución Presupuestaria</w:t>
      </w:r>
      <w:bookmarkEnd w:id="18"/>
      <w:r w:rsidRPr="00091074">
        <w:rPr>
          <w:sz w:val="24"/>
          <w:szCs w:val="24"/>
        </w:rPr>
        <w:t>.</w:t>
      </w:r>
      <w:bookmarkEnd w:id="19"/>
    </w:p>
    <w:p w14:paraId="11ED9920" w14:textId="77777777" w:rsidR="00091074" w:rsidRPr="00091074" w:rsidRDefault="00091074" w:rsidP="00091074"/>
    <w:p w14:paraId="0D728A9E" w14:textId="77777777" w:rsidR="006733F0" w:rsidRPr="003A269C" w:rsidRDefault="006733F0" w:rsidP="003A269C">
      <w:pPr>
        <w:jc w:val="both"/>
        <w:rPr>
          <w:rFonts w:asciiTheme="majorHAnsi" w:hAnsiTheme="majorHAnsi" w:cstheme="majorHAnsi"/>
        </w:rPr>
      </w:pPr>
      <w:r w:rsidRPr="003A269C">
        <w:rPr>
          <w:rFonts w:asciiTheme="majorHAnsi" w:hAnsiTheme="majorHAnsi" w:cstheme="majorHAnsi"/>
          <w:sz w:val="22"/>
        </w:rPr>
        <w:t>A continuación, se presenta la información del presupuesto general del MEM, y el detalle de gasto no permanente y gasto permanente:</w:t>
      </w:r>
      <w:r w:rsidRPr="003A269C">
        <w:rPr>
          <w:rFonts w:asciiTheme="majorHAnsi" w:hAnsiTheme="majorHAnsi" w:cstheme="majorHAnsi"/>
        </w:rPr>
        <w:t xml:space="preserve"> </w:t>
      </w:r>
    </w:p>
    <w:p w14:paraId="6D01F387" w14:textId="77777777" w:rsidR="00CF0AD2" w:rsidRPr="00CF0AD2" w:rsidRDefault="00CF0AD2" w:rsidP="00CF0AD2"/>
    <w:p w14:paraId="2E49ABB2" w14:textId="1AA79D1A" w:rsidR="00B14D90" w:rsidRPr="00B14D90" w:rsidRDefault="00B14D90" w:rsidP="00B14D90">
      <w:pPr>
        <w:pStyle w:val="Descripcin"/>
        <w:rPr>
          <w:rFonts w:asciiTheme="majorHAnsi" w:hAnsiTheme="majorHAnsi" w:cstheme="majorHAnsi"/>
        </w:rPr>
      </w:pPr>
      <w:bookmarkStart w:id="20" w:name="_Toc199759672"/>
      <w:r w:rsidRPr="00B14D90">
        <w:rPr>
          <w:rFonts w:asciiTheme="majorHAnsi" w:hAnsiTheme="majorHAnsi" w:cstheme="majorHAnsi"/>
        </w:rPr>
        <w:t xml:space="preserve">Tabla </w:t>
      </w:r>
      <w:r w:rsidRPr="00B14D90">
        <w:rPr>
          <w:rFonts w:asciiTheme="majorHAnsi" w:hAnsiTheme="majorHAnsi" w:cstheme="majorHAnsi"/>
        </w:rPr>
        <w:fldChar w:fldCharType="begin"/>
      </w:r>
      <w:r w:rsidRPr="00B14D90">
        <w:rPr>
          <w:rFonts w:asciiTheme="majorHAnsi" w:hAnsiTheme="majorHAnsi" w:cstheme="majorHAnsi"/>
        </w:rPr>
        <w:instrText xml:space="preserve"> SEQ Tabla \* ARABIC </w:instrText>
      </w:r>
      <w:r w:rsidRPr="00B14D90">
        <w:rPr>
          <w:rFonts w:asciiTheme="majorHAnsi" w:hAnsiTheme="majorHAnsi" w:cstheme="majorHAnsi"/>
        </w:rPr>
        <w:fldChar w:fldCharType="separate"/>
      </w:r>
      <w:r w:rsidR="00CF0AD2">
        <w:rPr>
          <w:rFonts w:asciiTheme="majorHAnsi" w:hAnsiTheme="majorHAnsi" w:cstheme="majorHAnsi"/>
          <w:noProof/>
        </w:rPr>
        <w:t>2</w:t>
      </w:r>
      <w:r w:rsidRPr="00B14D90">
        <w:rPr>
          <w:rFonts w:asciiTheme="majorHAnsi" w:hAnsiTheme="majorHAnsi" w:cstheme="majorHAnsi"/>
        </w:rPr>
        <w:fldChar w:fldCharType="end"/>
      </w:r>
      <w:r w:rsidR="0016337C">
        <w:rPr>
          <w:rFonts w:asciiTheme="majorHAnsi" w:hAnsiTheme="majorHAnsi" w:cstheme="majorHAnsi"/>
        </w:rPr>
        <w:t xml:space="preserve">: </w:t>
      </w:r>
      <w:r w:rsidRPr="00B14D90">
        <w:rPr>
          <w:rFonts w:asciiTheme="majorHAnsi" w:hAnsiTheme="majorHAnsi" w:cstheme="majorHAnsi"/>
        </w:rPr>
        <w:t>Ejecución Presupuestaria por programa 2024 (gasto de inversión y gasto corriente)</w:t>
      </w:r>
      <w:bookmarkEnd w:id="20"/>
    </w:p>
    <w:tbl>
      <w:tblPr>
        <w:tblStyle w:val="Tablaconcuadrcula4-nfasis51"/>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704"/>
        <w:gridCol w:w="3460"/>
        <w:gridCol w:w="1605"/>
        <w:gridCol w:w="1605"/>
        <w:gridCol w:w="1120"/>
      </w:tblGrid>
      <w:tr w:rsidR="006733F0" w:rsidRPr="005E3322" w14:paraId="663C45E7" w14:textId="77777777" w:rsidTr="000A458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shd w:val="clear" w:color="auto" w:fill="2E74B5" w:themeFill="accent5" w:themeFillShade="BF"/>
            <w:noWrap/>
            <w:vAlign w:val="center"/>
            <w:hideMark/>
          </w:tcPr>
          <w:p w14:paraId="1B36E330" w14:textId="77777777" w:rsidR="006733F0" w:rsidRPr="001F193B" w:rsidRDefault="006733F0" w:rsidP="000A4588">
            <w:pPr>
              <w:jc w:val="center"/>
              <w:rPr>
                <w:rFonts w:asciiTheme="majorHAnsi" w:eastAsia="Times New Roman" w:hAnsiTheme="majorHAnsi" w:cstheme="majorHAnsi"/>
                <w:sz w:val="18"/>
                <w:szCs w:val="18"/>
                <w:lang w:eastAsia="es-EC"/>
              </w:rPr>
            </w:pPr>
            <w:r w:rsidRPr="001F193B">
              <w:rPr>
                <w:rFonts w:asciiTheme="majorHAnsi" w:eastAsia="Times New Roman" w:hAnsiTheme="majorHAnsi" w:cstheme="majorHAnsi"/>
                <w:sz w:val="18"/>
                <w:szCs w:val="18"/>
                <w:lang w:eastAsia="es-EC"/>
              </w:rPr>
              <w:t>Cód.</w:t>
            </w:r>
          </w:p>
        </w:tc>
        <w:tc>
          <w:tcPr>
            <w:tcW w:w="3460" w:type="dxa"/>
            <w:tcBorders>
              <w:top w:val="none" w:sz="0" w:space="0" w:color="auto"/>
              <w:left w:val="none" w:sz="0" w:space="0" w:color="auto"/>
              <w:bottom w:val="none" w:sz="0" w:space="0" w:color="auto"/>
              <w:right w:val="none" w:sz="0" w:space="0" w:color="auto"/>
            </w:tcBorders>
            <w:shd w:val="clear" w:color="auto" w:fill="2E74B5" w:themeFill="accent5" w:themeFillShade="BF"/>
            <w:noWrap/>
            <w:vAlign w:val="center"/>
            <w:hideMark/>
          </w:tcPr>
          <w:p w14:paraId="23B65CF7" w14:textId="77777777" w:rsidR="006733F0" w:rsidRPr="001F193B" w:rsidRDefault="006733F0" w:rsidP="000A458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EC"/>
              </w:rPr>
            </w:pPr>
            <w:r w:rsidRPr="001F193B">
              <w:rPr>
                <w:rFonts w:asciiTheme="majorHAnsi" w:eastAsia="Times New Roman" w:hAnsiTheme="majorHAnsi" w:cstheme="majorHAnsi"/>
                <w:sz w:val="18"/>
                <w:szCs w:val="18"/>
                <w:lang w:eastAsia="es-EC"/>
              </w:rPr>
              <w:t>Programa</w:t>
            </w:r>
          </w:p>
        </w:tc>
        <w:tc>
          <w:tcPr>
            <w:tcW w:w="1605" w:type="dxa"/>
            <w:tcBorders>
              <w:top w:val="none" w:sz="0" w:space="0" w:color="auto"/>
              <w:left w:val="none" w:sz="0" w:space="0" w:color="auto"/>
              <w:bottom w:val="none" w:sz="0" w:space="0" w:color="auto"/>
              <w:right w:val="none" w:sz="0" w:space="0" w:color="auto"/>
            </w:tcBorders>
            <w:shd w:val="clear" w:color="auto" w:fill="2E74B5" w:themeFill="accent5" w:themeFillShade="BF"/>
            <w:noWrap/>
            <w:vAlign w:val="center"/>
            <w:hideMark/>
          </w:tcPr>
          <w:p w14:paraId="26192FDF" w14:textId="77777777" w:rsidR="006733F0" w:rsidRPr="001F193B" w:rsidRDefault="006733F0" w:rsidP="000A458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EC"/>
              </w:rPr>
            </w:pPr>
            <w:r w:rsidRPr="001F193B">
              <w:rPr>
                <w:rFonts w:asciiTheme="majorHAnsi" w:eastAsia="Times New Roman" w:hAnsiTheme="majorHAnsi" w:cstheme="majorHAnsi"/>
                <w:sz w:val="18"/>
                <w:szCs w:val="18"/>
                <w:lang w:eastAsia="es-EC"/>
              </w:rPr>
              <w:t>Codificado</w:t>
            </w:r>
          </w:p>
        </w:tc>
        <w:tc>
          <w:tcPr>
            <w:tcW w:w="1605" w:type="dxa"/>
            <w:tcBorders>
              <w:top w:val="none" w:sz="0" w:space="0" w:color="auto"/>
              <w:left w:val="none" w:sz="0" w:space="0" w:color="auto"/>
              <w:bottom w:val="none" w:sz="0" w:space="0" w:color="auto"/>
              <w:right w:val="none" w:sz="0" w:space="0" w:color="auto"/>
            </w:tcBorders>
            <w:shd w:val="clear" w:color="auto" w:fill="2E74B5" w:themeFill="accent5" w:themeFillShade="BF"/>
            <w:noWrap/>
            <w:vAlign w:val="center"/>
            <w:hideMark/>
          </w:tcPr>
          <w:p w14:paraId="2F4E4412" w14:textId="77777777" w:rsidR="006733F0" w:rsidRPr="001F193B" w:rsidRDefault="006733F0" w:rsidP="000A458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EC"/>
              </w:rPr>
            </w:pPr>
            <w:r w:rsidRPr="001F193B">
              <w:rPr>
                <w:rFonts w:asciiTheme="majorHAnsi" w:eastAsia="Times New Roman" w:hAnsiTheme="majorHAnsi" w:cstheme="majorHAnsi"/>
                <w:sz w:val="18"/>
                <w:szCs w:val="18"/>
                <w:lang w:eastAsia="es-EC"/>
              </w:rPr>
              <w:t>Devengado</w:t>
            </w:r>
          </w:p>
        </w:tc>
        <w:tc>
          <w:tcPr>
            <w:tcW w:w="1120" w:type="dxa"/>
            <w:tcBorders>
              <w:top w:val="none" w:sz="0" w:space="0" w:color="auto"/>
              <w:left w:val="none" w:sz="0" w:space="0" w:color="auto"/>
              <w:bottom w:val="none" w:sz="0" w:space="0" w:color="auto"/>
              <w:right w:val="none" w:sz="0" w:space="0" w:color="auto"/>
            </w:tcBorders>
            <w:shd w:val="clear" w:color="auto" w:fill="2E74B5" w:themeFill="accent5" w:themeFillShade="BF"/>
            <w:noWrap/>
            <w:vAlign w:val="center"/>
            <w:hideMark/>
          </w:tcPr>
          <w:p w14:paraId="68963A02" w14:textId="77777777" w:rsidR="006733F0" w:rsidRPr="001F193B" w:rsidRDefault="006733F0" w:rsidP="000A458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EC"/>
              </w:rPr>
            </w:pPr>
            <w:r w:rsidRPr="001F193B">
              <w:rPr>
                <w:rFonts w:asciiTheme="majorHAnsi" w:eastAsia="Times New Roman" w:hAnsiTheme="majorHAnsi" w:cstheme="majorHAnsi"/>
                <w:sz w:val="18"/>
                <w:szCs w:val="18"/>
                <w:lang w:eastAsia="es-EC"/>
              </w:rPr>
              <w:t xml:space="preserve">% </w:t>
            </w:r>
            <w:proofErr w:type="spellStart"/>
            <w:r w:rsidRPr="001F193B">
              <w:rPr>
                <w:rFonts w:asciiTheme="majorHAnsi" w:eastAsia="Times New Roman" w:hAnsiTheme="majorHAnsi" w:cstheme="majorHAnsi"/>
                <w:sz w:val="18"/>
                <w:szCs w:val="18"/>
                <w:lang w:eastAsia="es-EC"/>
              </w:rPr>
              <w:t>Ejec</w:t>
            </w:r>
            <w:proofErr w:type="spellEnd"/>
          </w:p>
        </w:tc>
      </w:tr>
      <w:tr w:rsidR="006733F0" w:rsidRPr="005E3322" w14:paraId="196CF9E7" w14:textId="77777777" w:rsidTr="000A45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31528D54" w14:textId="77777777" w:rsidR="006733F0" w:rsidRPr="001F193B" w:rsidRDefault="006733F0" w:rsidP="000A4588">
            <w:pPr>
              <w:jc w:val="right"/>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1</w:t>
            </w:r>
          </w:p>
        </w:tc>
        <w:tc>
          <w:tcPr>
            <w:tcW w:w="3460" w:type="dxa"/>
            <w:noWrap/>
            <w:vAlign w:val="center"/>
            <w:hideMark/>
          </w:tcPr>
          <w:p w14:paraId="4704A442" w14:textId="77777777" w:rsidR="006733F0" w:rsidRPr="001F193B" w:rsidRDefault="006733F0" w:rsidP="000A458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Administración central</w:t>
            </w:r>
          </w:p>
        </w:tc>
        <w:tc>
          <w:tcPr>
            <w:tcW w:w="1605" w:type="dxa"/>
            <w:noWrap/>
            <w:vAlign w:val="center"/>
            <w:hideMark/>
          </w:tcPr>
          <w:p w14:paraId="181E6287" w14:textId="77777777" w:rsidR="006733F0" w:rsidRPr="001F193B" w:rsidRDefault="006733F0" w:rsidP="000A458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 xml:space="preserve">4.972.696,66 </w:t>
            </w:r>
          </w:p>
        </w:tc>
        <w:tc>
          <w:tcPr>
            <w:tcW w:w="1605" w:type="dxa"/>
            <w:noWrap/>
            <w:vAlign w:val="center"/>
            <w:hideMark/>
          </w:tcPr>
          <w:p w14:paraId="60B693C2" w14:textId="77777777" w:rsidR="006733F0" w:rsidRPr="001F193B" w:rsidRDefault="006733F0" w:rsidP="000A458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 xml:space="preserve">4.341.798,06 </w:t>
            </w:r>
          </w:p>
        </w:tc>
        <w:tc>
          <w:tcPr>
            <w:tcW w:w="1120" w:type="dxa"/>
            <w:noWrap/>
            <w:vAlign w:val="center"/>
            <w:hideMark/>
          </w:tcPr>
          <w:p w14:paraId="574F5497" w14:textId="77777777" w:rsidR="006733F0" w:rsidRPr="001F193B" w:rsidRDefault="006733F0" w:rsidP="000A458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87,31%</w:t>
            </w:r>
          </w:p>
        </w:tc>
      </w:tr>
      <w:tr w:rsidR="006733F0" w:rsidRPr="005E3322" w14:paraId="1BB55DB1" w14:textId="77777777" w:rsidTr="000A4588">
        <w:trPr>
          <w:trHeight w:val="290"/>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04BBCC9E" w14:textId="77777777" w:rsidR="006733F0" w:rsidRPr="001F193B" w:rsidRDefault="006733F0" w:rsidP="000A4588">
            <w:pPr>
              <w:jc w:val="right"/>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lastRenderedPageBreak/>
              <w:t>55</w:t>
            </w:r>
          </w:p>
        </w:tc>
        <w:tc>
          <w:tcPr>
            <w:tcW w:w="3460" w:type="dxa"/>
            <w:noWrap/>
            <w:vAlign w:val="center"/>
            <w:hideMark/>
          </w:tcPr>
          <w:p w14:paraId="33A577A1" w14:textId="77777777" w:rsidR="006733F0" w:rsidRPr="001F193B" w:rsidRDefault="006733F0" w:rsidP="000A458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Desarrollo de los sectores energéticos y recursos naturales no renovables</w:t>
            </w:r>
          </w:p>
        </w:tc>
        <w:tc>
          <w:tcPr>
            <w:tcW w:w="1605" w:type="dxa"/>
            <w:noWrap/>
            <w:vAlign w:val="center"/>
            <w:hideMark/>
          </w:tcPr>
          <w:p w14:paraId="6DEB3819" w14:textId="77777777" w:rsidR="006733F0" w:rsidRPr="001F193B" w:rsidRDefault="006733F0" w:rsidP="000A458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 xml:space="preserve">81.116.848,67 </w:t>
            </w:r>
          </w:p>
        </w:tc>
        <w:tc>
          <w:tcPr>
            <w:tcW w:w="1605" w:type="dxa"/>
            <w:noWrap/>
            <w:vAlign w:val="center"/>
            <w:hideMark/>
          </w:tcPr>
          <w:p w14:paraId="73D40466" w14:textId="77777777" w:rsidR="006733F0" w:rsidRPr="001F193B" w:rsidRDefault="006733F0" w:rsidP="000A458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 xml:space="preserve"> 71.151.067,24 </w:t>
            </w:r>
          </w:p>
        </w:tc>
        <w:tc>
          <w:tcPr>
            <w:tcW w:w="1120" w:type="dxa"/>
            <w:noWrap/>
            <w:vAlign w:val="center"/>
            <w:hideMark/>
          </w:tcPr>
          <w:p w14:paraId="27B9BDDC" w14:textId="77777777" w:rsidR="006733F0" w:rsidRPr="001F193B"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87,71%</w:t>
            </w:r>
          </w:p>
        </w:tc>
      </w:tr>
      <w:tr w:rsidR="006733F0" w:rsidRPr="005E3322" w14:paraId="7429193A" w14:textId="77777777" w:rsidTr="000A45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7D80EB1" w14:textId="77777777" w:rsidR="006733F0" w:rsidRPr="001F193B" w:rsidRDefault="006733F0" w:rsidP="000A4588">
            <w:pPr>
              <w:jc w:val="right"/>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56</w:t>
            </w:r>
          </w:p>
        </w:tc>
        <w:tc>
          <w:tcPr>
            <w:tcW w:w="3460" w:type="dxa"/>
            <w:noWrap/>
            <w:vAlign w:val="center"/>
            <w:hideMark/>
          </w:tcPr>
          <w:p w14:paraId="56B86967" w14:textId="77777777" w:rsidR="006733F0" w:rsidRPr="001F193B" w:rsidRDefault="006733F0" w:rsidP="000A458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Eficiencia energética</w:t>
            </w:r>
          </w:p>
        </w:tc>
        <w:tc>
          <w:tcPr>
            <w:tcW w:w="1605" w:type="dxa"/>
            <w:noWrap/>
            <w:vAlign w:val="center"/>
            <w:hideMark/>
          </w:tcPr>
          <w:p w14:paraId="7BB06ABB" w14:textId="77777777" w:rsidR="006733F0" w:rsidRPr="001F193B" w:rsidRDefault="006733F0" w:rsidP="000A458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 xml:space="preserve">4.252.215,79 </w:t>
            </w:r>
          </w:p>
        </w:tc>
        <w:tc>
          <w:tcPr>
            <w:tcW w:w="1605" w:type="dxa"/>
            <w:noWrap/>
            <w:vAlign w:val="center"/>
            <w:hideMark/>
          </w:tcPr>
          <w:p w14:paraId="39FB91BA" w14:textId="77777777" w:rsidR="006733F0" w:rsidRPr="001F193B" w:rsidRDefault="006733F0" w:rsidP="000A458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 xml:space="preserve"> 119.753,76 </w:t>
            </w:r>
          </w:p>
        </w:tc>
        <w:tc>
          <w:tcPr>
            <w:tcW w:w="1120" w:type="dxa"/>
            <w:noWrap/>
            <w:vAlign w:val="center"/>
            <w:hideMark/>
          </w:tcPr>
          <w:p w14:paraId="031267E9" w14:textId="77777777" w:rsidR="006733F0" w:rsidRPr="001F193B" w:rsidRDefault="006733F0" w:rsidP="000A458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2,82%</w:t>
            </w:r>
          </w:p>
        </w:tc>
      </w:tr>
      <w:tr w:rsidR="006733F0" w:rsidRPr="005E3322" w14:paraId="1DABA3A3" w14:textId="77777777" w:rsidTr="000A4588">
        <w:trPr>
          <w:trHeight w:val="290"/>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7B9C021" w14:textId="77777777" w:rsidR="006733F0" w:rsidRPr="001F193B" w:rsidRDefault="006733F0" w:rsidP="000A4588">
            <w:pPr>
              <w:jc w:val="right"/>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57</w:t>
            </w:r>
          </w:p>
        </w:tc>
        <w:tc>
          <w:tcPr>
            <w:tcW w:w="3460" w:type="dxa"/>
            <w:noWrap/>
            <w:vAlign w:val="center"/>
            <w:hideMark/>
          </w:tcPr>
          <w:p w14:paraId="5C0C9EB5" w14:textId="77777777" w:rsidR="006733F0" w:rsidRPr="001F193B" w:rsidRDefault="006733F0" w:rsidP="000A458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Eficiencia calidad y cobertura en la distribución de energía eléctrica</w:t>
            </w:r>
          </w:p>
        </w:tc>
        <w:tc>
          <w:tcPr>
            <w:tcW w:w="1605" w:type="dxa"/>
            <w:noWrap/>
            <w:vAlign w:val="center"/>
            <w:hideMark/>
          </w:tcPr>
          <w:p w14:paraId="6B317518" w14:textId="77777777" w:rsidR="006733F0" w:rsidRPr="001F193B" w:rsidRDefault="006733F0" w:rsidP="000A458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 xml:space="preserve">196.533.453,87 </w:t>
            </w:r>
          </w:p>
        </w:tc>
        <w:tc>
          <w:tcPr>
            <w:tcW w:w="1605" w:type="dxa"/>
            <w:noWrap/>
            <w:vAlign w:val="center"/>
            <w:hideMark/>
          </w:tcPr>
          <w:p w14:paraId="636616C6" w14:textId="77777777" w:rsidR="006733F0" w:rsidRPr="001F193B" w:rsidRDefault="006733F0" w:rsidP="000A458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 xml:space="preserve"> 190.549.844,43 </w:t>
            </w:r>
          </w:p>
        </w:tc>
        <w:tc>
          <w:tcPr>
            <w:tcW w:w="1120" w:type="dxa"/>
            <w:noWrap/>
            <w:vAlign w:val="center"/>
            <w:hideMark/>
          </w:tcPr>
          <w:p w14:paraId="5E8489E9" w14:textId="77777777" w:rsidR="006733F0" w:rsidRPr="001F193B"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1F193B">
              <w:rPr>
                <w:rFonts w:asciiTheme="majorHAnsi" w:eastAsia="Times New Roman" w:hAnsiTheme="majorHAnsi" w:cstheme="majorHAnsi"/>
                <w:color w:val="000000"/>
                <w:sz w:val="18"/>
                <w:szCs w:val="18"/>
                <w:lang w:eastAsia="es-EC"/>
              </w:rPr>
              <w:t>96,96%</w:t>
            </w:r>
          </w:p>
        </w:tc>
      </w:tr>
      <w:tr w:rsidR="006733F0" w:rsidRPr="005E3322" w14:paraId="6FD28326" w14:textId="77777777" w:rsidTr="000A45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164" w:type="dxa"/>
            <w:gridSpan w:val="2"/>
            <w:shd w:val="clear" w:color="auto" w:fill="2E74B5" w:themeFill="accent5" w:themeFillShade="BF"/>
            <w:noWrap/>
            <w:vAlign w:val="center"/>
            <w:hideMark/>
          </w:tcPr>
          <w:p w14:paraId="5CB15E95" w14:textId="77777777" w:rsidR="006733F0" w:rsidRPr="001F193B" w:rsidRDefault="006733F0" w:rsidP="000A4588">
            <w:pPr>
              <w:jc w:val="center"/>
              <w:rPr>
                <w:rFonts w:asciiTheme="majorHAnsi" w:eastAsia="Times New Roman" w:hAnsiTheme="majorHAnsi" w:cstheme="majorHAnsi"/>
                <w:color w:val="FFFFFF" w:themeColor="background1"/>
                <w:sz w:val="18"/>
                <w:szCs w:val="18"/>
                <w:lang w:eastAsia="es-EC"/>
              </w:rPr>
            </w:pPr>
            <w:r w:rsidRPr="001F193B">
              <w:rPr>
                <w:rFonts w:asciiTheme="majorHAnsi" w:eastAsia="Times New Roman" w:hAnsiTheme="majorHAnsi" w:cstheme="majorHAnsi"/>
                <w:color w:val="FFFFFF" w:themeColor="background1"/>
                <w:sz w:val="18"/>
                <w:szCs w:val="18"/>
                <w:lang w:eastAsia="es-EC"/>
              </w:rPr>
              <w:t>Total</w:t>
            </w:r>
          </w:p>
        </w:tc>
        <w:tc>
          <w:tcPr>
            <w:tcW w:w="1605" w:type="dxa"/>
            <w:shd w:val="clear" w:color="auto" w:fill="2E74B5" w:themeFill="accent5" w:themeFillShade="BF"/>
            <w:noWrap/>
            <w:vAlign w:val="center"/>
            <w:hideMark/>
          </w:tcPr>
          <w:p w14:paraId="1B866714" w14:textId="77777777" w:rsidR="006733F0" w:rsidRPr="001F193B" w:rsidRDefault="006733F0" w:rsidP="000A458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FFFFFF" w:themeColor="background1"/>
                <w:sz w:val="18"/>
                <w:szCs w:val="18"/>
                <w:lang w:eastAsia="es-EC"/>
              </w:rPr>
            </w:pPr>
            <w:r w:rsidRPr="001F193B">
              <w:rPr>
                <w:rFonts w:asciiTheme="majorHAnsi" w:eastAsia="Times New Roman" w:hAnsiTheme="majorHAnsi" w:cstheme="majorHAnsi"/>
                <w:b/>
                <w:bCs/>
                <w:color w:val="FFFFFF" w:themeColor="background1"/>
                <w:sz w:val="18"/>
                <w:szCs w:val="18"/>
                <w:lang w:eastAsia="es-EC"/>
              </w:rPr>
              <w:t xml:space="preserve">286.875.214,99 </w:t>
            </w:r>
          </w:p>
        </w:tc>
        <w:tc>
          <w:tcPr>
            <w:tcW w:w="1605" w:type="dxa"/>
            <w:shd w:val="clear" w:color="auto" w:fill="2E74B5" w:themeFill="accent5" w:themeFillShade="BF"/>
            <w:noWrap/>
            <w:vAlign w:val="center"/>
            <w:hideMark/>
          </w:tcPr>
          <w:p w14:paraId="0E2D21CA" w14:textId="77777777" w:rsidR="006733F0" w:rsidRPr="001F193B" w:rsidRDefault="006733F0" w:rsidP="000A458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FFFFFF" w:themeColor="background1"/>
                <w:sz w:val="18"/>
                <w:szCs w:val="18"/>
                <w:lang w:eastAsia="es-EC"/>
              </w:rPr>
            </w:pPr>
            <w:r w:rsidRPr="001F193B">
              <w:rPr>
                <w:rFonts w:asciiTheme="majorHAnsi" w:eastAsia="Times New Roman" w:hAnsiTheme="majorHAnsi" w:cstheme="majorHAnsi"/>
                <w:b/>
                <w:bCs/>
                <w:color w:val="FFFFFF" w:themeColor="background1"/>
                <w:sz w:val="18"/>
                <w:szCs w:val="18"/>
                <w:lang w:eastAsia="es-EC"/>
              </w:rPr>
              <w:t xml:space="preserve"> 266.162.463,49 </w:t>
            </w:r>
          </w:p>
        </w:tc>
        <w:tc>
          <w:tcPr>
            <w:tcW w:w="1120" w:type="dxa"/>
            <w:shd w:val="clear" w:color="auto" w:fill="2E74B5" w:themeFill="accent5" w:themeFillShade="BF"/>
            <w:noWrap/>
            <w:vAlign w:val="center"/>
            <w:hideMark/>
          </w:tcPr>
          <w:p w14:paraId="74760CB5" w14:textId="77777777" w:rsidR="006733F0" w:rsidRPr="001F193B" w:rsidRDefault="006733F0" w:rsidP="000A458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FFFFFF" w:themeColor="background1"/>
                <w:sz w:val="18"/>
                <w:szCs w:val="18"/>
                <w:lang w:eastAsia="es-EC"/>
              </w:rPr>
            </w:pPr>
            <w:r w:rsidRPr="001F193B">
              <w:rPr>
                <w:rFonts w:asciiTheme="majorHAnsi" w:eastAsia="Times New Roman" w:hAnsiTheme="majorHAnsi" w:cstheme="majorHAnsi"/>
                <w:b/>
                <w:color w:val="FFFFFF" w:themeColor="background1"/>
                <w:sz w:val="18"/>
                <w:szCs w:val="18"/>
                <w:lang w:eastAsia="es-EC"/>
              </w:rPr>
              <w:t>92,78%</w:t>
            </w:r>
          </w:p>
        </w:tc>
      </w:tr>
    </w:tbl>
    <w:p w14:paraId="79FE2B55" w14:textId="534A06BE" w:rsidR="006733F0" w:rsidRDefault="006733F0" w:rsidP="00EA3742">
      <w:pPr>
        <w:rPr>
          <w:rFonts w:asciiTheme="majorHAnsi" w:hAnsiTheme="majorHAnsi" w:cstheme="majorHAnsi"/>
          <w:i/>
          <w:color w:val="7F7F7F" w:themeColor="text1" w:themeTint="80"/>
          <w:sz w:val="16"/>
          <w:szCs w:val="16"/>
        </w:rPr>
      </w:pPr>
      <w:r w:rsidRPr="00EA3742">
        <w:rPr>
          <w:rFonts w:asciiTheme="majorHAnsi" w:hAnsiTheme="majorHAnsi" w:cstheme="majorHAnsi"/>
          <w:i/>
          <w:color w:val="7F7F7F" w:themeColor="text1" w:themeTint="80"/>
          <w:sz w:val="16"/>
          <w:szCs w:val="16"/>
        </w:rPr>
        <w:t>Fuente: Sistema Integrado de Gestión Financiera (</w:t>
      </w:r>
      <w:proofErr w:type="spellStart"/>
      <w:r w:rsidRPr="00EA3742">
        <w:rPr>
          <w:rFonts w:asciiTheme="majorHAnsi" w:hAnsiTheme="majorHAnsi" w:cstheme="majorHAnsi"/>
          <w:i/>
          <w:color w:val="7F7F7F" w:themeColor="text1" w:themeTint="80"/>
          <w:sz w:val="16"/>
          <w:szCs w:val="16"/>
        </w:rPr>
        <w:t>eSIGEF</w:t>
      </w:r>
      <w:proofErr w:type="spellEnd"/>
      <w:r w:rsidRPr="00EA3742">
        <w:rPr>
          <w:rFonts w:asciiTheme="majorHAnsi" w:hAnsiTheme="majorHAnsi" w:cstheme="majorHAnsi"/>
          <w:i/>
          <w:color w:val="7F7F7F" w:themeColor="text1" w:themeTint="80"/>
          <w:sz w:val="16"/>
          <w:szCs w:val="16"/>
        </w:rPr>
        <w:t>), corte diciembre 2024</w:t>
      </w:r>
    </w:p>
    <w:p w14:paraId="5493F8B6" w14:textId="77777777" w:rsidR="00EA3742" w:rsidRPr="00EA3742" w:rsidRDefault="00EA3742" w:rsidP="00EA3742">
      <w:pPr>
        <w:rPr>
          <w:rFonts w:asciiTheme="majorHAnsi" w:hAnsiTheme="majorHAnsi" w:cstheme="majorHAnsi"/>
          <w:i/>
          <w:color w:val="7F7F7F" w:themeColor="text1" w:themeTint="80"/>
          <w:sz w:val="16"/>
          <w:szCs w:val="16"/>
        </w:rPr>
      </w:pPr>
    </w:p>
    <w:p w14:paraId="26D156B0" w14:textId="33AACE8A" w:rsidR="006733F0" w:rsidRPr="00C751F5" w:rsidRDefault="006733F0" w:rsidP="00C751F5">
      <w:pPr>
        <w:pStyle w:val="Ttulo2"/>
        <w:rPr>
          <w:sz w:val="24"/>
          <w:szCs w:val="24"/>
        </w:rPr>
      </w:pPr>
      <w:bookmarkStart w:id="21" w:name="_Toc199759547"/>
      <w:r w:rsidRPr="00C751F5">
        <w:rPr>
          <w:sz w:val="24"/>
          <w:szCs w:val="24"/>
        </w:rPr>
        <w:t>Gasto No Permanente</w:t>
      </w:r>
      <w:bookmarkEnd w:id="21"/>
    </w:p>
    <w:p w14:paraId="47F76CB0" w14:textId="77777777" w:rsidR="006733F0" w:rsidRPr="006733F0" w:rsidRDefault="006733F0" w:rsidP="003A269C">
      <w:pPr>
        <w:pStyle w:val="Prrafodelista"/>
        <w:jc w:val="both"/>
        <w:rPr>
          <w:rFonts w:asciiTheme="majorHAnsi" w:hAnsiTheme="majorHAnsi" w:cstheme="majorHAnsi"/>
          <w:sz w:val="22"/>
        </w:rPr>
      </w:pPr>
    </w:p>
    <w:p w14:paraId="600F8060" w14:textId="77777777" w:rsidR="003A269C" w:rsidRDefault="006733F0" w:rsidP="003A269C">
      <w:pPr>
        <w:jc w:val="both"/>
        <w:rPr>
          <w:rFonts w:asciiTheme="majorHAnsi" w:hAnsiTheme="majorHAnsi" w:cstheme="majorHAnsi"/>
          <w:sz w:val="22"/>
          <w:szCs w:val="22"/>
        </w:rPr>
      </w:pPr>
      <w:r w:rsidRPr="003A269C">
        <w:rPr>
          <w:rFonts w:asciiTheme="majorHAnsi" w:hAnsiTheme="majorHAnsi" w:cstheme="majorHAnsi"/>
          <w:sz w:val="22"/>
          <w:szCs w:val="22"/>
        </w:rPr>
        <w:t>El Ministerio de Energía y Minas ejecuta programas y proyectos a través de los 3 Viceministerios y de la Subsecretaría de Territorio y Seguimiento Ambiental; por lo que su ejecución se refleja en cada uno de ellos, con relación al porcentaje de actividades programadas en el Plan Operativo Anual POA 2024 y su presupuesto asignado.</w:t>
      </w:r>
    </w:p>
    <w:p w14:paraId="7A11721A" w14:textId="29BD5917" w:rsidR="006733F0" w:rsidRPr="003A269C" w:rsidRDefault="006733F0" w:rsidP="003A269C">
      <w:pPr>
        <w:jc w:val="both"/>
        <w:rPr>
          <w:rFonts w:asciiTheme="majorHAnsi" w:hAnsiTheme="majorHAnsi" w:cstheme="majorHAnsi"/>
          <w:sz w:val="22"/>
          <w:szCs w:val="22"/>
        </w:rPr>
      </w:pPr>
      <w:r w:rsidRPr="003A269C">
        <w:rPr>
          <w:rFonts w:asciiTheme="majorHAnsi" w:hAnsiTheme="majorHAnsi" w:cstheme="majorHAnsi"/>
          <w:sz w:val="22"/>
          <w:szCs w:val="22"/>
        </w:rPr>
        <w:t xml:space="preserve"> </w:t>
      </w:r>
    </w:p>
    <w:p w14:paraId="0A534B4E" w14:textId="77777777" w:rsidR="006733F0" w:rsidRPr="003A269C" w:rsidRDefault="006733F0" w:rsidP="003A269C">
      <w:pPr>
        <w:jc w:val="both"/>
        <w:rPr>
          <w:rFonts w:asciiTheme="majorHAnsi" w:hAnsiTheme="majorHAnsi" w:cstheme="majorHAnsi"/>
          <w:sz w:val="22"/>
          <w:szCs w:val="22"/>
        </w:rPr>
      </w:pPr>
      <w:r w:rsidRPr="003A269C">
        <w:rPr>
          <w:rFonts w:asciiTheme="majorHAnsi" w:hAnsiTheme="majorHAnsi" w:cstheme="majorHAnsi"/>
          <w:sz w:val="22"/>
          <w:szCs w:val="22"/>
        </w:rPr>
        <w:t>El presupuesto codificado para gasto no permanente en el año 2024 alcanzó los USD 61,38 millones, de los cuales se llegó a ejecutar USD 41,67 millones que representan el 67,89% del presupuesto al 31 de diciembre del 2024.</w:t>
      </w:r>
    </w:p>
    <w:p w14:paraId="21F4866D" w14:textId="79964258" w:rsidR="006733F0" w:rsidRPr="00EA3742" w:rsidRDefault="006733F0" w:rsidP="00001CA3">
      <w:pPr>
        <w:pStyle w:val="Descripcin"/>
        <w:jc w:val="left"/>
        <w:rPr>
          <w:rFonts w:asciiTheme="majorHAnsi" w:hAnsiTheme="majorHAnsi"/>
        </w:rPr>
      </w:pPr>
    </w:p>
    <w:p w14:paraId="0A3653CE" w14:textId="7858FF9A" w:rsidR="00B14D90" w:rsidRPr="00B14D90" w:rsidRDefault="00B14D90" w:rsidP="00B14D90">
      <w:pPr>
        <w:pStyle w:val="Descripcin"/>
        <w:rPr>
          <w:rFonts w:asciiTheme="majorHAnsi" w:hAnsiTheme="majorHAnsi" w:cstheme="majorHAnsi"/>
        </w:rPr>
      </w:pPr>
      <w:bookmarkStart w:id="22" w:name="_Toc199759673"/>
      <w:r w:rsidRPr="00B14D90">
        <w:rPr>
          <w:rFonts w:asciiTheme="majorHAnsi" w:hAnsiTheme="majorHAnsi" w:cstheme="majorHAnsi"/>
        </w:rPr>
        <w:t xml:space="preserve">Tabla </w:t>
      </w:r>
      <w:r w:rsidRPr="00B14D90">
        <w:rPr>
          <w:rFonts w:asciiTheme="majorHAnsi" w:hAnsiTheme="majorHAnsi" w:cstheme="majorHAnsi"/>
        </w:rPr>
        <w:fldChar w:fldCharType="begin"/>
      </w:r>
      <w:r w:rsidRPr="00B14D90">
        <w:rPr>
          <w:rFonts w:asciiTheme="majorHAnsi" w:hAnsiTheme="majorHAnsi" w:cstheme="majorHAnsi"/>
        </w:rPr>
        <w:instrText xml:space="preserve"> SEQ Tabla \* ARABIC </w:instrText>
      </w:r>
      <w:r w:rsidRPr="00B14D90">
        <w:rPr>
          <w:rFonts w:asciiTheme="majorHAnsi" w:hAnsiTheme="majorHAnsi" w:cstheme="majorHAnsi"/>
        </w:rPr>
        <w:fldChar w:fldCharType="separate"/>
      </w:r>
      <w:r w:rsidR="00CF0AD2">
        <w:rPr>
          <w:rFonts w:asciiTheme="majorHAnsi" w:hAnsiTheme="majorHAnsi" w:cstheme="majorHAnsi"/>
          <w:noProof/>
        </w:rPr>
        <w:t>3</w:t>
      </w:r>
      <w:r w:rsidRPr="00B14D90">
        <w:rPr>
          <w:rFonts w:asciiTheme="majorHAnsi" w:hAnsiTheme="majorHAnsi" w:cstheme="majorHAnsi"/>
        </w:rPr>
        <w:fldChar w:fldCharType="end"/>
      </w:r>
      <w:r w:rsidR="00D7766C">
        <w:rPr>
          <w:rFonts w:asciiTheme="majorHAnsi" w:hAnsiTheme="majorHAnsi" w:cstheme="majorHAnsi"/>
        </w:rPr>
        <w:t>:</w:t>
      </w:r>
      <w:r w:rsidR="0016337C">
        <w:rPr>
          <w:rFonts w:asciiTheme="majorHAnsi" w:hAnsiTheme="majorHAnsi" w:cstheme="majorHAnsi"/>
        </w:rPr>
        <w:t xml:space="preserve"> </w:t>
      </w:r>
      <w:r w:rsidRPr="00B14D90">
        <w:rPr>
          <w:rFonts w:asciiTheme="majorHAnsi" w:hAnsiTheme="majorHAnsi" w:cstheme="majorHAnsi"/>
        </w:rPr>
        <w:t>Ejecución Plan Anual de Inversiones – PAI 2024</w:t>
      </w:r>
      <w:bookmarkEnd w:id="22"/>
    </w:p>
    <w:tbl>
      <w:tblPr>
        <w:tblStyle w:val="Tablaconcuadrcula4-nfasis1"/>
        <w:tblW w:w="7019" w:type="dxa"/>
        <w:jc w:val="center"/>
        <w:tblLook w:val="06A0" w:firstRow="1" w:lastRow="0" w:firstColumn="1" w:lastColumn="0" w:noHBand="1" w:noVBand="1"/>
      </w:tblPr>
      <w:tblGrid>
        <w:gridCol w:w="3295"/>
        <w:gridCol w:w="1392"/>
        <w:gridCol w:w="1262"/>
        <w:gridCol w:w="1070"/>
      </w:tblGrid>
      <w:tr w:rsidR="00A912D5" w:rsidRPr="00253CBC" w14:paraId="4E0B0353" w14:textId="77777777" w:rsidTr="00CF0AD2">
        <w:trPr>
          <w:cnfStyle w:val="100000000000" w:firstRow="1" w:lastRow="0" w:firstColumn="0" w:lastColumn="0" w:oddVBand="0" w:evenVBand="0" w:oddHBand="0" w:evenHBand="0" w:firstRowFirstColumn="0" w:firstRowLastColumn="0" w:lastRowFirstColumn="0" w:lastRowLastColumn="0"/>
          <w:trHeight w:val="459"/>
          <w:tblHeader/>
          <w:jc w:val="center"/>
        </w:trPr>
        <w:tc>
          <w:tcPr>
            <w:cnfStyle w:val="001000000000" w:firstRow="0" w:lastRow="0" w:firstColumn="1" w:lastColumn="0" w:oddVBand="0" w:evenVBand="0" w:oddHBand="0" w:evenHBand="0" w:firstRowFirstColumn="0" w:firstRowLastColumn="0" w:lastRowFirstColumn="0" w:lastRowLastColumn="0"/>
            <w:tcW w:w="3325" w:type="dxa"/>
            <w:shd w:val="clear" w:color="auto" w:fill="2E74B5" w:themeFill="accent5" w:themeFillShade="BF"/>
            <w:vAlign w:val="center"/>
            <w:hideMark/>
          </w:tcPr>
          <w:p w14:paraId="3CD5B7F9" w14:textId="77777777" w:rsidR="00A912D5" w:rsidRPr="00D7766C" w:rsidRDefault="00A912D5" w:rsidP="000A4588">
            <w:pPr>
              <w:jc w:val="center"/>
              <w:rPr>
                <w:rFonts w:asciiTheme="majorHAnsi" w:eastAsia="Times New Roman" w:hAnsiTheme="majorHAnsi" w:cstheme="majorHAnsi"/>
                <w:sz w:val="18"/>
                <w:szCs w:val="18"/>
                <w:lang w:eastAsia="es-EC"/>
              </w:rPr>
            </w:pPr>
            <w:r w:rsidRPr="00D7766C">
              <w:rPr>
                <w:rFonts w:asciiTheme="majorHAnsi" w:eastAsia="Times New Roman" w:hAnsiTheme="majorHAnsi" w:cstheme="majorHAnsi"/>
                <w:sz w:val="18"/>
                <w:szCs w:val="18"/>
                <w:lang w:eastAsia="es-EC"/>
              </w:rPr>
              <w:t>PROYECTO</w:t>
            </w:r>
          </w:p>
        </w:tc>
        <w:tc>
          <w:tcPr>
            <w:tcW w:w="1392" w:type="dxa"/>
            <w:shd w:val="clear" w:color="auto" w:fill="2E74B5" w:themeFill="accent5" w:themeFillShade="BF"/>
            <w:noWrap/>
            <w:vAlign w:val="center"/>
            <w:hideMark/>
          </w:tcPr>
          <w:p w14:paraId="6DFFA405" w14:textId="77777777" w:rsidR="00A912D5" w:rsidRPr="00D7766C" w:rsidRDefault="00A912D5" w:rsidP="000A458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EC"/>
              </w:rPr>
            </w:pPr>
            <w:r w:rsidRPr="00D7766C">
              <w:rPr>
                <w:rFonts w:asciiTheme="majorHAnsi" w:eastAsia="Times New Roman" w:hAnsiTheme="majorHAnsi" w:cstheme="majorHAnsi"/>
                <w:sz w:val="18"/>
                <w:szCs w:val="18"/>
                <w:lang w:eastAsia="es-EC"/>
              </w:rPr>
              <w:t>CODIFICADO</w:t>
            </w:r>
          </w:p>
        </w:tc>
        <w:tc>
          <w:tcPr>
            <w:tcW w:w="1232" w:type="dxa"/>
            <w:shd w:val="clear" w:color="auto" w:fill="2E74B5" w:themeFill="accent5" w:themeFillShade="BF"/>
            <w:noWrap/>
            <w:vAlign w:val="center"/>
            <w:hideMark/>
          </w:tcPr>
          <w:p w14:paraId="0344487C" w14:textId="77777777" w:rsidR="00A912D5" w:rsidRPr="00D7766C" w:rsidRDefault="00A912D5" w:rsidP="000A458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EC"/>
              </w:rPr>
            </w:pPr>
            <w:r w:rsidRPr="00D7766C">
              <w:rPr>
                <w:rFonts w:asciiTheme="majorHAnsi" w:eastAsia="Times New Roman" w:hAnsiTheme="majorHAnsi" w:cstheme="majorHAnsi"/>
                <w:sz w:val="18"/>
                <w:szCs w:val="18"/>
                <w:lang w:eastAsia="es-EC"/>
              </w:rPr>
              <w:t>DEVENGADO</w:t>
            </w:r>
          </w:p>
        </w:tc>
        <w:tc>
          <w:tcPr>
            <w:tcW w:w="1070" w:type="dxa"/>
            <w:shd w:val="clear" w:color="auto" w:fill="2E74B5" w:themeFill="accent5" w:themeFillShade="BF"/>
            <w:vAlign w:val="center"/>
            <w:hideMark/>
          </w:tcPr>
          <w:p w14:paraId="6D9D697A" w14:textId="77777777" w:rsidR="00A912D5" w:rsidRPr="00D7766C" w:rsidRDefault="00A912D5" w:rsidP="000A458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8"/>
                <w:szCs w:val="18"/>
                <w:lang w:eastAsia="es-EC"/>
              </w:rPr>
            </w:pPr>
            <w:r w:rsidRPr="00D7766C">
              <w:rPr>
                <w:rFonts w:asciiTheme="majorHAnsi" w:eastAsia="Times New Roman" w:hAnsiTheme="majorHAnsi" w:cstheme="majorHAnsi"/>
                <w:sz w:val="18"/>
                <w:szCs w:val="18"/>
                <w:lang w:eastAsia="es-EC"/>
              </w:rPr>
              <w:t xml:space="preserve">% EJEC. </w:t>
            </w:r>
          </w:p>
          <w:p w14:paraId="4AE46283" w14:textId="77777777" w:rsidR="00A912D5" w:rsidRPr="00D7766C" w:rsidRDefault="00A912D5" w:rsidP="000A458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EC"/>
              </w:rPr>
            </w:pPr>
            <w:r w:rsidRPr="00D7766C">
              <w:rPr>
                <w:rFonts w:asciiTheme="majorHAnsi" w:eastAsia="Times New Roman" w:hAnsiTheme="majorHAnsi" w:cstheme="majorHAnsi"/>
                <w:sz w:val="18"/>
                <w:szCs w:val="18"/>
                <w:lang w:eastAsia="es-EC"/>
              </w:rPr>
              <w:t>PRESUP*</w:t>
            </w:r>
          </w:p>
        </w:tc>
      </w:tr>
      <w:tr w:rsidR="00A912D5" w:rsidRPr="00253CBC" w14:paraId="6336CDBB" w14:textId="77777777" w:rsidTr="00CF0AD2">
        <w:trPr>
          <w:trHeight w:val="459"/>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178B67BD" w14:textId="77777777" w:rsidR="00A912D5" w:rsidRPr="00D7766C" w:rsidRDefault="00A912D5" w:rsidP="000A4588">
            <w:pPr>
              <w:rPr>
                <w:rFonts w:asciiTheme="majorHAnsi" w:eastAsia="Times New Roman" w:hAnsiTheme="majorHAnsi" w:cstheme="majorHAnsi"/>
                <w:b w:val="0"/>
                <w:color w:val="000000"/>
                <w:sz w:val="18"/>
                <w:szCs w:val="18"/>
                <w:lang w:eastAsia="es-EC"/>
              </w:rPr>
            </w:pPr>
            <w:r w:rsidRPr="00D7766C">
              <w:rPr>
                <w:rFonts w:asciiTheme="majorHAnsi" w:hAnsiTheme="majorHAnsi" w:cstheme="majorHAnsi"/>
                <w:b w:val="0"/>
                <w:color w:val="000000"/>
                <w:sz w:val="18"/>
                <w:szCs w:val="18"/>
              </w:rPr>
              <w:t>Programa de transmisión 2012-2022</w:t>
            </w:r>
          </w:p>
        </w:tc>
        <w:tc>
          <w:tcPr>
            <w:tcW w:w="1392" w:type="dxa"/>
            <w:noWrap/>
            <w:vAlign w:val="center"/>
            <w:hideMark/>
          </w:tcPr>
          <w:p w14:paraId="5A17764E"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22.600.112,67 </w:t>
            </w:r>
          </w:p>
        </w:tc>
        <w:tc>
          <w:tcPr>
            <w:tcW w:w="1232" w:type="dxa"/>
            <w:noWrap/>
            <w:vAlign w:val="center"/>
            <w:hideMark/>
          </w:tcPr>
          <w:p w14:paraId="51227476"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18.966.449,49 </w:t>
            </w:r>
          </w:p>
        </w:tc>
        <w:tc>
          <w:tcPr>
            <w:tcW w:w="1070" w:type="dxa"/>
            <w:noWrap/>
            <w:vAlign w:val="center"/>
            <w:hideMark/>
          </w:tcPr>
          <w:p w14:paraId="31DAC2D0" w14:textId="77777777" w:rsidR="00A912D5" w:rsidRPr="00D7766C" w:rsidRDefault="00A912D5" w:rsidP="00D7766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84%</w:t>
            </w:r>
          </w:p>
        </w:tc>
      </w:tr>
      <w:tr w:rsidR="00A912D5" w:rsidRPr="00253CBC" w14:paraId="5343E89E" w14:textId="77777777" w:rsidTr="00CF0AD2">
        <w:trPr>
          <w:trHeight w:val="459"/>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487F6EF4" w14:textId="77777777" w:rsidR="00A912D5" w:rsidRPr="00D7766C" w:rsidRDefault="00A912D5" w:rsidP="000A4588">
            <w:pPr>
              <w:rPr>
                <w:rFonts w:asciiTheme="majorHAnsi" w:eastAsia="Times New Roman" w:hAnsiTheme="majorHAnsi" w:cstheme="majorHAnsi"/>
                <w:b w:val="0"/>
                <w:color w:val="000000"/>
                <w:sz w:val="18"/>
                <w:szCs w:val="18"/>
                <w:lang w:eastAsia="es-EC"/>
              </w:rPr>
            </w:pPr>
            <w:r w:rsidRPr="00D7766C">
              <w:rPr>
                <w:rFonts w:asciiTheme="majorHAnsi" w:hAnsiTheme="majorHAnsi" w:cstheme="majorHAnsi"/>
                <w:b w:val="0"/>
                <w:color w:val="000000"/>
                <w:sz w:val="18"/>
                <w:szCs w:val="18"/>
              </w:rPr>
              <w:t>Programa de modernización y renovación del sistema eléctrico ecuatoriano</w:t>
            </w:r>
          </w:p>
        </w:tc>
        <w:tc>
          <w:tcPr>
            <w:tcW w:w="1392" w:type="dxa"/>
            <w:noWrap/>
            <w:vAlign w:val="center"/>
            <w:hideMark/>
          </w:tcPr>
          <w:p w14:paraId="5BD04F52"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10.145.040,80 </w:t>
            </w:r>
          </w:p>
        </w:tc>
        <w:tc>
          <w:tcPr>
            <w:tcW w:w="1232" w:type="dxa"/>
            <w:noWrap/>
            <w:vAlign w:val="center"/>
            <w:hideMark/>
          </w:tcPr>
          <w:p w14:paraId="617FDDF8"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8.189.531,48 </w:t>
            </w:r>
          </w:p>
        </w:tc>
        <w:tc>
          <w:tcPr>
            <w:tcW w:w="1070" w:type="dxa"/>
            <w:noWrap/>
            <w:vAlign w:val="center"/>
            <w:hideMark/>
          </w:tcPr>
          <w:p w14:paraId="0173637E" w14:textId="77777777" w:rsidR="00A912D5" w:rsidRPr="00D7766C" w:rsidRDefault="00A912D5" w:rsidP="00D7766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81%</w:t>
            </w:r>
          </w:p>
        </w:tc>
      </w:tr>
      <w:tr w:rsidR="00A912D5" w:rsidRPr="00253CBC" w14:paraId="2C79B6A9" w14:textId="77777777" w:rsidTr="00CF0AD2">
        <w:trPr>
          <w:trHeight w:val="459"/>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6F3FCCC3" w14:textId="77777777" w:rsidR="00A912D5" w:rsidRPr="00D7766C" w:rsidRDefault="00A912D5" w:rsidP="000A4588">
            <w:pPr>
              <w:rPr>
                <w:rFonts w:asciiTheme="majorHAnsi" w:eastAsia="Times New Roman" w:hAnsiTheme="majorHAnsi" w:cstheme="majorHAnsi"/>
                <w:b w:val="0"/>
                <w:color w:val="000000"/>
                <w:sz w:val="18"/>
                <w:szCs w:val="18"/>
                <w:lang w:eastAsia="es-EC"/>
              </w:rPr>
            </w:pPr>
            <w:r w:rsidRPr="00D7766C">
              <w:rPr>
                <w:rFonts w:asciiTheme="majorHAnsi" w:hAnsiTheme="majorHAnsi" w:cstheme="majorHAnsi"/>
                <w:b w:val="0"/>
                <w:color w:val="000000"/>
                <w:sz w:val="18"/>
                <w:szCs w:val="18"/>
              </w:rPr>
              <w:t>Programa de gestión sostenible del sector estratégico de energía y recursos naturales no renovables e infraestructura</w:t>
            </w:r>
          </w:p>
        </w:tc>
        <w:tc>
          <w:tcPr>
            <w:tcW w:w="1392" w:type="dxa"/>
            <w:noWrap/>
            <w:vAlign w:val="center"/>
            <w:hideMark/>
          </w:tcPr>
          <w:p w14:paraId="7D9F4D19"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7.099.324,17 </w:t>
            </w:r>
          </w:p>
        </w:tc>
        <w:tc>
          <w:tcPr>
            <w:tcW w:w="1232" w:type="dxa"/>
            <w:noWrap/>
            <w:vAlign w:val="center"/>
            <w:hideMark/>
          </w:tcPr>
          <w:p w14:paraId="635DA673"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3.062.544,26 </w:t>
            </w:r>
          </w:p>
        </w:tc>
        <w:tc>
          <w:tcPr>
            <w:tcW w:w="1070" w:type="dxa"/>
            <w:noWrap/>
            <w:vAlign w:val="center"/>
            <w:hideMark/>
          </w:tcPr>
          <w:p w14:paraId="1AC7790C" w14:textId="77777777" w:rsidR="00A912D5" w:rsidRPr="00D7766C" w:rsidRDefault="00A912D5" w:rsidP="00D7766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43%</w:t>
            </w:r>
          </w:p>
        </w:tc>
      </w:tr>
      <w:tr w:rsidR="00A912D5" w:rsidRPr="00253CBC" w14:paraId="459AB7F4" w14:textId="77777777" w:rsidTr="00CF0AD2">
        <w:trPr>
          <w:trHeight w:val="459"/>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546137C0" w14:textId="77777777" w:rsidR="00A912D5" w:rsidRPr="00D7766C" w:rsidRDefault="00A912D5" w:rsidP="000A4588">
            <w:pPr>
              <w:rPr>
                <w:rFonts w:asciiTheme="majorHAnsi" w:eastAsia="Times New Roman" w:hAnsiTheme="majorHAnsi" w:cstheme="majorHAnsi"/>
                <w:b w:val="0"/>
                <w:color w:val="000000"/>
                <w:sz w:val="18"/>
                <w:szCs w:val="18"/>
                <w:lang w:eastAsia="es-EC"/>
              </w:rPr>
            </w:pPr>
            <w:r w:rsidRPr="00D7766C">
              <w:rPr>
                <w:rFonts w:asciiTheme="majorHAnsi" w:hAnsiTheme="majorHAnsi" w:cstheme="majorHAnsi"/>
                <w:b w:val="0"/>
                <w:color w:val="000000"/>
                <w:sz w:val="18"/>
                <w:szCs w:val="18"/>
              </w:rPr>
              <w:t>Plan de mejoramiento de los sistemas de distribución de energía eléctrica PMD-2011</w:t>
            </w:r>
          </w:p>
        </w:tc>
        <w:tc>
          <w:tcPr>
            <w:tcW w:w="1392" w:type="dxa"/>
            <w:noWrap/>
            <w:vAlign w:val="center"/>
            <w:hideMark/>
          </w:tcPr>
          <w:p w14:paraId="30A4B018"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6.047.586,73 </w:t>
            </w:r>
          </w:p>
        </w:tc>
        <w:tc>
          <w:tcPr>
            <w:tcW w:w="1232" w:type="dxa"/>
            <w:noWrap/>
            <w:vAlign w:val="center"/>
            <w:hideMark/>
          </w:tcPr>
          <w:p w14:paraId="39045F69"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4.041.229,21 </w:t>
            </w:r>
          </w:p>
        </w:tc>
        <w:tc>
          <w:tcPr>
            <w:tcW w:w="1070" w:type="dxa"/>
            <w:noWrap/>
            <w:vAlign w:val="center"/>
            <w:hideMark/>
          </w:tcPr>
          <w:p w14:paraId="77CD1F0D" w14:textId="77777777" w:rsidR="00A912D5" w:rsidRPr="00D7766C" w:rsidRDefault="00A912D5" w:rsidP="00D7766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67%</w:t>
            </w:r>
          </w:p>
        </w:tc>
      </w:tr>
      <w:tr w:rsidR="00A912D5" w:rsidRPr="00253CBC" w14:paraId="373190B0" w14:textId="77777777" w:rsidTr="00CF0AD2">
        <w:trPr>
          <w:trHeight w:val="229"/>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5B8FD8D1" w14:textId="77777777" w:rsidR="00A912D5" w:rsidRPr="00D7766C" w:rsidRDefault="00A912D5" w:rsidP="000A4588">
            <w:pPr>
              <w:rPr>
                <w:rFonts w:asciiTheme="majorHAnsi" w:eastAsia="Times New Roman" w:hAnsiTheme="majorHAnsi" w:cstheme="majorHAnsi"/>
                <w:b w:val="0"/>
                <w:color w:val="000000"/>
                <w:sz w:val="18"/>
                <w:szCs w:val="18"/>
                <w:lang w:eastAsia="es-EC"/>
              </w:rPr>
            </w:pPr>
            <w:r w:rsidRPr="00D7766C">
              <w:rPr>
                <w:rFonts w:asciiTheme="majorHAnsi" w:hAnsiTheme="majorHAnsi" w:cstheme="majorHAnsi"/>
                <w:b w:val="0"/>
                <w:color w:val="000000"/>
                <w:sz w:val="18"/>
                <w:szCs w:val="18"/>
              </w:rPr>
              <w:t>Programa de reposición y ampliación de instalaciones del sistema nacional de transmisión</w:t>
            </w:r>
          </w:p>
        </w:tc>
        <w:tc>
          <w:tcPr>
            <w:tcW w:w="1392" w:type="dxa"/>
            <w:noWrap/>
            <w:vAlign w:val="center"/>
            <w:hideMark/>
          </w:tcPr>
          <w:p w14:paraId="387DA736"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5.640.000,00 </w:t>
            </w:r>
          </w:p>
        </w:tc>
        <w:tc>
          <w:tcPr>
            <w:tcW w:w="1232" w:type="dxa"/>
            <w:noWrap/>
            <w:vAlign w:val="center"/>
            <w:hideMark/>
          </w:tcPr>
          <w:p w14:paraId="4784A1ED"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5.640.000,00 </w:t>
            </w:r>
          </w:p>
        </w:tc>
        <w:tc>
          <w:tcPr>
            <w:tcW w:w="1070" w:type="dxa"/>
            <w:noWrap/>
            <w:vAlign w:val="center"/>
            <w:hideMark/>
          </w:tcPr>
          <w:p w14:paraId="4644DCBC" w14:textId="77777777" w:rsidR="00A912D5" w:rsidRPr="00D7766C" w:rsidRDefault="00A912D5" w:rsidP="00D7766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100%</w:t>
            </w:r>
          </w:p>
        </w:tc>
      </w:tr>
      <w:tr w:rsidR="00A912D5" w:rsidRPr="00253CBC" w14:paraId="2E388083" w14:textId="77777777" w:rsidTr="00CF0AD2">
        <w:trPr>
          <w:trHeight w:val="689"/>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03888728" w14:textId="77777777" w:rsidR="00A912D5" w:rsidRPr="00D7766C" w:rsidRDefault="00A912D5" w:rsidP="000A4588">
            <w:pPr>
              <w:rPr>
                <w:rFonts w:asciiTheme="majorHAnsi" w:eastAsia="Times New Roman" w:hAnsiTheme="majorHAnsi" w:cstheme="majorHAnsi"/>
                <w:b w:val="0"/>
                <w:color w:val="000000"/>
                <w:sz w:val="18"/>
                <w:szCs w:val="18"/>
                <w:lang w:eastAsia="es-EC"/>
              </w:rPr>
            </w:pPr>
            <w:r w:rsidRPr="00D7766C">
              <w:rPr>
                <w:rFonts w:asciiTheme="majorHAnsi" w:hAnsiTheme="majorHAnsi" w:cstheme="majorHAnsi"/>
                <w:b w:val="0"/>
                <w:color w:val="000000"/>
                <w:sz w:val="18"/>
                <w:szCs w:val="18"/>
              </w:rPr>
              <w:t>Programa de cocción eficiente - PEC</w:t>
            </w:r>
          </w:p>
        </w:tc>
        <w:tc>
          <w:tcPr>
            <w:tcW w:w="1392" w:type="dxa"/>
            <w:noWrap/>
            <w:vAlign w:val="center"/>
            <w:hideMark/>
          </w:tcPr>
          <w:p w14:paraId="27B5CD7E"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4.066.677,64 </w:t>
            </w:r>
          </w:p>
        </w:tc>
        <w:tc>
          <w:tcPr>
            <w:tcW w:w="1232" w:type="dxa"/>
            <w:noWrap/>
            <w:vAlign w:val="center"/>
            <w:hideMark/>
          </w:tcPr>
          <w:p w14:paraId="04992AF3"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119.753,76 </w:t>
            </w:r>
          </w:p>
        </w:tc>
        <w:tc>
          <w:tcPr>
            <w:tcW w:w="1070" w:type="dxa"/>
            <w:noWrap/>
            <w:vAlign w:val="center"/>
            <w:hideMark/>
          </w:tcPr>
          <w:p w14:paraId="03116D65" w14:textId="77777777" w:rsidR="00A912D5" w:rsidRPr="00D7766C" w:rsidRDefault="00A912D5" w:rsidP="00D7766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3%</w:t>
            </w:r>
          </w:p>
        </w:tc>
      </w:tr>
      <w:tr w:rsidR="00A912D5" w:rsidRPr="00253CBC" w14:paraId="52897049" w14:textId="77777777" w:rsidTr="00CF0AD2">
        <w:trPr>
          <w:trHeight w:val="459"/>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48A6FE47" w14:textId="77777777" w:rsidR="00A912D5" w:rsidRPr="00D7766C" w:rsidRDefault="00A912D5" w:rsidP="000A4588">
            <w:pPr>
              <w:rPr>
                <w:rFonts w:asciiTheme="majorHAnsi" w:eastAsia="Times New Roman" w:hAnsiTheme="majorHAnsi" w:cstheme="majorHAnsi"/>
                <w:b w:val="0"/>
                <w:color w:val="000000"/>
                <w:sz w:val="18"/>
                <w:szCs w:val="18"/>
                <w:lang w:eastAsia="es-EC"/>
              </w:rPr>
            </w:pPr>
            <w:r w:rsidRPr="00D7766C">
              <w:rPr>
                <w:rFonts w:asciiTheme="majorHAnsi" w:hAnsiTheme="majorHAnsi" w:cstheme="majorHAnsi"/>
                <w:b w:val="0"/>
                <w:color w:val="000000"/>
                <w:sz w:val="18"/>
                <w:szCs w:val="18"/>
              </w:rPr>
              <w:t>Electrificación rural y urbano marginal FERUM integrado</w:t>
            </w:r>
          </w:p>
        </w:tc>
        <w:tc>
          <w:tcPr>
            <w:tcW w:w="1392" w:type="dxa"/>
            <w:noWrap/>
            <w:vAlign w:val="center"/>
            <w:hideMark/>
          </w:tcPr>
          <w:p w14:paraId="4975B7B8"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2.350.166,09 </w:t>
            </w:r>
          </w:p>
        </w:tc>
        <w:tc>
          <w:tcPr>
            <w:tcW w:w="1232" w:type="dxa"/>
            <w:noWrap/>
            <w:vAlign w:val="center"/>
            <w:hideMark/>
          </w:tcPr>
          <w:p w14:paraId="4415E416"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328.423,49 </w:t>
            </w:r>
          </w:p>
        </w:tc>
        <w:tc>
          <w:tcPr>
            <w:tcW w:w="1070" w:type="dxa"/>
            <w:noWrap/>
            <w:vAlign w:val="center"/>
            <w:hideMark/>
          </w:tcPr>
          <w:p w14:paraId="16DBFC75" w14:textId="77777777" w:rsidR="00A912D5" w:rsidRPr="00D7766C" w:rsidRDefault="00A912D5" w:rsidP="00D7766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14%</w:t>
            </w:r>
          </w:p>
        </w:tc>
      </w:tr>
      <w:tr w:rsidR="00A912D5" w:rsidRPr="00253CBC" w14:paraId="6A87A6C9" w14:textId="77777777" w:rsidTr="00CF0AD2">
        <w:trPr>
          <w:trHeight w:val="459"/>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7DA57BDB" w14:textId="77777777" w:rsidR="00A912D5" w:rsidRPr="00D7766C" w:rsidRDefault="00A912D5" w:rsidP="000A4588">
            <w:pPr>
              <w:rPr>
                <w:rFonts w:asciiTheme="majorHAnsi" w:eastAsia="Times New Roman" w:hAnsiTheme="majorHAnsi" w:cstheme="majorHAnsi"/>
                <w:b w:val="0"/>
                <w:color w:val="000000"/>
                <w:sz w:val="18"/>
                <w:szCs w:val="18"/>
                <w:lang w:eastAsia="es-EC"/>
              </w:rPr>
            </w:pPr>
            <w:r w:rsidRPr="00D7766C">
              <w:rPr>
                <w:rFonts w:asciiTheme="majorHAnsi" w:hAnsiTheme="majorHAnsi" w:cstheme="majorHAnsi"/>
                <w:b w:val="0"/>
                <w:color w:val="000000"/>
                <w:sz w:val="18"/>
                <w:szCs w:val="18"/>
              </w:rPr>
              <w:t>Programa de reforzamiento del sistema nacional de transmisión para el sector acuícola</w:t>
            </w:r>
          </w:p>
        </w:tc>
        <w:tc>
          <w:tcPr>
            <w:tcW w:w="1392" w:type="dxa"/>
            <w:noWrap/>
            <w:vAlign w:val="center"/>
            <w:hideMark/>
          </w:tcPr>
          <w:p w14:paraId="508D6A82"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1.611.163,31 </w:t>
            </w:r>
          </w:p>
        </w:tc>
        <w:tc>
          <w:tcPr>
            <w:tcW w:w="1232" w:type="dxa"/>
            <w:noWrap/>
            <w:vAlign w:val="center"/>
            <w:hideMark/>
          </w:tcPr>
          <w:p w14:paraId="5C3BD112"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 </w:t>
            </w:r>
          </w:p>
        </w:tc>
        <w:tc>
          <w:tcPr>
            <w:tcW w:w="1070" w:type="dxa"/>
            <w:noWrap/>
            <w:vAlign w:val="center"/>
            <w:hideMark/>
          </w:tcPr>
          <w:p w14:paraId="7DD08331" w14:textId="77777777" w:rsidR="00A912D5" w:rsidRPr="00D7766C" w:rsidRDefault="00A912D5" w:rsidP="00D7766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D7766C">
              <w:rPr>
                <w:rFonts w:asciiTheme="majorHAnsi" w:hAnsiTheme="majorHAnsi" w:cstheme="majorHAnsi"/>
                <w:color w:val="000000"/>
                <w:sz w:val="18"/>
                <w:szCs w:val="18"/>
              </w:rPr>
              <w:t>0%</w:t>
            </w:r>
          </w:p>
        </w:tc>
      </w:tr>
      <w:tr w:rsidR="00A912D5" w:rsidRPr="00253CBC" w14:paraId="4A7B0431" w14:textId="77777777" w:rsidTr="00CF0AD2">
        <w:trPr>
          <w:trHeight w:val="459"/>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71164CED" w14:textId="77777777" w:rsidR="00A912D5" w:rsidRPr="00D7766C" w:rsidRDefault="00A912D5" w:rsidP="000A4588">
            <w:pPr>
              <w:rPr>
                <w:rFonts w:asciiTheme="majorHAnsi" w:eastAsia="Times New Roman" w:hAnsiTheme="majorHAnsi" w:cstheme="majorHAnsi"/>
                <w:b w:val="0"/>
                <w:color w:val="000000"/>
                <w:sz w:val="18"/>
                <w:szCs w:val="18"/>
                <w:lang w:eastAsia="es-EC"/>
              </w:rPr>
            </w:pPr>
            <w:r w:rsidRPr="00D7766C">
              <w:rPr>
                <w:rFonts w:asciiTheme="majorHAnsi" w:hAnsiTheme="majorHAnsi" w:cstheme="majorHAnsi"/>
                <w:b w:val="0"/>
                <w:color w:val="000000"/>
                <w:sz w:val="18"/>
                <w:szCs w:val="18"/>
              </w:rPr>
              <w:t>Programa de apoyo a la reforma de empresas publicas MEF</w:t>
            </w:r>
          </w:p>
        </w:tc>
        <w:tc>
          <w:tcPr>
            <w:tcW w:w="1392" w:type="dxa"/>
            <w:noWrap/>
            <w:vAlign w:val="center"/>
            <w:hideMark/>
          </w:tcPr>
          <w:p w14:paraId="7F920D1D"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1.104.000,00 </w:t>
            </w:r>
          </w:p>
        </w:tc>
        <w:tc>
          <w:tcPr>
            <w:tcW w:w="1232" w:type="dxa"/>
            <w:noWrap/>
            <w:vAlign w:val="center"/>
            <w:hideMark/>
          </w:tcPr>
          <w:p w14:paraId="210E1CD4"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1.104.000,00 </w:t>
            </w:r>
          </w:p>
        </w:tc>
        <w:tc>
          <w:tcPr>
            <w:tcW w:w="1070" w:type="dxa"/>
            <w:noWrap/>
            <w:vAlign w:val="center"/>
            <w:hideMark/>
          </w:tcPr>
          <w:p w14:paraId="3574BE45" w14:textId="77777777" w:rsidR="00A912D5" w:rsidRPr="00D7766C" w:rsidRDefault="00A912D5" w:rsidP="00D7766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D7766C">
              <w:rPr>
                <w:rFonts w:asciiTheme="majorHAnsi" w:hAnsiTheme="majorHAnsi" w:cstheme="majorHAnsi"/>
                <w:color w:val="000000"/>
                <w:sz w:val="18"/>
                <w:szCs w:val="18"/>
              </w:rPr>
              <w:t>100%</w:t>
            </w:r>
          </w:p>
        </w:tc>
      </w:tr>
      <w:tr w:rsidR="00A912D5" w:rsidRPr="00253CBC" w14:paraId="291FA266" w14:textId="77777777" w:rsidTr="00CF0AD2">
        <w:trPr>
          <w:trHeight w:val="459"/>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6C5CA7CF" w14:textId="77777777" w:rsidR="00A912D5" w:rsidRPr="00D7766C" w:rsidRDefault="00A912D5" w:rsidP="000A4588">
            <w:pPr>
              <w:rPr>
                <w:rFonts w:asciiTheme="majorHAnsi" w:eastAsia="Times New Roman" w:hAnsiTheme="majorHAnsi" w:cstheme="majorHAnsi"/>
                <w:b w:val="0"/>
                <w:color w:val="000000"/>
                <w:sz w:val="18"/>
                <w:szCs w:val="18"/>
                <w:lang w:eastAsia="es-EC"/>
              </w:rPr>
            </w:pPr>
            <w:r w:rsidRPr="00D7766C">
              <w:rPr>
                <w:rFonts w:asciiTheme="majorHAnsi" w:hAnsiTheme="majorHAnsi" w:cstheme="majorHAnsi"/>
                <w:b w:val="0"/>
                <w:color w:val="000000"/>
                <w:sz w:val="18"/>
                <w:szCs w:val="18"/>
              </w:rPr>
              <w:t>Proyecto para la sustitución de acondicionadores de aire de consumo energético ineficiente en la Provincia de Galápagos</w:t>
            </w:r>
          </w:p>
        </w:tc>
        <w:tc>
          <w:tcPr>
            <w:tcW w:w="1392" w:type="dxa"/>
            <w:noWrap/>
            <w:vAlign w:val="center"/>
            <w:hideMark/>
          </w:tcPr>
          <w:p w14:paraId="399EB280"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 187.315,26 </w:t>
            </w:r>
          </w:p>
        </w:tc>
        <w:tc>
          <w:tcPr>
            <w:tcW w:w="1232" w:type="dxa"/>
            <w:noWrap/>
            <w:vAlign w:val="center"/>
            <w:hideMark/>
          </w:tcPr>
          <w:p w14:paraId="1832AD8C"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70.559,20 </w:t>
            </w:r>
          </w:p>
        </w:tc>
        <w:tc>
          <w:tcPr>
            <w:tcW w:w="1070" w:type="dxa"/>
            <w:noWrap/>
            <w:vAlign w:val="center"/>
            <w:hideMark/>
          </w:tcPr>
          <w:p w14:paraId="6B388D8D" w14:textId="77777777" w:rsidR="00A912D5" w:rsidRPr="00D7766C" w:rsidRDefault="00A912D5" w:rsidP="00D7766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38%</w:t>
            </w:r>
          </w:p>
        </w:tc>
      </w:tr>
      <w:tr w:rsidR="00A912D5" w:rsidRPr="00253CBC" w14:paraId="2F47F5CB" w14:textId="77777777" w:rsidTr="00CF0AD2">
        <w:trPr>
          <w:trHeight w:val="229"/>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3DA5F10E" w14:textId="77777777" w:rsidR="00A912D5" w:rsidRPr="00D7766C" w:rsidRDefault="00A912D5" w:rsidP="000A4588">
            <w:pPr>
              <w:rPr>
                <w:rFonts w:asciiTheme="majorHAnsi" w:eastAsia="Times New Roman" w:hAnsiTheme="majorHAnsi" w:cstheme="majorHAnsi"/>
                <w:b w:val="0"/>
                <w:color w:val="000000"/>
                <w:sz w:val="18"/>
                <w:szCs w:val="18"/>
                <w:lang w:eastAsia="es-EC"/>
              </w:rPr>
            </w:pPr>
            <w:r w:rsidRPr="00D7766C">
              <w:rPr>
                <w:rFonts w:asciiTheme="majorHAnsi" w:hAnsiTheme="majorHAnsi" w:cstheme="majorHAnsi"/>
                <w:b w:val="0"/>
                <w:color w:val="000000"/>
                <w:sz w:val="18"/>
                <w:szCs w:val="18"/>
              </w:rPr>
              <w:t>Desarrollo de la prospectiva y de la planificación energética en Ecuador</w:t>
            </w:r>
          </w:p>
        </w:tc>
        <w:tc>
          <w:tcPr>
            <w:tcW w:w="1392" w:type="dxa"/>
            <w:noWrap/>
            <w:vAlign w:val="center"/>
            <w:hideMark/>
          </w:tcPr>
          <w:p w14:paraId="221D834D"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 185.538,15 </w:t>
            </w:r>
          </w:p>
        </w:tc>
        <w:tc>
          <w:tcPr>
            <w:tcW w:w="1232" w:type="dxa"/>
            <w:noWrap/>
            <w:vAlign w:val="center"/>
            <w:hideMark/>
          </w:tcPr>
          <w:p w14:paraId="6142D2F3"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 </w:t>
            </w:r>
          </w:p>
        </w:tc>
        <w:tc>
          <w:tcPr>
            <w:tcW w:w="1070" w:type="dxa"/>
            <w:noWrap/>
            <w:vAlign w:val="center"/>
            <w:hideMark/>
          </w:tcPr>
          <w:p w14:paraId="5BA39409" w14:textId="77777777" w:rsidR="00A912D5" w:rsidRPr="00D7766C" w:rsidRDefault="00A912D5" w:rsidP="00D7766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0%</w:t>
            </w:r>
          </w:p>
        </w:tc>
      </w:tr>
      <w:tr w:rsidR="00A912D5" w:rsidRPr="00253CBC" w14:paraId="13C8699F" w14:textId="77777777" w:rsidTr="00CF0AD2">
        <w:trPr>
          <w:trHeight w:val="459"/>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76AD3234" w14:textId="77777777" w:rsidR="00A912D5" w:rsidRPr="00D7766C" w:rsidRDefault="00A912D5" w:rsidP="000A4588">
            <w:pPr>
              <w:rPr>
                <w:rFonts w:asciiTheme="majorHAnsi" w:eastAsia="Times New Roman" w:hAnsiTheme="majorHAnsi" w:cstheme="majorHAnsi"/>
                <w:b w:val="0"/>
                <w:color w:val="000000"/>
                <w:sz w:val="18"/>
                <w:szCs w:val="18"/>
                <w:lang w:eastAsia="es-EC"/>
              </w:rPr>
            </w:pPr>
            <w:r w:rsidRPr="00D7766C">
              <w:rPr>
                <w:rFonts w:asciiTheme="majorHAnsi" w:hAnsiTheme="majorHAnsi" w:cstheme="majorHAnsi"/>
                <w:b w:val="0"/>
                <w:color w:val="000000"/>
                <w:sz w:val="18"/>
                <w:szCs w:val="18"/>
              </w:rPr>
              <w:t>Programa de reforzamiento de redes de distribución eléctrica para el sector acuícola</w:t>
            </w:r>
          </w:p>
        </w:tc>
        <w:tc>
          <w:tcPr>
            <w:tcW w:w="1392" w:type="dxa"/>
            <w:noWrap/>
            <w:vAlign w:val="center"/>
            <w:hideMark/>
          </w:tcPr>
          <w:p w14:paraId="6D6BDD57"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 177.775,72 </w:t>
            </w:r>
          </w:p>
        </w:tc>
        <w:tc>
          <w:tcPr>
            <w:tcW w:w="1232" w:type="dxa"/>
            <w:noWrap/>
            <w:vAlign w:val="center"/>
            <w:hideMark/>
          </w:tcPr>
          <w:p w14:paraId="5E173489"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 </w:t>
            </w:r>
          </w:p>
        </w:tc>
        <w:tc>
          <w:tcPr>
            <w:tcW w:w="1070" w:type="dxa"/>
            <w:noWrap/>
            <w:vAlign w:val="center"/>
            <w:hideMark/>
          </w:tcPr>
          <w:p w14:paraId="3B475532" w14:textId="77777777" w:rsidR="00A912D5" w:rsidRPr="00D7766C" w:rsidRDefault="00A912D5" w:rsidP="00D7766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0%</w:t>
            </w:r>
          </w:p>
        </w:tc>
      </w:tr>
      <w:tr w:rsidR="00A912D5" w:rsidRPr="00253CBC" w14:paraId="3B4FE17C" w14:textId="77777777" w:rsidTr="00CF0AD2">
        <w:trPr>
          <w:trHeight w:val="689"/>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0A88A1D3" w14:textId="77777777" w:rsidR="00A912D5" w:rsidRPr="00D7766C" w:rsidRDefault="00A912D5" w:rsidP="000A4588">
            <w:pPr>
              <w:rPr>
                <w:rFonts w:asciiTheme="majorHAnsi" w:eastAsia="Times New Roman" w:hAnsiTheme="majorHAnsi" w:cstheme="majorHAnsi"/>
                <w:b w:val="0"/>
                <w:color w:val="000000"/>
                <w:sz w:val="18"/>
                <w:szCs w:val="18"/>
                <w:lang w:eastAsia="es-EC"/>
              </w:rPr>
            </w:pPr>
            <w:r w:rsidRPr="00D7766C">
              <w:rPr>
                <w:rFonts w:asciiTheme="majorHAnsi" w:hAnsiTheme="majorHAnsi" w:cstheme="majorHAnsi"/>
                <w:b w:val="0"/>
                <w:color w:val="000000"/>
                <w:sz w:val="18"/>
                <w:szCs w:val="18"/>
              </w:rPr>
              <w:t>Proyecto de gestión del subsistema de empleo en el servicio publico</w:t>
            </w:r>
          </w:p>
        </w:tc>
        <w:tc>
          <w:tcPr>
            <w:tcW w:w="1392" w:type="dxa"/>
            <w:noWrap/>
            <w:vAlign w:val="center"/>
            <w:hideMark/>
          </w:tcPr>
          <w:p w14:paraId="36B4E3CF"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 152.407,50 </w:t>
            </w:r>
          </w:p>
        </w:tc>
        <w:tc>
          <w:tcPr>
            <w:tcW w:w="1232" w:type="dxa"/>
            <w:noWrap/>
            <w:vAlign w:val="center"/>
            <w:hideMark/>
          </w:tcPr>
          <w:p w14:paraId="549452F7"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152.407,50 </w:t>
            </w:r>
          </w:p>
        </w:tc>
        <w:tc>
          <w:tcPr>
            <w:tcW w:w="1070" w:type="dxa"/>
            <w:noWrap/>
            <w:vAlign w:val="center"/>
            <w:hideMark/>
          </w:tcPr>
          <w:p w14:paraId="593FB49B" w14:textId="77777777" w:rsidR="00A912D5" w:rsidRPr="00D7766C" w:rsidRDefault="00A912D5" w:rsidP="00D7766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100%</w:t>
            </w:r>
          </w:p>
        </w:tc>
      </w:tr>
      <w:tr w:rsidR="00A912D5" w:rsidRPr="00253CBC" w14:paraId="3C69E638" w14:textId="77777777" w:rsidTr="00CF0AD2">
        <w:trPr>
          <w:trHeight w:val="459"/>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028A14D0" w14:textId="77777777" w:rsidR="00A912D5" w:rsidRPr="00D7766C" w:rsidRDefault="00A912D5" w:rsidP="000A4588">
            <w:pPr>
              <w:rPr>
                <w:rFonts w:asciiTheme="majorHAnsi" w:eastAsia="Times New Roman" w:hAnsiTheme="majorHAnsi" w:cstheme="majorHAnsi"/>
                <w:b w:val="0"/>
                <w:color w:val="000000"/>
                <w:sz w:val="18"/>
                <w:szCs w:val="18"/>
                <w:lang w:eastAsia="es-EC"/>
              </w:rPr>
            </w:pPr>
            <w:r w:rsidRPr="00D7766C">
              <w:rPr>
                <w:rFonts w:asciiTheme="majorHAnsi" w:hAnsiTheme="majorHAnsi" w:cstheme="majorHAnsi"/>
                <w:b w:val="0"/>
                <w:color w:val="000000"/>
                <w:sz w:val="18"/>
                <w:szCs w:val="18"/>
              </w:rPr>
              <w:lastRenderedPageBreak/>
              <w:t>Proyecto eficiencia energética para la agroindustria en el ecuador</w:t>
            </w:r>
          </w:p>
        </w:tc>
        <w:tc>
          <w:tcPr>
            <w:tcW w:w="1392" w:type="dxa"/>
            <w:noWrap/>
            <w:vAlign w:val="center"/>
            <w:hideMark/>
          </w:tcPr>
          <w:p w14:paraId="064D1CF9"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 14.461,85 </w:t>
            </w:r>
          </w:p>
        </w:tc>
        <w:tc>
          <w:tcPr>
            <w:tcW w:w="1232" w:type="dxa"/>
            <w:noWrap/>
            <w:vAlign w:val="center"/>
            <w:hideMark/>
          </w:tcPr>
          <w:p w14:paraId="575D32C8"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 xml:space="preserve">- </w:t>
            </w:r>
          </w:p>
        </w:tc>
        <w:tc>
          <w:tcPr>
            <w:tcW w:w="1070" w:type="dxa"/>
            <w:noWrap/>
            <w:vAlign w:val="center"/>
            <w:hideMark/>
          </w:tcPr>
          <w:p w14:paraId="2D720794" w14:textId="77777777" w:rsidR="00A912D5" w:rsidRPr="00D7766C" w:rsidRDefault="00A912D5" w:rsidP="00D7766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D7766C">
              <w:rPr>
                <w:rFonts w:asciiTheme="majorHAnsi" w:hAnsiTheme="majorHAnsi" w:cstheme="majorHAnsi"/>
                <w:color w:val="000000"/>
                <w:sz w:val="18"/>
                <w:szCs w:val="18"/>
              </w:rPr>
              <w:t>0%</w:t>
            </w:r>
          </w:p>
        </w:tc>
      </w:tr>
      <w:tr w:rsidR="00A912D5" w:rsidRPr="00253CBC" w14:paraId="5F595958" w14:textId="77777777" w:rsidTr="00CF0AD2">
        <w:trPr>
          <w:trHeight w:val="229"/>
          <w:jc w:val="center"/>
        </w:trPr>
        <w:tc>
          <w:tcPr>
            <w:cnfStyle w:val="001000000000" w:firstRow="0" w:lastRow="0" w:firstColumn="1" w:lastColumn="0" w:oddVBand="0" w:evenVBand="0" w:oddHBand="0" w:evenHBand="0" w:firstRowFirstColumn="0" w:firstRowLastColumn="0" w:lastRowFirstColumn="0" w:lastRowLastColumn="0"/>
            <w:tcW w:w="3325" w:type="dxa"/>
            <w:shd w:val="clear" w:color="auto" w:fill="0070C0"/>
            <w:vAlign w:val="center"/>
            <w:hideMark/>
          </w:tcPr>
          <w:p w14:paraId="69DAED50" w14:textId="77777777" w:rsidR="00A912D5" w:rsidRPr="00D7766C" w:rsidRDefault="00A912D5" w:rsidP="000A4588">
            <w:pPr>
              <w:rPr>
                <w:rFonts w:asciiTheme="majorHAnsi" w:eastAsia="Times New Roman" w:hAnsiTheme="majorHAnsi" w:cstheme="majorHAnsi"/>
                <w:color w:val="000000"/>
                <w:sz w:val="18"/>
                <w:szCs w:val="18"/>
                <w:lang w:eastAsia="es-EC"/>
              </w:rPr>
            </w:pPr>
            <w:r w:rsidRPr="00D7766C">
              <w:rPr>
                <w:rFonts w:asciiTheme="majorHAnsi" w:eastAsia="Times New Roman" w:hAnsiTheme="majorHAnsi" w:cstheme="majorHAnsi"/>
                <w:color w:val="FFFFFF" w:themeColor="background1"/>
                <w:sz w:val="18"/>
                <w:szCs w:val="18"/>
                <w:lang w:eastAsia="es-EC"/>
              </w:rPr>
              <w:t>TOTAL</w:t>
            </w:r>
          </w:p>
        </w:tc>
        <w:tc>
          <w:tcPr>
            <w:tcW w:w="1392" w:type="dxa"/>
            <w:shd w:val="clear" w:color="auto" w:fill="0070C0"/>
            <w:noWrap/>
            <w:vAlign w:val="center"/>
            <w:hideMark/>
          </w:tcPr>
          <w:p w14:paraId="0ECF0509"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s-EC"/>
              </w:rPr>
            </w:pPr>
            <w:r w:rsidRPr="00D7766C">
              <w:rPr>
                <w:rFonts w:asciiTheme="majorHAnsi" w:hAnsiTheme="majorHAnsi" w:cstheme="majorHAnsi"/>
                <w:b/>
                <w:color w:val="FFFFFF" w:themeColor="background1"/>
                <w:sz w:val="18"/>
                <w:szCs w:val="18"/>
              </w:rPr>
              <w:t xml:space="preserve">61.381.569,89 </w:t>
            </w:r>
          </w:p>
        </w:tc>
        <w:tc>
          <w:tcPr>
            <w:tcW w:w="1232" w:type="dxa"/>
            <w:shd w:val="clear" w:color="auto" w:fill="0070C0"/>
            <w:noWrap/>
            <w:vAlign w:val="center"/>
            <w:hideMark/>
          </w:tcPr>
          <w:p w14:paraId="3700DE1F" w14:textId="77777777" w:rsidR="00A912D5" w:rsidRPr="00D7766C" w:rsidRDefault="00A912D5"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s-EC"/>
              </w:rPr>
            </w:pPr>
            <w:r w:rsidRPr="00D7766C">
              <w:rPr>
                <w:rFonts w:asciiTheme="majorHAnsi" w:hAnsiTheme="majorHAnsi" w:cstheme="majorHAnsi"/>
                <w:b/>
                <w:color w:val="FFFFFF" w:themeColor="background1"/>
                <w:sz w:val="18"/>
                <w:szCs w:val="18"/>
              </w:rPr>
              <w:t xml:space="preserve">41.674.898,39 </w:t>
            </w:r>
          </w:p>
        </w:tc>
        <w:tc>
          <w:tcPr>
            <w:tcW w:w="1070" w:type="dxa"/>
            <w:shd w:val="clear" w:color="auto" w:fill="0070C0"/>
            <w:noWrap/>
            <w:vAlign w:val="center"/>
            <w:hideMark/>
          </w:tcPr>
          <w:p w14:paraId="3756196A" w14:textId="77777777" w:rsidR="00A912D5" w:rsidRPr="00D7766C" w:rsidRDefault="00A912D5" w:rsidP="00D7766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s-EC"/>
              </w:rPr>
            </w:pPr>
            <w:r w:rsidRPr="00D7766C">
              <w:rPr>
                <w:rFonts w:asciiTheme="majorHAnsi" w:hAnsiTheme="majorHAnsi" w:cstheme="majorHAnsi"/>
                <w:b/>
                <w:color w:val="FFFFFF" w:themeColor="background1"/>
                <w:sz w:val="18"/>
                <w:szCs w:val="18"/>
              </w:rPr>
              <w:t>67,89%</w:t>
            </w:r>
          </w:p>
        </w:tc>
      </w:tr>
    </w:tbl>
    <w:p w14:paraId="01C5658E" w14:textId="38CF107F" w:rsidR="006733F0" w:rsidRPr="00EA3742" w:rsidRDefault="00001CA3" w:rsidP="00EA3742">
      <w:pPr>
        <w:rPr>
          <w:rFonts w:asciiTheme="majorHAnsi" w:hAnsiTheme="majorHAnsi" w:cstheme="majorHAnsi"/>
          <w:i/>
          <w:color w:val="7F7F7F" w:themeColor="text1" w:themeTint="80"/>
          <w:sz w:val="16"/>
          <w:szCs w:val="16"/>
        </w:rPr>
      </w:pPr>
      <w:r>
        <w:rPr>
          <w:rFonts w:asciiTheme="majorHAnsi" w:hAnsiTheme="majorHAnsi" w:cstheme="majorHAnsi"/>
          <w:i/>
          <w:color w:val="7F7F7F" w:themeColor="text1" w:themeTint="80"/>
          <w:sz w:val="16"/>
          <w:szCs w:val="16"/>
        </w:rPr>
        <w:t xml:space="preserve">                   </w:t>
      </w:r>
      <w:r w:rsidR="006733F0" w:rsidRPr="00EA3742">
        <w:rPr>
          <w:rFonts w:asciiTheme="majorHAnsi" w:hAnsiTheme="majorHAnsi" w:cstheme="majorHAnsi"/>
          <w:i/>
          <w:color w:val="7F7F7F" w:themeColor="text1" w:themeTint="80"/>
          <w:sz w:val="16"/>
          <w:szCs w:val="16"/>
        </w:rPr>
        <w:t>Fuente: Sistema Integrado de Gestión Financiera (</w:t>
      </w:r>
      <w:proofErr w:type="spellStart"/>
      <w:r w:rsidR="006733F0" w:rsidRPr="00EA3742">
        <w:rPr>
          <w:rFonts w:asciiTheme="majorHAnsi" w:hAnsiTheme="majorHAnsi" w:cstheme="majorHAnsi"/>
          <w:i/>
          <w:color w:val="7F7F7F" w:themeColor="text1" w:themeTint="80"/>
          <w:sz w:val="16"/>
          <w:szCs w:val="16"/>
        </w:rPr>
        <w:t>Esigef</w:t>
      </w:r>
      <w:proofErr w:type="spellEnd"/>
      <w:r w:rsidR="006733F0" w:rsidRPr="00EA3742">
        <w:rPr>
          <w:rFonts w:asciiTheme="majorHAnsi" w:hAnsiTheme="majorHAnsi" w:cstheme="majorHAnsi"/>
          <w:i/>
          <w:color w:val="7F7F7F" w:themeColor="text1" w:themeTint="80"/>
          <w:sz w:val="16"/>
          <w:szCs w:val="16"/>
        </w:rPr>
        <w:t>), corte diciembre 2024</w:t>
      </w:r>
    </w:p>
    <w:p w14:paraId="0CD5B13C" w14:textId="3AB1E4CA" w:rsidR="006733F0" w:rsidRPr="00EA3742" w:rsidRDefault="00001CA3" w:rsidP="00EA3742">
      <w:pPr>
        <w:rPr>
          <w:rFonts w:asciiTheme="majorHAnsi" w:hAnsiTheme="majorHAnsi" w:cstheme="majorHAnsi"/>
          <w:i/>
          <w:color w:val="7F7F7F" w:themeColor="text1" w:themeTint="80"/>
          <w:sz w:val="16"/>
          <w:szCs w:val="16"/>
        </w:rPr>
      </w:pPr>
      <w:r>
        <w:rPr>
          <w:rFonts w:asciiTheme="majorHAnsi" w:hAnsiTheme="majorHAnsi" w:cstheme="majorHAnsi"/>
          <w:i/>
          <w:color w:val="7F7F7F" w:themeColor="text1" w:themeTint="80"/>
          <w:sz w:val="16"/>
          <w:szCs w:val="16"/>
        </w:rPr>
        <w:t xml:space="preserve">                   </w:t>
      </w:r>
      <w:r w:rsidR="006733F0" w:rsidRPr="00EA3742">
        <w:rPr>
          <w:rFonts w:asciiTheme="majorHAnsi" w:hAnsiTheme="majorHAnsi" w:cstheme="majorHAnsi"/>
          <w:i/>
          <w:color w:val="7F7F7F" w:themeColor="text1" w:themeTint="80"/>
          <w:sz w:val="16"/>
          <w:szCs w:val="16"/>
        </w:rPr>
        <w:t>Fuente: Sistema Integrado de Planificación e Inversión (SIPEIP)</w:t>
      </w:r>
    </w:p>
    <w:p w14:paraId="6F9ED579" w14:textId="77777777" w:rsidR="00910BEC" w:rsidRPr="004A3F62" w:rsidRDefault="00910BEC" w:rsidP="004A3F62">
      <w:pPr>
        <w:jc w:val="both"/>
        <w:rPr>
          <w:rFonts w:asciiTheme="majorHAnsi" w:hAnsiTheme="majorHAnsi" w:cstheme="majorHAnsi"/>
          <w:sz w:val="22"/>
          <w:szCs w:val="22"/>
          <w:lang w:val="es-ES" w:eastAsia="es-EC"/>
        </w:rPr>
      </w:pPr>
    </w:p>
    <w:p w14:paraId="6D69AE91" w14:textId="60A54D5A" w:rsidR="006733F0" w:rsidRPr="00186095" w:rsidRDefault="006733F0" w:rsidP="00186095">
      <w:pPr>
        <w:pStyle w:val="Ttulo4"/>
        <w:rPr>
          <w:i w:val="0"/>
          <w:sz w:val="22"/>
          <w:szCs w:val="22"/>
        </w:rPr>
      </w:pPr>
      <w:r w:rsidRPr="00186095">
        <w:rPr>
          <w:i w:val="0"/>
          <w:sz w:val="22"/>
          <w:szCs w:val="22"/>
        </w:rPr>
        <w:t xml:space="preserve">Información de seguimiento a los créditos del sector </w:t>
      </w:r>
      <w:r w:rsidR="00C751F5" w:rsidRPr="00186095">
        <w:rPr>
          <w:i w:val="0"/>
          <w:sz w:val="22"/>
          <w:szCs w:val="22"/>
        </w:rPr>
        <w:t>E</w:t>
      </w:r>
      <w:r w:rsidRPr="00186095">
        <w:rPr>
          <w:i w:val="0"/>
          <w:sz w:val="22"/>
          <w:szCs w:val="22"/>
        </w:rPr>
        <w:t>léctrico</w:t>
      </w:r>
    </w:p>
    <w:p w14:paraId="0A5AE591" w14:textId="77777777" w:rsidR="006733F0" w:rsidRPr="006733F0" w:rsidRDefault="006733F0" w:rsidP="003A269C">
      <w:pPr>
        <w:pStyle w:val="Prrafodelista"/>
        <w:jc w:val="both"/>
        <w:rPr>
          <w:rFonts w:asciiTheme="majorHAnsi" w:hAnsiTheme="majorHAnsi" w:cstheme="majorHAnsi"/>
          <w:b/>
        </w:rPr>
      </w:pPr>
    </w:p>
    <w:p w14:paraId="5C25ACF0" w14:textId="77777777" w:rsidR="006733F0" w:rsidRPr="00977DB2" w:rsidRDefault="006733F0" w:rsidP="003B0F6F">
      <w:pPr>
        <w:jc w:val="both"/>
        <w:rPr>
          <w:rFonts w:asciiTheme="majorHAnsi" w:hAnsiTheme="majorHAnsi" w:cstheme="majorHAnsi"/>
          <w:sz w:val="22"/>
          <w:szCs w:val="22"/>
        </w:rPr>
      </w:pPr>
      <w:r w:rsidRPr="00977DB2">
        <w:rPr>
          <w:rFonts w:asciiTheme="majorHAnsi" w:hAnsiTheme="majorHAnsi" w:cstheme="majorHAnsi"/>
          <w:sz w:val="22"/>
          <w:szCs w:val="22"/>
        </w:rPr>
        <w:t>El Viceministerio de Electricidad cuenta con el mayor porcentaje del presupuesto del MEM (98,28%) para proyectos de inversión, incluidos en el Plan Anual de Inversión 2024. Estos proyectos y programas se financian en base a créditos externos.</w:t>
      </w:r>
    </w:p>
    <w:p w14:paraId="2C68550C" w14:textId="77777777" w:rsidR="006733F0" w:rsidRPr="00977DB2" w:rsidRDefault="006733F0" w:rsidP="003A269C">
      <w:pPr>
        <w:pStyle w:val="Prrafodelista"/>
        <w:jc w:val="both"/>
        <w:rPr>
          <w:rFonts w:asciiTheme="majorHAnsi" w:hAnsiTheme="majorHAnsi" w:cstheme="majorHAnsi"/>
          <w:sz w:val="22"/>
          <w:szCs w:val="22"/>
        </w:rPr>
      </w:pPr>
    </w:p>
    <w:p w14:paraId="39936961" w14:textId="12771854" w:rsidR="006733F0" w:rsidRDefault="006733F0" w:rsidP="00977DB2">
      <w:pPr>
        <w:jc w:val="both"/>
        <w:rPr>
          <w:rFonts w:asciiTheme="majorHAnsi" w:hAnsiTheme="majorHAnsi" w:cstheme="majorHAnsi"/>
          <w:sz w:val="22"/>
          <w:szCs w:val="22"/>
        </w:rPr>
      </w:pPr>
      <w:r w:rsidRPr="00977DB2">
        <w:rPr>
          <w:rFonts w:asciiTheme="majorHAnsi" w:hAnsiTheme="majorHAnsi" w:cstheme="majorHAnsi"/>
          <w:sz w:val="22"/>
          <w:szCs w:val="22"/>
        </w:rPr>
        <w:t>A continuación, se presentan los valores presupuestarios de los proyectos correspondientes al sector eléctrico, así como su nivel de ejecución con corte al 30 de noviembre de 2024.</w:t>
      </w:r>
    </w:p>
    <w:p w14:paraId="187E2931" w14:textId="77777777" w:rsidR="00C751F5" w:rsidRPr="00977DB2" w:rsidRDefault="00C751F5" w:rsidP="00977DB2">
      <w:pPr>
        <w:jc w:val="both"/>
        <w:rPr>
          <w:rFonts w:asciiTheme="majorHAnsi" w:hAnsiTheme="majorHAnsi" w:cstheme="majorHAnsi"/>
          <w:sz w:val="22"/>
          <w:szCs w:val="22"/>
        </w:rPr>
      </w:pPr>
    </w:p>
    <w:p w14:paraId="620EBA6E" w14:textId="00500266" w:rsidR="006733F0" w:rsidRPr="00EA3742" w:rsidRDefault="003A269C" w:rsidP="00B14D90">
      <w:pPr>
        <w:pStyle w:val="Descripcin"/>
        <w:jc w:val="left"/>
        <w:rPr>
          <w:rFonts w:asciiTheme="majorHAnsi" w:hAnsiTheme="majorHAnsi"/>
        </w:rPr>
      </w:pPr>
      <w:r>
        <w:t xml:space="preserve">          </w:t>
      </w:r>
    </w:p>
    <w:p w14:paraId="392732E5" w14:textId="18483D83" w:rsidR="00B14D90" w:rsidRPr="00B14D90" w:rsidRDefault="00B14D90" w:rsidP="00B14D90">
      <w:pPr>
        <w:pStyle w:val="Descripcin"/>
        <w:rPr>
          <w:rFonts w:asciiTheme="majorHAnsi" w:hAnsiTheme="majorHAnsi" w:cstheme="majorHAnsi"/>
        </w:rPr>
      </w:pPr>
      <w:bookmarkStart w:id="23" w:name="_Toc199759674"/>
      <w:r w:rsidRPr="00B14D90">
        <w:rPr>
          <w:rFonts w:asciiTheme="majorHAnsi" w:hAnsiTheme="majorHAnsi" w:cstheme="majorHAnsi"/>
        </w:rPr>
        <w:t xml:space="preserve">Tabla </w:t>
      </w:r>
      <w:r w:rsidRPr="00B14D90">
        <w:rPr>
          <w:rFonts w:asciiTheme="majorHAnsi" w:hAnsiTheme="majorHAnsi" w:cstheme="majorHAnsi"/>
        </w:rPr>
        <w:fldChar w:fldCharType="begin"/>
      </w:r>
      <w:r w:rsidRPr="00B14D90">
        <w:rPr>
          <w:rFonts w:asciiTheme="majorHAnsi" w:hAnsiTheme="majorHAnsi" w:cstheme="majorHAnsi"/>
        </w:rPr>
        <w:instrText xml:space="preserve"> SEQ Tabla \* ARABIC </w:instrText>
      </w:r>
      <w:r w:rsidRPr="00B14D90">
        <w:rPr>
          <w:rFonts w:asciiTheme="majorHAnsi" w:hAnsiTheme="majorHAnsi" w:cstheme="majorHAnsi"/>
        </w:rPr>
        <w:fldChar w:fldCharType="separate"/>
      </w:r>
      <w:r w:rsidR="00CF0AD2">
        <w:rPr>
          <w:rFonts w:asciiTheme="majorHAnsi" w:hAnsiTheme="majorHAnsi" w:cstheme="majorHAnsi"/>
          <w:noProof/>
        </w:rPr>
        <w:t>4</w:t>
      </w:r>
      <w:r w:rsidRPr="00B14D90">
        <w:rPr>
          <w:rFonts w:asciiTheme="majorHAnsi" w:hAnsiTheme="majorHAnsi" w:cstheme="majorHAnsi"/>
        </w:rPr>
        <w:fldChar w:fldCharType="end"/>
      </w:r>
      <w:r w:rsidR="00276D61">
        <w:rPr>
          <w:rFonts w:asciiTheme="majorHAnsi" w:hAnsiTheme="majorHAnsi" w:cstheme="majorHAnsi"/>
        </w:rPr>
        <w:t>:</w:t>
      </w:r>
      <w:r w:rsidR="0016337C">
        <w:rPr>
          <w:rFonts w:asciiTheme="majorHAnsi" w:hAnsiTheme="majorHAnsi" w:cstheme="majorHAnsi"/>
        </w:rPr>
        <w:t xml:space="preserve"> </w:t>
      </w:r>
      <w:r w:rsidRPr="00B14D90">
        <w:rPr>
          <w:rFonts w:asciiTheme="majorHAnsi" w:hAnsiTheme="majorHAnsi" w:cstheme="majorHAnsi"/>
        </w:rPr>
        <w:t>Ejecución de Proyectos Eléctricos por Organismo de Financiamiento</w:t>
      </w:r>
      <w:bookmarkEnd w:id="23"/>
    </w:p>
    <w:tbl>
      <w:tblPr>
        <w:tblStyle w:val="Tablaconcuadrcula4-nfasis1"/>
        <w:tblW w:w="0" w:type="auto"/>
        <w:jc w:val="center"/>
        <w:tblLook w:val="04A0" w:firstRow="1" w:lastRow="0" w:firstColumn="1" w:lastColumn="0" w:noHBand="0" w:noVBand="1"/>
      </w:tblPr>
      <w:tblGrid>
        <w:gridCol w:w="2888"/>
        <w:gridCol w:w="1786"/>
        <w:gridCol w:w="1666"/>
        <w:gridCol w:w="1310"/>
      </w:tblGrid>
      <w:tr w:rsidR="006733F0" w:rsidRPr="0061780C" w14:paraId="2BE42A32" w14:textId="77777777" w:rsidTr="000A458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8" w:type="dxa"/>
            <w:noWrap/>
            <w:vAlign w:val="center"/>
            <w:hideMark/>
          </w:tcPr>
          <w:p w14:paraId="6A1306E5" w14:textId="77777777" w:rsidR="006733F0" w:rsidRPr="00EA3742" w:rsidRDefault="006733F0" w:rsidP="000A4588">
            <w:pPr>
              <w:jc w:val="center"/>
              <w:rPr>
                <w:rFonts w:asciiTheme="majorHAnsi" w:eastAsia="Times New Roman" w:hAnsiTheme="majorHAnsi" w:cs="Calibri"/>
                <w:sz w:val="18"/>
                <w:szCs w:val="18"/>
                <w:lang w:eastAsia="es-EC"/>
              </w:rPr>
            </w:pPr>
            <w:r w:rsidRPr="00EA3742">
              <w:rPr>
                <w:rFonts w:asciiTheme="majorHAnsi" w:eastAsia="Times New Roman" w:hAnsiTheme="majorHAnsi" w:cs="Calibri"/>
                <w:sz w:val="18"/>
                <w:szCs w:val="18"/>
                <w:lang w:eastAsia="es-EC"/>
              </w:rPr>
              <w:t>Organismos de financiamiento</w:t>
            </w:r>
          </w:p>
        </w:tc>
        <w:tc>
          <w:tcPr>
            <w:tcW w:w="1786" w:type="dxa"/>
            <w:noWrap/>
            <w:vAlign w:val="center"/>
            <w:hideMark/>
          </w:tcPr>
          <w:p w14:paraId="76FC5F79" w14:textId="77777777" w:rsidR="006733F0" w:rsidRPr="00EA3742" w:rsidRDefault="006733F0" w:rsidP="000A458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es-EC"/>
              </w:rPr>
            </w:pPr>
            <w:r w:rsidRPr="00EA3742">
              <w:rPr>
                <w:rFonts w:asciiTheme="majorHAnsi" w:eastAsia="Times New Roman" w:hAnsiTheme="majorHAnsi" w:cs="Calibri"/>
                <w:sz w:val="18"/>
                <w:szCs w:val="18"/>
                <w:lang w:eastAsia="es-EC"/>
              </w:rPr>
              <w:t>Codificado</w:t>
            </w:r>
          </w:p>
        </w:tc>
        <w:tc>
          <w:tcPr>
            <w:tcW w:w="1666" w:type="dxa"/>
            <w:noWrap/>
            <w:vAlign w:val="center"/>
            <w:hideMark/>
          </w:tcPr>
          <w:p w14:paraId="4AE78E75" w14:textId="77777777" w:rsidR="006733F0" w:rsidRPr="00EA3742" w:rsidRDefault="006733F0" w:rsidP="000A458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es-EC"/>
              </w:rPr>
            </w:pPr>
            <w:r w:rsidRPr="00EA3742">
              <w:rPr>
                <w:rFonts w:asciiTheme="majorHAnsi" w:eastAsia="Times New Roman" w:hAnsiTheme="majorHAnsi" w:cs="Calibri"/>
                <w:sz w:val="18"/>
                <w:szCs w:val="18"/>
                <w:lang w:eastAsia="es-EC"/>
              </w:rPr>
              <w:t>Devengado</w:t>
            </w:r>
          </w:p>
        </w:tc>
        <w:tc>
          <w:tcPr>
            <w:tcW w:w="1310" w:type="dxa"/>
            <w:vAlign w:val="center"/>
          </w:tcPr>
          <w:p w14:paraId="3050EEC1" w14:textId="77777777" w:rsidR="006733F0" w:rsidRPr="00EA3742" w:rsidRDefault="006733F0" w:rsidP="000A458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val="0"/>
                <w:sz w:val="18"/>
                <w:szCs w:val="18"/>
                <w:lang w:eastAsia="es-EC"/>
              </w:rPr>
            </w:pPr>
            <w:r w:rsidRPr="00EA3742">
              <w:rPr>
                <w:rFonts w:asciiTheme="majorHAnsi" w:eastAsia="Times New Roman" w:hAnsiTheme="majorHAnsi" w:cs="Calibri"/>
                <w:bCs w:val="0"/>
                <w:sz w:val="18"/>
                <w:szCs w:val="18"/>
                <w:lang w:eastAsia="es-EC"/>
              </w:rPr>
              <w:t>% Ejecución</w:t>
            </w:r>
          </w:p>
        </w:tc>
      </w:tr>
      <w:tr w:rsidR="006733F0" w:rsidRPr="0061780C" w14:paraId="48DAB512" w14:textId="77777777" w:rsidTr="000A45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8" w:type="dxa"/>
            <w:noWrap/>
            <w:vAlign w:val="center"/>
            <w:hideMark/>
          </w:tcPr>
          <w:p w14:paraId="6B338FF6" w14:textId="77777777" w:rsidR="006733F0" w:rsidRPr="00EA3742" w:rsidRDefault="006733F0" w:rsidP="000A4588">
            <w:pPr>
              <w:rPr>
                <w:rFonts w:asciiTheme="majorHAnsi" w:eastAsia="Times New Roman" w:hAnsiTheme="majorHAnsi" w:cstheme="majorHAnsi"/>
                <w:b w:val="0"/>
                <w:color w:val="000000"/>
                <w:sz w:val="18"/>
                <w:szCs w:val="18"/>
                <w:lang w:eastAsia="es-EC"/>
              </w:rPr>
            </w:pPr>
            <w:r w:rsidRPr="00EA3742">
              <w:rPr>
                <w:rFonts w:asciiTheme="majorHAnsi" w:eastAsia="Times New Roman" w:hAnsiTheme="majorHAnsi" w:cstheme="majorHAnsi"/>
                <w:b w:val="0"/>
                <w:color w:val="000000"/>
                <w:sz w:val="18"/>
                <w:szCs w:val="18"/>
                <w:lang w:eastAsia="es-EC"/>
              </w:rPr>
              <w:t>Agencia de Cooperación Internacional del Japón - JICA</w:t>
            </w:r>
          </w:p>
        </w:tc>
        <w:tc>
          <w:tcPr>
            <w:tcW w:w="1786" w:type="dxa"/>
            <w:noWrap/>
            <w:vAlign w:val="center"/>
            <w:hideMark/>
          </w:tcPr>
          <w:p w14:paraId="3426BB5E" w14:textId="77777777" w:rsidR="006733F0" w:rsidRPr="00EA3742" w:rsidRDefault="006733F0" w:rsidP="000A458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color w:val="000000"/>
                <w:sz w:val="18"/>
                <w:szCs w:val="18"/>
              </w:rPr>
              <w:t xml:space="preserve"> 17.936.783,20 </w:t>
            </w:r>
          </w:p>
        </w:tc>
        <w:tc>
          <w:tcPr>
            <w:tcW w:w="1666" w:type="dxa"/>
            <w:noWrap/>
            <w:vAlign w:val="center"/>
            <w:hideMark/>
          </w:tcPr>
          <w:p w14:paraId="4CEEC74F" w14:textId="77777777" w:rsidR="006733F0" w:rsidRPr="00EA3742" w:rsidRDefault="006733F0" w:rsidP="000A458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color w:val="000000"/>
                <w:sz w:val="18"/>
                <w:szCs w:val="18"/>
              </w:rPr>
              <w:t xml:space="preserve">13.911.172,12 </w:t>
            </w:r>
          </w:p>
        </w:tc>
        <w:tc>
          <w:tcPr>
            <w:tcW w:w="1310" w:type="dxa"/>
            <w:vAlign w:val="center"/>
          </w:tcPr>
          <w:p w14:paraId="7F610A72" w14:textId="77777777" w:rsidR="006733F0" w:rsidRPr="00EA3742" w:rsidRDefault="006733F0" w:rsidP="000A458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color w:val="000000"/>
                <w:sz w:val="18"/>
                <w:szCs w:val="18"/>
              </w:rPr>
              <w:t>77,56%</w:t>
            </w:r>
          </w:p>
        </w:tc>
      </w:tr>
      <w:tr w:rsidR="006733F0" w:rsidRPr="0061780C" w14:paraId="4322CEB3" w14:textId="77777777" w:rsidTr="000A4588">
        <w:trPr>
          <w:trHeight w:val="300"/>
          <w:jc w:val="center"/>
        </w:trPr>
        <w:tc>
          <w:tcPr>
            <w:cnfStyle w:val="001000000000" w:firstRow="0" w:lastRow="0" w:firstColumn="1" w:lastColumn="0" w:oddVBand="0" w:evenVBand="0" w:oddHBand="0" w:evenHBand="0" w:firstRowFirstColumn="0" w:firstRowLastColumn="0" w:lastRowFirstColumn="0" w:lastRowLastColumn="0"/>
            <w:tcW w:w="2888" w:type="dxa"/>
            <w:noWrap/>
            <w:vAlign w:val="center"/>
            <w:hideMark/>
          </w:tcPr>
          <w:p w14:paraId="09613E8C" w14:textId="77777777" w:rsidR="006733F0" w:rsidRPr="00EA3742" w:rsidRDefault="006733F0" w:rsidP="000A4588">
            <w:pPr>
              <w:rPr>
                <w:rFonts w:asciiTheme="majorHAnsi" w:eastAsia="Times New Roman" w:hAnsiTheme="majorHAnsi" w:cstheme="majorHAnsi"/>
                <w:b w:val="0"/>
                <w:color w:val="000000"/>
                <w:sz w:val="18"/>
                <w:szCs w:val="18"/>
                <w:lang w:eastAsia="es-EC"/>
              </w:rPr>
            </w:pPr>
            <w:r w:rsidRPr="00EA3742">
              <w:rPr>
                <w:rFonts w:asciiTheme="majorHAnsi" w:eastAsia="Times New Roman" w:hAnsiTheme="majorHAnsi" w:cstheme="majorHAnsi"/>
                <w:b w:val="0"/>
                <w:color w:val="000000"/>
                <w:sz w:val="18"/>
                <w:szCs w:val="18"/>
                <w:lang w:eastAsia="es-EC"/>
              </w:rPr>
              <w:t>Banco Interamericano De Desarrollo</w:t>
            </w:r>
          </w:p>
        </w:tc>
        <w:tc>
          <w:tcPr>
            <w:tcW w:w="1786" w:type="dxa"/>
            <w:noWrap/>
            <w:vAlign w:val="center"/>
            <w:hideMark/>
          </w:tcPr>
          <w:p w14:paraId="72A92D84" w14:textId="77777777" w:rsidR="006733F0" w:rsidRPr="00EA3742"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color w:val="000000"/>
                <w:sz w:val="18"/>
                <w:szCs w:val="18"/>
              </w:rPr>
              <w:t xml:space="preserve"> 37.110.593,53 </w:t>
            </w:r>
          </w:p>
        </w:tc>
        <w:tc>
          <w:tcPr>
            <w:tcW w:w="1666" w:type="dxa"/>
            <w:noWrap/>
            <w:vAlign w:val="center"/>
            <w:hideMark/>
          </w:tcPr>
          <w:p w14:paraId="5F4404AE" w14:textId="77777777" w:rsidR="006733F0" w:rsidRPr="00EA3742"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color w:val="000000"/>
                <w:sz w:val="18"/>
                <w:szCs w:val="18"/>
              </w:rPr>
              <w:t xml:space="preserve">27.286.626,15 </w:t>
            </w:r>
          </w:p>
        </w:tc>
        <w:tc>
          <w:tcPr>
            <w:tcW w:w="1310" w:type="dxa"/>
            <w:vAlign w:val="center"/>
          </w:tcPr>
          <w:p w14:paraId="4F747E6C" w14:textId="77777777" w:rsidR="006733F0" w:rsidRPr="00EA3742"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color w:val="000000"/>
                <w:sz w:val="18"/>
                <w:szCs w:val="18"/>
              </w:rPr>
              <w:t>73,53%</w:t>
            </w:r>
          </w:p>
        </w:tc>
      </w:tr>
      <w:tr w:rsidR="006733F0" w:rsidRPr="0061780C" w14:paraId="3C952EEF" w14:textId="77777777" w:rsidTr="000A45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8" w:type="dxa"/>
            <w:noWrap/>
            <w:vAlign w:val="center"/>
            <w:hideMark/>
          </w:tcPr>
          <w:p w14:paraId="29607E39" w14:textId="77777777" w:rsidR="006733F0" w:rsidRPr="00EA3742" w:rsidRDefault="006733F0" w:rsidP="000A4588">
            <w:pPr>
              <w:rPr>
                <w:rFonts w:asciiTheme="majorHAnsi" w:eastAsia="Times New Roman" w:hAnsiTheme="majorHAnsi" w:cstheme="majorHAnsi"/>
                <w:b w:val="0"/>
                <w:color w:val="000000"/>
                <w:sz w:val="18"/>
                <w:szCs w:val="18"/>
                <w:lang w:eastAsia="es-EC"/>
              </w:rPr>
            </w:pPr>
            <w:r w:rsidRPr="00EA3742">
              <w:rPr>
                <w:rFonts w:asciiTheme="majorHAnsi" w:eastAsia="Times New Roman" w:hAnsiTheme="majorHAnsi" w:cstheme="majorHAnsi"/>
                <w:b w:val="0"/>
                <w:color w:val="000000"/>
                <w:sz w:val="18"/>
                <w:szCs w:val="18"/>
                <w:lang w:eastAsia="es-EC"/>
              </w:rPr>
              <w:t>Corporación Andina de Fomento</w:t>
            </w:r>
          </w:p>
        </w:tc>
        <w:tc>
          <w:tcPr>
            <w:tcW w:w="1786" w:type="dxa"/>
            <w:noWrap/>
            <w:vAlign w:val="center"/>
            <w:hideMark/>
          </w:tcPr>
          <w:p w14:paraId="75D71856" w14:textId="77777777" w:rsidR="006733F0" w:rsidRPr="00EA3742" w:rsidRDefault="006733F0" w:rsidP="000A458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color w:val="000000"/>
                <w:sz w:val="18"/>
                <w:szCs w:val="18"/>
              </w:rPr>
              <w:t xml:space="preserve">1.785.765,41 </w:t>
            </w:r>
          </w:p>
        </w:tc>
        <w:tc>
          <w:tcPr>
            <w:tcW w:w="1666" w:type="dxa"/>
            <w:noWrap/>
            <w:vAlign w:val="center"/>
            <w:hideMark/>
          </w:tcPr>
          <w:p w14:paraId="57CD8DF5" w14:textId="77777777" w:rsidR="006733F0" w:rsidRPr="00EA3742" w:rsidRDefault="006733F0" w:rsidP="000A458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color w:val="000000"/>
                <w:sz w:val="18"/>
                <w:szCs w:val="18"/>
              </w:rPr>
              <w:t xml:space="preserve">- </w:t>
            </w:r>
          </w:p>
        </w:tc>
        <w:tc>
          <w:tcPr>
            <w:tcW w:w="1310" w:type="dxa"/>
            <w:vAlign w:val="center"/>
          </w:tcPr>
          <w:p w14:paraId="03CBCD72" w14:textId="77777777" w:rsidR="006733F0" w:rsidRPr="00EA3742" w:rsidRDefault="006733F0" w:rsidP="000A458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color w:val="000000"/>
                <w:sz w:val="18"/>
                <w:szCs w:val="18"/>
              </w:rPr>
              <w:t>0,00%</w:t>
            </w:r>
          </w:p>
        </w:tc>
      </w:tr>
      <w:tr w:rsidR="006733F0" w:rsidRPr="0061780C" w14:paraId="2FD545C1" w14:textId="77777777" w:rsidTr="000A4588">
        <w:trPr>
          <w:trHeight w:val="300"/>
          <w:jc w:val="center"/>
        </w:trPr>
        <w:tc>
          <w:tcPr>
            <w:cnfStyle w:val="001000000000" w:firstRow="0" w:lastRow="0" w:firstColumn="1" w:lastColumn="0" w:oddVBand="0" w:evenVBand="0" w:oddHBand="0" w:evenHBand="0" w:firstRowFirstColumn="0" w:firstRowLastColumn="0" w:lastRowFirstColumn="0" w:lastRowLastColumn="0"/>
            <w:tcW w:w="2888" w:type="dxa"/>
            <w:noWrap/>
            <w:vAlign w:val="center"/>
            <w:hideMark/>
          </w:tcPr>
          <w:p w14:paraId="42365A38" w14:textId="77777777" w:rsidR="006733F0" w:rsidRPr="00EA3742" w:rsidRDefault="006733F0" w:rsidP="000A4588">
            <w:pPr>
              <w:rPr>
                <w:rFonts w:asciiTheme="majorHAnsi" w:eastAsia="Times New Roman" w:hAnsiTheme="majorHAnsi" w:cstheme="majorHAnsi"/>
                <w:b w:val="0"/>
                <w:color w:val="000000"/>
                <w:sz w:val="18"/>
                <w:szCs w:val="18"/>
                <w:lang w:eastAsia="es-EC"/>
              </w:rPr>
            </w:pPr>
            <w:r w:rsidRPr="00EA3742">
              <w:rPr>
                <w:rFonts w:asciiTheme="majorHAnsi" w:eastAsia="Times New Roman" w:hAnsiTheme="majorHAnsi" w:cstheme="majorHAnsi"/>
                <w:b w:val="0"/>
                <w:color w:val="000000"/>
                <w:sz w:val="18"/>
                <w:szCs w:val="18"/>
                <w:lang w:eastAsia="es-EC"/>
              </w:rPr>
              <w:t>Libre Disponibilidad</w:t>
            </w:r>
          </w:p>
        </w:tc>
        <w:tc>
          <w:tcPr>
            <w:tcW w:w="1786" w:type="dxa"/>
            <w:noWrap/>
            <w:vAlign w:val="center"/>
            <w:hideMark/>
          </w:tcPr>
          <w:p w14:paraId="3A2FF68D" w14:textId="77777777" w:rsidR="006733F0" w:rsidRPr="00EA3742"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color w:val="000000"/>
                <w:sz w:val="18"/>
                <w:szCs w:val="18"/>
              </w:rPr>
              <w:t xml:space="preserve"> 616.310,30 </w:t>
            </w:r>
          </w:p>
        </w:tc>
        <w:tc>
          <w:tcPr>
            <w:tcW w:w="1666" w:type="dxa"/>
            <w:noWrap/>
            <w:vAlign w:val="center"/>
            <w:hideMark/>
          </w:tcPr>
          <w:p w14:paraId="5D1261C0" w14:textId="77777777" w:rsidR="006733F0" w:rsidRPr="00EA3742"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color w:val="000000"/>
                <w:sz w:val="18"/>
                <w:szCs w:val="18"/>
              </w:rPr>
              <w:t xml:space="preserve">477.100,12 </w:t>
            </w:r>
          </w:p>
        </w:tc>
        <w:tc>
          <w:tcPr>
            <w:tcW w:w="1310" w:type="dxa"/>
            <w:vAlign w:val="center"/>
          </w:tcPr>
          <w:p w14:paraId="253CFD7C" w14:textId="77777777" w:rsidR="006733F0" w:rsidRPr="00EA3742"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color w:val="000000"/>
                <w:sz w:val="18"/>
                <w:szCs w:val="18"/>
              </w:rPr>
              <w:t>77,41%</w:t>
            </w:r>
          </w:p>
        </w:tc>
      </w:tr>
      <w:tr w:rsidR="006733F0" w:rsidRPr="0061780C" w14:paraId="4107C6CC" w14:textId="77777777" w:rsidTr="000A45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8" w:type="dxa"/>
            <w:noWrap/>
            <w:vAlign w:val="center"/>
            <w:hideMark/>
          </w:tcPr>
          <w:p w14:paraId="23E1D070" w14:textId="77777777" w:rsidR="006733F0" w:rsidRPr="00EA3742" w:rsidRDefault="006733F0" w:rsidP="000A4588">
            <w:pPr>
              <w:rPr>
                <w:rFonts w:asciiTheme="majorHAnsi" w:eastAsia="Times New Roman" w:hAnsiTheme="majorHAnsi" w:cstheme="majorHAnsi"/>
                <w:b w:val="0"/>
                <w:color w:val="000000"/>
                <w:sz w:val="18"/>
                <w:szCs w:val="18"/>
                <w:lang w:eastAsia="es-EC"/>
              </w:rPr>
            </w:pPr>
            <w:r w:rsidRPr="00EA3742">
              <w:rPr>
                <w:rFonts w:asciiTheme="majorHAnsi" w:eastAsia="Times New Roman" w:hAnsiTheme="majorHAnsi" w:cstheme="majorHAnsi"/>
                <w:b w:val="0"/>
                <w:color w:val="000000"/>
                <w:sz w:val="18"/>
                <w:szCs w:val="18"/>
                <w:lang w:eastAsia="es-EC"/>
              </w:rPr>
              <w:t>Organismo No Identificado</w:t>
            </w:r>
          </w:p>
        </w:tc>
        <w:tc>
          <w:tcPr>
            <w:tcW w:w="1786" w:type="dxa"/>
            <w:noWrap/>
            <w:vAlign w:val="center"/>
            <w:hideMark/>
          </w:tcPr>
          <w:p w14:paraId="29060B91" w14:textId="77777777" w:rsidR="006733F0" w:rsidRPr="00EA3742" w:rsidRDefault="006733F0" w:rsidP="000A458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color w:val="000000"/>
                <w:sz w:val="18"/>
                <w:szCs w:val="18"/>
              </w:rPr>
              <w:t xml:space="preserve">3.932.117,45 </w:t>
            </w:r>
          </w:p>
        </w:tc>
        <w:tc>
          <w:tcPr>
            <w:tcW w:w="1666" w:type="dxa"/>
            <w:noWrap/>
            <w:vAlign w:val="center"/>
            <w:hideMark/>
          </w:tcPr>
          <w:p w14:paraId="67F679F6" w14:textId="77777777" w:rsidR="006733F0" w:rsidRPr="00EA3742" w:rsidRDefault="006733F0" w:rsidP="000A458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color w:val="000000"/>
                <w:sz w:val="18"/>
                <w:szCs w:val="18"/>
              </w:rPr>
              <w:t xml:space="preserve">- </w:t>
            </w:r>
          </w:p>
        </w:tc>
        <w:tc>
          <w:tcPr>
            <w:tcW w:w="1310" w:type="dxa"/>
            <w:vAlign w:val="center"/>
          </w:tcPr>
          <w:p w14:paraId="75B1CCB9" w14:textId="77777777" w:rsidR="006733F0" w:rsidRPr="00EA3742" w:rsidRDefault="006733F0" w:rsidP="000A458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color w:val="000000"/>
                <w:sz w:val="18"/>
                <w:szCs w:val="18"/>
              </w:rPr>
              <w:t>0,00%</w:t>
            </w:r>
          </w:p>
        </w:tc>
      </w:tr>
      <w:tr w:rsidR="006733F0" w:rsidRPr="0061780C" w14:paraId="62D18C53" w14:textId="77777777" w:rsidTr="000A4588">
        <w:trPr>
          <w:trHeight w:val="300"/>
          <w:jc w:val="center"/>
        </w:trPr>
        <w:tc>
          <w:tcPr>
            <w:cnfStyle w:val="001000000000" w:firstRow="0" w:lastRow="0" w:firstColumn="1" w:lastColumn="0" w:oddVBand="0" w:evenVBand="0" w:oddHBand="0" w:evenHBand="0" w:firstRowFirstColumn="0" w:firstRowLastColumn="0" w:lastRowFirstColumn="0" w:lastRowLastColumn="0"/>
            <w:tcW w:w="2888" w:type="dxa"/>
            <w:noWrap/>
            <w:vAlign w:val="center"/>
          </w:tcPr>
          <w:p w14:paraId="62626808" w14:textId="77777777" w:rsidR="006733F0" w:rsidRPr="00EA3742" w:rsidRDefault="006733F0" w:rsidP="000A4588">
            <w:pPr>
              <w:rPr>
                <w:rFonts w:asciiTheme="majorHAnsi" w:eastAsia="Times New Roman" w:hAnsiTheme="majorHAnsi" w:cstheme="majorHAnsi"/>
                <w:color w:val="000000"/>
                <w:sz w:val="18"/>
                <w:szCs w:val="18"/>
                <w:lang w:eastAsia="es-EC"/>
              </w:rPr>
            </w:pPr>
            <w:r w:rsidRPr="00EA3742">
              <w:rPr>
                <w:rFonts w:asciiTheme="majorHAnsi" w:eastAsia="Times New Roman" w:hAnsiTheme="majorHAnsi" w:cstheme="majorHAnsi"/>
                <w:color w:val="000000"/>
                <w:sz w:val="18"/>
                <w:szCs w:val="18"/>
                <w:lang w:eastAsia="es-EC"/>
              </w:rPr>
              <w:t>TOTAL</w:t>
            </w:r>
          </w:p>
        </w:tc>
        <w:tc>
          <w:tcPr>
            <w:tcW w:w="1786" w:type="dxa"/>
            <w:noWrap/>
            <w:vAlign w:val="center"/>
          </w:tcPr>
          <w:p w14:paraId="743DF8A2" w14:textId="77777777" w:rsidR="006733F0" w:rsidRPr="00EA3742"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b/>
                <w:bCs/>
                <w:color w:val="000000"/>
                <w:sz w:val="18"/>
                <w:szCs w:val="18"/>
              </w:rPr>
              <w:t xml:space="preserve"> 61.381.569,89 </w:t>
            </w:r>
          </w:p>
        </w:tc>
        <w:tc>
          <w:tcPr>
            <w:tcW w:w="1666" w:type="dxa"/>
            <w:noWrap/>
            <w:vAlign w:val="center"/>
          </w:tcPr>
          <w:p w14:paraId="0878571D" w14:textId="77777777" w:rsidR="006733F0" w:rsidRPr="00EA3742"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b/>
                <w:bCs/>
                <w:color w:val="000000"/>
                <w:sz w:val="18"/>
                <w:szCs w:val="18"/>
              </w:rPr>
              <w:t xml:space="preserve">41.674.898,39 </w:t>
            </w:r>
          </w:p>
        </w:tc>
        <w:tc>
          <w:tcPr>
            <w:tcW w:w="1310" w:type="dxa"/>
            <w:vAlign w:val="center"/>
          </w:tcPr>
          <w:p w14:paraId="0BB2BB8B" w14:textId="77777777" w:rsidR="006733F0" w:rsidRPr="00EA3742"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EC"/>
              </w:rPr>
            </w:pPr>
            <w:r w:rsidRPr="00EA3742">
              <w:rPr>
                <w:rFonts w:asciiTheme="majorHAnsi" w:hAnsiTheme="majorHAnsi" w:cstheme="majorHAnsi"/>
                <w:b/>
                <w:bCs/>
                <w:color w:val="000000"/>
                <w:sz w:val="18"/>
                <w:szCs w:val="18"/>
              </w:rPr>
              <w:t>67,89%</w:t>
            </w:r>
          </w:p>
        </w:tc>
      </w:tr>
    </w:tbl>
    <w:p w14:paraId="1C013B46" w14:textId="2ABF6A66" w:rsidR="006733F0" w:rsidRPr="00EA3742" w:rsidRDefault="00EA3742" w:rsidP="00EA3742">
      <w:pPr>
        <w:rPr>
          <w:rFonts w:asciiTheme="majorHAnsi" w:hAnsiTheme="majorHAnsi"/>
          <w:i/>
          <w:color w:val="3B3838" w:themeColor="background2" w:themeShade="40"/>
          <w:sz w:val="16"/>
          <w:szCs w:val="16"/>
        </w:rPr>
      </w:pPr>
      <w:r>
        <w:rPr>
          <w:rFonts w:asciiTheme="majorHAnsi" w:hAnsiTheme="majorHAnsi"/>
          <w:b/>
          <w:color w:val="3B3838" w:themeColor="background2" w:themeShade="40"/>
          <w:sz w:val="16"/>
          <w:szCs w:val="16"/>
          <w:lang w:val="es-ES" w:eastAsia="es-ES"/>
        </w:rPr>
        <w:t xml:space="preserve">            </w:t>
      </w:r>
      <w:r w:rsidR="006733F0" w:rsidRPr="00EA3742">
        <w:rPr>
          <w:rFonts w:asciiTheme="majorHAnsi" w:hAnsiTheme="majorHAnsi" w:cstheme="majorHAnsi"/>
          <w:i/>
          <w:color w:val="7F7F7F" w:themeColor="text1" w:themeTint="80"/>
          <w:sz w:val="16"/>
          <w:szCs w:val="16"/>
        </w:rPr>
        <w:t>Fuente:  Sistema Integrado de Gestión Financiera (</w:t>
      </w:r>
      <w:proofErr w:type="spellStart"/>
      <w:r w:rsidR="006733F0" w:rsidRPr="00EA3742">
        <w:rPr>
          <w:rFonts w:asciiTheme="majorHAnsi" w:hAnsiTheme="majorHAnsi" w:cstheme="majorHAnsi"/>
          <w:i/>
          <w:color w:val="7F7F7F" w:themeColor="text1" w:themeTint="80"/>
          <w:sz w:val="16"/>
          <w:szCs w:val="16"/>
        </w:rPr>
        <w:t>eSIGEF</w:t>
      </w:r>
      <w:proofErr w:type="spellEnd"/>
      <w:r w:rsidR="006733F0" w:rsidRPr="00EA3742">
        <w:rPr>
          <w:rFonts w:asciiTheme="majorHAnsi" w:hAnsiTheme="majorHAnsi" w:cstheme="majorHAnsi"/>
          <w:i/>
          <w:color w:val="7F7F7F" w:themeColor="text1" w:themeTint="80"/>
          <w:sz w:val="16"/>
          <w:szCs w:val="16"/>
        </w:rPr>
        <w:t>). Corte 31 de diciembre 2024.</w:t>
      </w:r>
    </w:p>
    <w:p w14:paraId="764BAE37" w14:textId="1878A453" w:rsidR="006733F0" w:rsidRDefault="001B25B5" w:rsidP="001B25B5">
      <w:pPr>
        <w:ind w:left="360"/>
        <w:rPr>
          <w:rFonts w:asciiTheme="majorHAnsi" w:hAnsiTheme="majorHAnsi"/>
          <w:b/>
          <w:color w:val="3B3838" w:themeColor="background2" w:themeShade="40"/>
          <w:sz w:val="16"/>
          <w:szCs w:val="16"/>
          <w:lang w:val="es-ES" w:eastAsia="es-ES"/>
        </w:rPr>
      </w:pPr>
      <w:r w:rsidRPr="00EA3742">
        <w:rPr>
          <w:rFonts w:asciiTheme="majorHAnsi" w:hAnsiTheme="majorHAnsi"/>
          <w:b/>
          <w:color w:val="3B3838" w:themeColor="background2" w:themeShade="40"/>
          <w:sz w:val="16"/>
          <w:szCs w:val="16"/>
          <w:lang w:val="es-ES" w:eastAsia="es-ES"/>
        </w:rPr>
        <w:t xml:space="preserve"> </w:t>
      </w:r>
      <w:r w:rsidR="006733F0" w:rsidRPr="00EA3742">
        <w:rPr>
          <w:rFonts w:asciiTheme="majorHAnsi" w:hAnsiTheme="majorHAnsi"/>
          <w:b/>
          <w:color w:val="3B3838" w:themeColor="background2" w:themeShade="40"/>
          <w:sz w:val="16"/>
          <w:szCs w:val="16"/>
          <w:lang w:val="es-ES" w:eastAsia="es-ES"/>
        </w:rPr>
        <w:t xml:space="preserve">           </w:t>
      </w:r>
    </w:p>
    <w:p w14:paraId="372A192B" w14:textId="77777777" w:rsidR="00F92A21" w:rsidRPr="00EA3742" w:rsidRDefault="00F92A21" w:rsidP="00186095">
      <w:pPr>
        <w:rPr>
          <w:rFonts w:asciiTheme="majorHAnsi" w:hAnsiTheme="majorHAnsi"/>
          <w:color w:val="3B3838" w:themeColor="background2" w:themeShade="40"/>
          <w:sz w:val="16"/>
          <w:szCs w:val="16"/>
          <w:lang w:val="es-ES" w:eastAsia="es-ES"/>
        </w:rPr>
      </w:pPr>
    </w:p>
    <w:p w14:paraId="28E46339" w14:textId="737F1DC9" w:rsidR="006733F0" w:rsidRPr="00C751F5" w:rsidRDefault="003B0F6F" w:rsidP="00C751F5">
      <w:pPr>
        <w:pStyle w:val="Ttulo2"/>
        <w:rPr>
          <w:sz w:val="24"/>
          <w:szCs w:val="24"/>
        </w:rPr>
      </w:pPr>
      <w:r w:rsidRPr="00C751F5">
        <w:rPr>
          <w:sz w:val="24"/>
          <w:szCs w:val="24"/>
        </w:rPr>
        <w:t xml:space="preserve"> </w:t>
      </w:r>
      <w:bookmarkStart w:id="24" w:name="_Toc199759548"/>
      <w:r w:rsidR="006733F0" w:rsidRPr="00C751F5">
        <w:rPr>
          <w:sz w:val="24"/>
          <w:szCs w:val="24"/>
        </w:rPr>
        <w:t xml:space="preserve">Gasto </w:t>
      </w:r>
      <w:r w:rsidRPr="00C751F5">
        <w:rPr>
          <w:sz w:val="24"/>
          <w:szCs w:val="24"/>
        </w:rPr>
        <w:t>P</w:t>
      </w:r>
      <w:r w:rsidR="006733F0" w:rsidRPr="00C751F5">
        <w:rPr>
          <w:sz w:val="24"/>
          <w:szCs w:val="24"/>
        </w:rPr>
        <w:t>ermanente.</w:t>
      </w:r>
      <w:bookmarkEnd w:id="24"/>
    </w:p>
    <w:p w14:paraId="4AB581C2" w14:textId="77777777" w:rsidR="003B0F6F" w:rsidRDefault="003B0F6F" w:rsidP="003B0F6F">
      <w:pPr>
        <w:jc w:val="both"/>
        <w:rPr>
          <w:rFonts w:asciiTheme="majorHAnsi" w:hAnsiTheme="majorHAnsi" w:cstheme="majorHAnsi"/>
        </w:rPr>
      </w:pPr>
    </w:p>
    <w:p w14:paraId="0A159A1F" w14:textId="59D4906D" w:rsidR="006733F0" w:rsidRPr="003B0F6F" w:rsidRDefault="006733F0" w:rsidP="003B0F6F">
      <w:pPr>
        <w:jc w:val="both"/>
        <w:rPr>
          <w:rFonts w:asciiTheme="majorHAnsi" w:hAnsiTheme="majorHAnsi" w:cstheme="majorHAnsi"/>
        </w:rPr>
      </w:pPr>
      <w:r w:rsidRPr="003B0F6F">
        <w:rPr>
          <w:rFonts w:asciiTheme="majorHAnsi" w:hAnsiTheme="majorHAnsi" w:cstheme="majorHAnsi"/>
        </w:rPr>
        <w:t>El presupuesto inicial del Plan Operativo Anual de Gasto Permanente del Ministerio de Energía y Minas, fue de USD 9,98 millones a enero de 2024; mismo que llegó a un presupuesto codificado de USD 225,49 millones al 31 de diciembre del 2024. Del valor total codificado, al final del año se llegó a ejecutar el 99,55%; siendo el egreso más elevado lo correspondiente a Otros pasivos, tal como se muestra en la siguiente tabla:</w:t>
      </w:r>
      <w:bookmarkStart w:id="25" w:name="_Toc160003977"/>
      <w:r w:rsidR="001B25B5" w:rsidRPr="003B0F6F">
        <w:rPr>
          <w:rFonts w:asciiTheme="majorHAnsi" w:hAnsiTheme="majorHAnsi"/>
        </w:rPr>
        <w:t xml:space="preserve">             </w:t>
      </w:r>
      <w:bookmarkEnd w:id="25"/>
    </w:p>
    <w:p w14:paraId="037CF3DE" w14:textId="720858E1" w:rsidR="00B14D90" w:rsidRPr="00B14D90" w:rsidRDefault="00B14D90" w:rsidP="00B14D90">
      <w:pPr>
        <w:pStyle w:val="Descripcin"/>
        <w:rPr>
          <w:rFonts w:asciiTheme="majorHAnsi" w:hAnsiTheme="majorHAnsi" w:cstheme="majorHAnsi"/>
        </w:rPr>
      </w:pPr>
    </w:p>
    <w:p w14:paraId="57D03110" w14:textId="1A7239FE" w:rsidR="00B14D90" w:rsidRPr="00B14D90" w:rsidRDefault="00B14D90" w:rsidP="00B14D90">
      <w:pPr>
        <w:pStyle w:val="Descripcin"/>
        <w:rPr>
          <w:rFonts w:asciiTheme="majorHAnsi" w:hAnsiTheme="majorHAnsi" w:cstheme="majorHAnsi"/>
        </w:rPr>
      </w:pPr>
      <w:bookmarkStart w:id="26" w:name="_Toc199759675"/>
      <w:r w:rsidRPr="00B14D90">
        <w:rPr>
          <w:rFonts w:asciiTheme="majorHAnsi" w:hAnsiTheme="majorHAnsi" w:cstheme="majorHAnsi"/>
        </w:rPr>
        <w:t xml:space="preserve">Tabla </w:t>
      </w:r>
      <w:r w:rsidRPr="00B14D90">
        <w:rPr>
          <w:rFonts w:asciiTheme="majorHAnsi" w:hAnsiTheme="majorHAnsi" w:cstheme="majorHAnsi"/>
        </w:rPr>
        <w:fldChar w:fldCharType="begin"/>
      </w:r>
      <w:r w:rsidRPr="00B14D90">
        <w:rPr>
          <w:rFonts w:asciiTheme="majorHAnsi" w:hAnsiTheme="majorHAnsi" w:cstheme="majorHAnsi"/>
        </w:rPr>
        <w:instrText xml:space="preserve"> SEQ Tabla \* ARABIC </w:instrText>
      </w:r>
      <w:r w:rsidRPr="00B14D90">
        <w:rPr>
          <w:rFonts w:asciiTheme="majorHAnsi" w:hAnsiTheme="majorHAnsi" w:cstheme="majorHAnsi"/>
        </w:rPr>
        <w:fldChar w:fldCharType="separate"/>
      </w:r>
      <w:r w:rsidR="00CF0AD2">
        <w:rPr>
          <w:rFonts w:asciiTheme="majorHAnsi" w:hAnsiTheme="majorHAnsi" w:cstheme="majorHAnsi"/>
          <w:noProof/>
        </w:rPr>
        <w:t>5</w:t>
      </w:r>
      <w:r w:rsidRPr="00B14D90">
        <w:rPr>
          <w:rFonts w:asciiTheme="majorHAnsi" w:hAnsiTheme="majorHAnsi" w:cstheme="majorHAnsi"/>
        </w:rPr>
        <w:fldChar w:fldCharType="end"/>
      </w:r>
      <w:r w:rsidR="0016337C">
        <w:rPr>
          <w:rFonts w:asciiTheme="majorHAnsi" w:hAnsiTheme="majorHAnsi" w:cstheme="majorHAnsi"/>
        </w:rPr>
        <w:t>:</w:t>
      </w:r>
      <w:r w:rsidR="00276D61">
        <w:rPr>
          <w:rFonts w:asciiTheme="majorHAnsi" w:hAnsiTheme="majorHAnsi" w:cstheme="majorHAnsi"/>
        </w:rPr>
        <w:t xml:space="preserve"> </w:t>
      </w:r>
      <w:r w:rsidRPr="00B14D90">
        <w:rPr>
          <w:rFonts w:asciiTheme="majorHAnsi" w:hAnsiTheme="majorHAnsi" w:cstheme="majorHAnsi"/>
        </w:rPr>
        <w:t>Ejecución - Gasto Permanente</w:t>
      </w:r>
      <w:bookmarkEnd w:id="26"/>
    </w:p>
    <w:tbl>
      <w:tblPr>
        <w:tblStyle w:val="Tablaconcuadrcula4-nfasis51"/>
        <w:tblW w:w="7160" w:type="dxa"/>
        <w:jc w:val="center"/>
        <w:tblLook w:val="06A0" w:firstRow="1" w:lastRow="0" w:firstColumn="1" w:lastColumn="0" w:noHBand="1" w:noVBand="1"/>
      </w:tblPr>
      <w:tblGrid>
        <w:gridCol w:w="2980"/>
        <w:gridCol w:w="1490"/>
        <w:gridCol w:w="1490"/>
        <w:gridCol w:w="1200"/>
      </w:tblGrid>
      <w:tr w:rsidR="006733F0" w:rsidRPr="00F1491C" w14:paraId="4BDD671D" w14:textId="77777777" w:rsidTr="00467BB4">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980" w:type="dxa"/>
            <w:shd w:val="clear" w:color="auto" w:fill="2E74B5" w:themeFill="accent5" w:themeFillShade="BF"/>
            <w:noWrap/>
            <w:vAlign w:val="center"/>
            <w:hideMark/>
          </w:tcPr>
          <w:p w14:paraId="79C65AC5" w14:textId="77777777" w:rsidR="006733F0" w:rsidRPr="00B14D90" w:rsidRDefault="006733F0" w:rsidP="000A4588">
            <w:pPr>
              <w:jc w:val="center"/>
              <w:rPr>
                <w:rFonts w:asciiTheme="majorHAnsi" w:eastAsia="Times New Roman" w:hAnsiTheme="majorHAnsi" w:cstheme="majorHAnsi"/>
                <w:sz w:val="18"/>
                <w:szCs w:val="18"/>
                <w:lang w:eastAsia="es-EC"/>
              </w:rPr>
            </w:pPr>
            <w:proofErr w:type="spellStart"/>
            <w:r w:rsidRPr="00B14D90">
              <w:rPr>
                <w:rFonts w:asciiTheme="majorHAnsi" w:eastAsia="Times New Roman" w:hAnsiTheme="majorHAnsi" w:cstheme="majorHAnsi"/>
                <w:sz w:val="18"/>
                <w:szCs w:val="18"/>
                <w:lang w:eastAsia="es-EC"/>
              </w:rPr>
              <w:t>Cód</w:t>
            </w:r>
            <w:proofErr w:type="spellEnd"/>
            <w:r w:rsidRPr="00B14D90">
              <w:rPr>
                <w:rFonts w:asciiTheme="majorHAnsi" w:eastAsia="Times New Roman" w:hAnsiTheme="majorHAnsi" w:cstheme="majorHAnsi"/>
                <w:sz w:val="18"/>
                <w:szCs w:val="18"/>
                <w:lang w:eastAsia="es-EC"/>
              </w:rPr>
              <w:t xml:space="preserve"> y Grupo de gasto</w:t>
            </w:r>
          </w:p>
        </w:tc>
        <w:tc>
          <w:tcPr>
            <w:tcW w:w="1490" w:type="dxa"/>
            <w:shd w:val="clear" w:color="auto" w:fill="2E74B5" w:themeFill="accent5" w:themeFillShade="BF"/>
            <w:noWrap/>
            <w:vAlign w:val="center"/>
            <w:hideMark/>
          </w:tcPr>
          <w:p w14:paraId="49952AA8" w14:textId="77777777" w:rsidR="006733F0" w:rsidRPr="00B14D90" w:rsidRDefault="006733F0" w:rsidP="000A458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EC"/>
              </w:rPr>
            </w:pPr>
            <w:r w:rsidRPr="00B14D90">
              <w:rPr>
                <w:rFonts w:asciiTheme="majorHAnsi" w:eastAsia="Times New Roman" w:hAnsiTheme="majorHAnsi" w:cstheme="majorHAnsi"/>
                <w:sz w:val="18"/>
                <w:szCs w:val="18"/>
                <w:lang w:eastAsia="es-EC"/>
              </w:rPr>
              <w:t>Codificado</w:t>
            </w:r>
          </w:p>
        </w:tc>
        <w:tc>
          <w:tcPr>
            <w:tcW w:w="1490" w:type="dxa"/>
            <w:shd w:val="clear" w:color="auto" w:fill="2E74B5" w:themeFill="accent5" w:themeFillShade="BF"/>
            <w:noWrap/>
            <w:vAlign w:val="center"/>
            <w:hideMark/>
          </w:tcPr>
          <w:p w14:paraId="7A9248DE" w14:textId="77777777" w:rsidR="006733F0" w:rsidRPr="00B14D90" w:rsidRDefault="006733F0" w:rsidP="000A458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EC"/>
              </w:rPr>
            </w:pPr>
            <w:r w:rsidRPr="00B14D90">
              <w:rPr>
                <w:rFonts w:asciiTheme="majorHAnsi" w:eastAsia="Times New Roman" w:hAnsiTheme="majorHAnsi" w:cstheme="majorHAnsi"/>
                <w:sz w:val="18"/>
                <w:szCs w:val="18"/>
                <w:lang w:eastAsia="es-EC"/>
              </w:rPr>
              <w:t>Devengado</w:t>
            </w:r>
          </w:p>
        </w:tc>
        <w:tc>
          <w:tcPr>
            <w:tcW w:w="1200" w:type="dxa"/>
            <w:shd w:val="clear" w:color="auto" w:fill="2E74B5" w:themeFill="accent5" w:themeFillShade="BF"/>
            <w:noWrap/>
            <w:vAlign w:val="center"/>
            <w:hideMark/>
          </w:tcPr>
          <w:p w14:paraId="590264AF" w14:textId="77777777" w:rsidR="006733F0" w:rsidRPr="00B14D90" w:rsidRDefault="006733F0" w:rsidP="000A458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EC"/>
              </w:rPr>
            </w:pPr>
            <w:r w:rsidRPr="00B14D90">
              <w:rPr>
                <w:rFonts w:asciiTheme="majorHAnsi" w:eastAsia="Times New Roman" w:hAnsiTheme="majorHAnsi" w:cstheme="majorHAnsi"/>
                <w:sz w:val="18"/>
                <w:szCs w:val="18"/>
                <w:lang w:eastAsia="es-EC"/>
              </w:rPr>
              <w:t>% Ejecución</w:t>
            </w:r>
          </w:p>
        </w:tc>
      </w:tr>
      <w:tr w:rsidR="006733F0" w:rsidRPr="00F1491C" w14:paraId="43B97E96" w14:textId="77777777" w:rsidTr="00B14D90">
        <w:trPr>
          <w:trHeight w:val="300"/>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14:paraId="07C99FB3" w14:textId="77777777" w:rsidR="006733F0" w:rsidRPr="00B14D90" w:rsidRDefault="006733F0" w:rsidP="000A4588">
            <w:pPr>
              <w:rPr>
                <w:rFonts w:asciiTheme="majorHAnsi" w:eastAsia="Times New Roman" w:hAnsiTheme="majorHAnsi" w:cstheme="majorHAnsi"/>
                <w:b w:val="0"/>
                <w:color w:val="000000" w:themeColor="text1"/>
                <w:sz w:val="18"/>
                <w:szCs w:val="18"/>
                <w:lang w:eastAsia="es-EC"/>
              </w:rPr>
            </w:pPr>
            <w:r w:rsidRPr="00B14D90">
              <w:rPr>
                <w:rFonts w:asciiTheme="majorHAnsi" w:eastAsia="Times New Roman" w:hAnsiTheme="majorHAnsi" w:cstheme="majorHAnsi"/>
                <w:b w:val="0"/>
                <w:color w:val="000000" w:themeColor="text1"/>
                <w:sz w:val="18"/>
                <w:szCs w:val="18"/>
                <w:lang w:eastAsia="es-EC"/>
              </w:rPr>
              <w:t>51 - Egresos de Personal</w:t>
            </w:r>
          </w:p>
        </w:tc>
        <w:tc>
          <w:tcPr>
            <w:tcW w:w="1490" w:type="dxa"/>
            <w:noWrap/>
            <w:vAlign w:val="center"/>
            <w:hideMark/>
          </w:tcPr>
          <w:p w14:paraId="5D005989"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 xml:space="preserve">8.506.051,59 </w:t>
            </w:r>
          </w:p>
        </w:tc>
        <w:tc>
          <w:tcPr>
            <w:tcW w:w="1490" w:type="dxa"/>
            <w:noWrap/>
            <w:vAlign w:val="center"/>
            <w:hideMark/>
          </w:tcPr>
          <w:p w14:paraId="7177CFDB"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 xml:space="preserve">8.417.625,05 </w:t>
            </w:r>
          </w:p>
        </w:tc>
        <w:tc>
          <w:tcPr>
            <w:tcW w:w="1200" w:type="dxa"/>
            <w:noWrap/>
            <w:vAlign w:val="center"/>
            <w:hideMark/>
          </w:tcPr>
          <w:p w14:paraId="1C6E04C3"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98,96%</w:t>
            </w:r>
          </w:p>
        </w:tc>
      </w:tr>
      <w:tr w:rsidR="006733F0" w:rsidRPr="00F1491C" w14:paraId="7C253231" w14:textId="77777777" w:rsidTr="00B14D90">
        <w:trPr>
          <w:trHeight w:val="300"/>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14:paraId="3E3A20DA" w14:textId="77777777" w:rsidR="006733F0" w:rsidRPr="00B14D90" w:rsidRDefault="006733F0" w:rsidP="000A4588">
            <w:pPr>
              <w:rPr>
                <w:rFonts w:asciiTheme="majorHAnsi" w:eastAsia="Times New Roman" w:hAnsiTheme="majorHAnsi" w:cstheme="majorHAnsi"/>
                <w:b w:val="0"/>
                <w:color w:val="000000" w:themeColor="text1"/>
                <w:sz w:val="18"/>
                <w:szCs w:val="18"/>
                <w:lang w:eastAsia="es-EC"/>
              </w:rPr>
            </w:pPr>
            <w:r w:rsidRPr="00B14D90">
              <w:rPr>
                <w:rFonts w:asciiTheme="majorHAnsi" w:eastAsia="Times New Roman" w:hAnsiTheme="majorHAnsi" w:cstheme="majorHAnsi"/>
                <w:b w:val="0"/>
                <w:color w:val="000000" w:themeColor="text1"/>
                <w:sz w:val="18"/>
                <w:szCs w:val="18"/>
                <w:lang w:eastAsia="es-EC"/>
              </w:rPr>
              <w:t>53 - Bienes y Servicios</w:t>
            </w:r>
          </w:p>
        </w:tc>
        <w:tc>
          <w:tcPr>
            <w:tcW w:w="1490" w:type="dxa"/>
            <w:noWrap/>
            <w:vAlign w:val="center"/>
            <w:hideMark/>
          </w:tcPr>
          <w:p w14:paraId="570B154C"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 xml:space="preserve">1.636.572,09 </w:t>
            </w:r>
          </w:p>
        </w:tc>
        <w:tc>
          <w:tcPr>
            <w:tcW w:w="1490" w:type="dxa"/>
            <w:noWrap/>
            <w:vAlign w:val="center"/>
            <w:hideMark/>
          </w:tcPr>
          <w:p w14:paraId="5F3CF719"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 xml:space="preserve"> 988.487,20 </w:t>
            </w:r>
          </w:p>
        </w:tc>
        <w:tc>
          <w:tcPr>
            <w:tcW w:w="1200" w:type="dxa"/>
            <w:noWrap/>
            <w:vAlign w:val="center"/>
            <w:hideMark/>
          </w:tcPr>
          <w:p w14:paraId="40E068E7"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60,40%</w:t>
            </w:r>
          </w:p>
        </w:tc>
      </w:tr>
      <w:tr w:rsidR="006733F0" w:rsidRPr="00F1491C" w14:paraId="118575BF" w14:textId="77777777" w:rsidTr="00B14D90">
        <w:trPr>
          <w:trHeight w:val="300"/>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14:paraId="3A037E8F" w14:textId="77777777" w:rsidR="006733F0" w:rsidRPr="00B14D90" w:rsidRDefault="006733F0" w:rsidP="000A4588">
            <w:pPr>
              <w:rPr>
                <w:rFonts w:asciiTheme="majorHAnsi" w:eastAsia="Times New Roman" w:hAnsiTheme="majorHAnsi" w:cstheme="majorHAnsi"/>
                <w:b w:val="0"/>
                <w:color w:val="000000" w:themeColor="text1"/>
                <w:sz w:val="18"/>
                <w:szCs w:val="18"/>
                <w:lang w:eastAsia="es-EC"/>
              </w:rPr>
            </w:pPr>
            <w:r w:rsidRPr="00B14D90">
              <w:rPr>
                <w:rFonts w:asciiTheme="majorHAnsi" w:eastAsia="Times New Roman" w:hAnsiTheme="majorHAnsi" w:cstheme="majorHAnsi"/>
                <w:b w:val="0"/>
                <w:color w:val="000000" w:themeColor="text1"/>
                <w:sz w:val="18"/>
                <w:szCs w:val="18"/>
                <w:lang w:eastAsia="es-EC"/>
              </w:rPr>
              <w:t>57 - Otros Egresos</w:t>
            </w:r>
          </w:p>
        </w:tc>
        <w:tc>
          <w:tcPr>
            <w:tcW w:w="1490" w:type="dxa"/>
            <w:noWrap/>
            <w:vAlign w:val="center"/>
            <w:hideMark/>
          </w:tcPr>
          <w:p w14:paraId="331AF80F"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 xml:space="preserve">104.501,27 </w:t>
            </w:r>
          </w:p>
        </w:tc>
        <w:tc>
          <w:tcPr>
            <w:tcW w:w="1490" w:type="dxa"/>
            <w:noWrap/>
            <w:vAlign w:val="center"/>
            <w:hideMark/>
          </w:tcPr>
          <w:p w14:paraId="2CAB3590"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 xml:space="preserve"> 102.472,05 </w:t>
            </w:r>
          </w:p>
        </w:tc>
        <w:tc>
          <w:tcPr>
            <w:tcW w:w="1200" w:type="dxa"/>
            <w:noWrap/>
            <w:vAlign w:val="center"/>
            <w:hideMark/>
          </w:tcPr>
          <w:p w14:paraId="3F328E2F"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98,06%</w:t>
            </w:r>
          </w:p>
        </w:tc>
      </w:tr>
      <w:tr w:rsidR="006733F0" w:rsidRPr="00F1491C" w14:paraId="0DAE8F19" w14:textId="77777777" w:rsidTr="00B14D90">
        <w:trPr>
          <w:trHeight w:val="300"/>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14:paraId="4802DD9A" w14:textId="77777777" w:rsidR="006733F0" w:rsidRPr="00B14D90" w:rsidRDefault="006733F0" w:rsidP="000A4588">
            <w:pPr>
              <w:rPr>
                <w:rFonts w:asciiTheme="majorHAnsi" w:eastAsia="Times New Roman" w:hAnsiTheme="majorHAnsi" w:cstheme="majorHAnsi"/>
                <w:b w:val="0"/>
                <w:color w:val="000000" w:themeColor="text1"/>
                <w:sz w:val="18"/>
                <w:szCs w:val="18"/>
                <w:lang w:eastAsia="es-EC"/>
              </w:rPr>
            </w:pPr>
            <w:r w:rsidRPr="00B14D90">
              <w:rPr>
                <w:rFonts w:asciiTheme="majorHAnsi" w:eastAsia="Times New Roman" w:hAnsiTheme="majorHAnsi" w:cstheme="majorHAnsi"/>
                <w:b w:val="0"/>
                <w:color w:val="000000" w:themeColor="text1"/>
                <w:sz w:val="18"/>
                <w:szCs w:val="18"/>
                <w:lang w:eastAsia="es-EC"/>
              </w:rPr>
              <w:t>58 - Transferencias o Donaciones</w:t>
            </w:r>
          </w:p>
        </w:tc>
        <w:tc>
          <w:tcPr>
            <w:tcW w:w="1490" w:type="dxa"/>
            <w:noWrap/>
            <w:vAlign w:val="center"/>
            <w:hideMark/>
          </w:tcPr>
          <w:p w14:paraId="30FC4625"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 xml:space="preserve">36.859.722,01 </w:t>
            </w:r>
          </w:p>
        </w:tc>
        <w:tc>
          <w:tcPr>
            <w:tcW w:w="1490" w:type="dxa"/>
            <w:noWrap/>
            <w:vAlign w:val="center"/>
            <w:hideMark/>
          </w:tcPr>
          <w:p w14:paraId="591BD42E"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 xml:space="preserve"> 36.632.450,33 </w:t>
            </w:r>
          </w:p>
        </w:tc>
        <w:tc>
          <w:tcPr>
            <w:tcW w:w="1200" w:type="dxa"/>
            <w:noWrap/>
            <w:vAlign w:val="center"/>
            <w:hideMark/>
          </w:tcPr>
          <w:p w14:paraId="1BA7C147"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99,38%</w:t>
            </w:r>
          </w:p>
        </w:tc>
      </w:tr>
      <w:tr w:rsidR="006733F0" w:rsidRPr="00F1491C" w14:paraId="5E6E3F47" w14:textId="77777777" w:rsidTr="00B14D90">
        <w:trPr>
          <w:trHeight w:val="300"/>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tcPr>
          <w:p w14:paraId="7CB45E70" w14:textId="77777777" w:rsidR="006733F0" w:rsidRPr="00B14D90" w:rsidRDefault="006733F0" w:rsidP="000A4588">
            <w:pPr>
              <w:rPr>
                <w:rFonts w:asciiTheme="majorHAnsi" w:eastAsia="Times New Roman" w:hAnsiTheme="majorHAnsi" w:cstheme="majorHAnsi"/>
                <w:b w:val="0"/>
                <w:color w:val="000000" w:themeColor="text1"/>
                <w:sz w:val="18"/>
                <w:szCs w:val="18"/>
                <w:lang w:eastAsia="es-EC"/>
              </w:rPr>
            </w:pPr>
            <w:r w:rsidRPr="00B14D90">
              <w:rPr>
                <w:rFonts w:asciiTheme="majorHAnsi" w:eastAsia="Times New Roman" w:hAnsiTheme="majorHAnsi" w:cstheme="majorHAnsi"/>
                <w:b w:val="0"/>
                <w:color w:val="000000" w:themeColor="text1"/>
                <w:sz w:val="18"/>
                <w:szCs w:val="18"/>
                <w:lang w:eastAsia="es-EC"/>
              </w:rPr>
              <w:t>84 - Egresos de capital</w:t>
            </w:r>
          </w:p>
        </w:tc>
        <w:tc>
          <w:tcPr>
            <w:tcW w:w="1490" w:type="dxa"/>
            <w:noWrap/>
            <w:vAlign w:val="center"/>
          </w:tcPr>
          <w:p w14:paraId="2E97DCE9"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 xml:space="preserve">6.658,00 </w:t>
            </w:r>
          </w:p>
        </w:tc>
        <w:tc>
          <w:tcPr>
            <w:tcW w:w="1490" w:type="dxa"/>
            <w:noWrap/>
            <w:vAlign w:val="center"/>
          </w:tcPr>
          <w:p w14:paraId="1302919E"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 xml:space="preserve"> 5.481,60 </w:t>
            </w:r>
          </w:p>
        </w:tc>
        <w:tc>
          <w:tcPr>
            <w:tcW w:w="1200" w:type="dxa"/>
            <w:noWrap/>
            <w:vAlign w:val="center"/>
          </w:tcPr>
          <w:p w14:paraId="64990C00"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82,33%</w:t>
            </w:r>
          </w:p>
        </w:tc>
      </w:tr>
      <w:tr w:rsidR="006733F0" w:rsidRPr="00F1491C" w14:paraId="0A6A5F01" w14:textId="77777777" w:rsidTr="00B14D90">
        <w:trPr>
          <w:trHeight w:val="300"/>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14:paraId="467E7A7B" w14:textId="77777777" w:rsidR="006733F0" w:rsidRPr="00B14D90" w:rsidRDefault="006733F0" w:rsidP="000A4588">
            <w:pPr>
              <w:rPr>
                <w:rFonts w:asciiTheme="majorHAnsi" w:eastAsia="Times New Roman" w:hAnsiTheme="majorHAnsi" w:cstheme="majorHAnsi"/>
                <w:b w:val="0"/>
                <w:color w:val="000000" w:themeColor="text1"/>
                <w:sz w:val="18"/>
                <w:szCs w:val="18"/>
                <w:lang w:eastAsia="es-EC"/>
              </w:rPr>
            </w:pPr>
            <w:r w:rsidRPr="00B14D90">
              <w:rPr>
                <w:rFonts w:asciiTheme="majorHAnsi" w:eastAsia="Times New Roman" w:hAnsiTheme="majorHAnsi" w:cstheme="majorHAnsi"/>
                <w:b w:val="0"/>
                <w:color w:val="000000" w:themeColor="text1"/>
                <w:sz w:val="18"/>
                <w:szCs w:val="18"/>
                <w:lang w:eastAsia="es-EC"/>
              </w:rPr>
              <w:t>99 - Otros Pasivos</w:t>
            </w:r>
          </w:p>
        </w:tc>
        <w:tc>
          <w:tcPr>
            <w:tcW w:w="1490" w:type="dxa"/>
            <w:noWrap/>
            <w:vAlign w:val="center"/>
            <w:hideMark/>
          </w:tcPr>
          <w:p w14:paraId="7D2DABE7"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 xml:space="preserve">178.380.140,14 </w:t>
            </w:r>
          </w:p>
        </w:tc>
        <w:tc>
          <w:tcPr>
            <w:tcW w:w="1490" w:type="dxa"/>
            <w:noWrap/>
            <w:vAlign w:val="center"/>
            <w:hideMark/>
          </w:tcPr>
          <w:p w14:paraId="5C28BA59"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 xml:space="preserve">178.341.048,87 </w:t>
            </w:r>
          </w:p>
        </w:tc>
        <w:tc>
          <w:tcPr>
            <w:tcW w:w="1200" w:type="dxa"/>
            <w:noWrap/>
            <w:vAlign w:val="center"/>
            <w:hideMark/>
          </w:tcPr>
          <w:p w14:paraId="2181C4DF"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eastAsia="es-EC"/>
              </w:rPr>
            </w:pPr>
            <w:r w:rsidRPr="00B14D90">
              <w:rPr>
                <w:rFonts w:asciiTheme="majorHAnsi" w:hAnsiTheme="majorHAnsi" w:cstheme="majorHAnsi"/>
                <w:color w:val="000000" w:themeColor="text1"/>
                <w:sz w:val="18"/>
                <w:szCs w:val="18"/>
              </w:rPr>
              <w:t>99,98%</w:t>
            </w:r>
          </w:p>
        </w:tc>
      </w:tr>
      <w:tr w:rsidR="006733F0" w:rsidRPr="00F1491C" w14:paraId="1F0CA3FA" w14:textId="77777777" w:rsidTr="00B14D90">
        <w:trPr>
          <w:trHeight w:val="300"/>
          <w:jc w:val="center"/>
        </w:trPr>
        <w:tc>
          <w:tcPr>
            <w:cnfStyle w:val="001000000000" w:firstRow="0" w:lastRow="0" w:firstColumn="1" w:lastColumn="0" w:oddVBand="0" w:evenVBand="0" w:oddHBand="0" w:evenHBand="0" w:firstRowFirstColumn="0" w:firstRowLastColumn="0" w:lastRowFirstColumn="0" w:lastRowLastColumn="0"/>
            <w:tcW w:w="2980" w:type="dxa"/>
            <w:shd w:val="clear" w:color="auto" w:fill="2E74B5" w:themeFill="accent5" w:themeFillShade="BF"/>
            <w:noWrap/>
            <w:vAlign w:val="center"/>
            <w:hideMark/>
          </w:tcPr>
          <w:p w14:paraId="2DCB617C" w14:textId="77777777" w:rsidR="006733F0" w:rsidRPr="00B14D90" w:rsidRDefault="006733F0" w:rsidP="000A4588">
            <w:pPr>
              <w:rPr>
                <w:rFonts w:asciiTheme="majorHAnsi" w:eastAsia="Times New Roman" w:hAnsiTheme="majorHAnsi" w:cstheme="majorHAnsi"/>
                <w:color w:val="FFFFFF" w:themeColor="background1"/>
                <w:sz w:val="18"/>
                <w:szCs w:val="18"/>
                <w:lang w:eastAsia="es-EC"/>
              </w:rPr>
            </w:pPr>
            <w:proofErr w:type="gramStart"/>
            <w:r w:rsidRPr="00B14D90">
              <w:rPr>
                <w:rFonts w:asciiTheme="majorHAnsi" w:eastAsia="Times New Roman" w:hAnsiTheme="majorHAnsi" w:cstheme="majorHAnsi"/>
                <w:color w:val="FFFFFF" w:themeColor="background1"/>
                <w:sz w:val="18"/>
                <w:szCs w:val="18"/>
                <w:lang w:eastAsia="es-EC"/>
              </w:rPr>
              <w:t>TOTAL</w:t>
            </w:r>
            <w:proofErr w:type="gramEnd"/>
            <w:r w:rsidRPr="00B14D90">
              <w:rPr>
                <w:rFonts w:asciiTheme="majorHAnsi" w:eastAsia="Times New Roman" w:hAnsiTheme="majorHAnsi" w:cstheme="majorHAnsi"/>
                <w:color w:val="FFFFFF" w:themeColor="background1"/>
                <w:sz w:val="18"/>
                <w:szCs w:val="18"/>
                <w:lang w:eastAsia="es-EC"/>
              </w:rPr>
              <w:t xml:space="preserve"> GENERAL</w:t>
            </w:r>
          </w:p>
        </w:tc>
        <w:tc>
          <w:tcPr>
            <w:tcW w:w="1490" w:type="dxa"/>
            <w:shd w:val="clear" w:color="auto" w:fill="2E74B5" w:themeFill="accent5" w:themeFillShade="BF"/>
            <w:noWrap/>
            <w:vAlign w:val="center"/>
            <w:hideMark/>
          </w:tcPr>
          <w:p w14:paraId="6E67ADC2"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eastAsia="es-EC"/>
              </w:rPr>
            </w:pPr>
            <w:r w:rsidRPr="00B14D90">
              <w:rPr>
                <w:rFonts w:asciiTheme="majorHAnsi" w:hAnsiTheme="majorHAnsi" w:cstheme="majorHAnsi"/>
                <w:b/>
                <w:bCs/>
                <w:color w:val="FFFFFF" w:themeColor="background1"/>
                <w:sz w:val="18"/>
                <w:szCs w:val="18"/>
              </w:rPr>
              <w:t xml:space="preserve">225.493.645,10 </w:t>
            </w:r>
          </w:p>
        </w:tc>
        <w:tc>
          <w:tcPr>
            <w:tcW w:w="1490" w:type="dxa"/>
            <w:shd w:val="clear" w:color="auto" w:fill="2E74B5" w:themeFill="accent5" w:themeFillShade="BF"/>
            <w:noWrap/>
            <w:vAlign w:val="center"/>
            <w:hideMark/>
          </w:tcPr>
          <w:p w14:paraId="1A81D1E8"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eastAsia="es-EC"/>
              </w:rPr>
            </w:pPr>
            <w:r w:rsidRPr="00B14D90">
              <w:rPr>
                <w:rFonts w:asciiTheme="majorHAnsi" w:hAnsiTheme="majorHAnsi" w:cstheme="majorHAnsi"/>
                <w:b/>
                <w:bCs/>
                <w:color w:val="FFFFFF" w:themeColor="background1"/>
                <w:sz w:val="18"/>
                <w:szCs w:val="18"/>
              </w:rPr>
              <w:t xml:space="preserve">224.487.565,10 </w:t>
            </w:r>
          </w:p>
        </w:tc>
        <w:tc>
          <w:tcPr>
            <w:tcW w:w="1200" w:type="dxa"/>
            <w:shd w:val="clear" w:color="auto" w:fill="2E74B5" w:themeFill="accent5" w:themeFillShade="BF"/>
            <w:noWrap/>
            <w:vAlign w:val="center"/>
            <w:hideMark/>
          </w:tcPr>
          <w:p w14:paraId="015E7073" w14:textId="77777777" w:rsidR="006733F0" w:rsidRPr="00B14D90" w:rsidRDefault="006733F0" w:rsidP="000A458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eastAsia="es-EC"/>
              </w:rPr>
            </w:pPr>
            <w:r w:rsidRPr="00B14D90">
              <w:rPr>
                <w:rFonts w:asciiTheme="majorHAnsi" w:hAnsiTheme="majorHAnsi" w:cstheme="majorHAnsi"/>
                <w:b/>
                <w:bCs/>
                <w:color w:val="FFFFFF" w:themeColor="background1"/>
                <w:sz w:val="18"/>
                <w:szCs w:val="18"/>
              </w:rPr>
              <w:t>99,55%</w:t>
            </w:r>
          </w:p>
        </w:tc>
      </w:tr>
    </w:tbl>
    <w:p w14:paraId="01B1574B" w14:textId="763B2BC2" w:rsidR="00EA3742" w:rsidRPr="003B0F6F" w:rsidRDefault="006733F0" w:rsidP="003B0F6F">
      <w:pPr>
        <w:pStyle w:val="Prrafodelista"/>
        <w:rPr>
          <w:rFonts w:asciiTheme="majorHAnsi" w:hAnsiTheme="majorHAnsi" w:cstheme="majorHAnsi"/>
          <w:i/>
          <w:color w:val="7F7F7F" w:themeColor="text1" w:themeTint="80"/>
          <w:sz w:val="16"/>
          <w:szCs w:val="16"/>
        </w:rPr>
      </w:pPr>
      <w:r w:rsidRPr="00EA3742">
        <w:rPr>
          <w:rFonts w:asciiTheme="majorHAnsi" w:hAnsiTheme="majorHAnsi" w:cstheme="majorHAnsi"/>
          <w:i/>
          <w:color w:val="7F7F7F" w:themeColor="text1" w:themeTint="80"/>
          <w:sz w:val="16"/>
          <w:szCs w:val="16"/>
        </w:rPr>
        <w:t>Fuente: Sistema Integrado de Gestión Financiera (</w:t>
      </w:r>
      <w:proofErr w:type="spellStart"/>
      <w:r w:rsidRPr="00EA3742">
        <w:rPr>
          <w:rFonts w:asciiTheme="majorHAnsi" w:hAnsiTheme="majorHAnsi" w:cstheme="majorHAnsi"/>
          <w:i/>
          <w:color w:val="7F7F7F" w:themeColor="text1" w:themeTint="80"/>
          <w:sz w:val="16"/>
          <w:szCs w:val="16"/>
        </w:rPr>
        <w:t>Esigef</w:t>
      </w:r>
      <w:proofErr w:type="spellEnd"/>
      <w:r w:rsidRPr="00EA3742">
        <w:rPr>
          <w:rFonts w:asciiTheme="majorHAnsi" w:hAnsiTheme="majorHAnsi" w:cstheme="majorHAnsi"/>
          <w:i/>
          <w:color w:val="7F7F7F" w:themeColor="text1" w:themeTint="80"/>
          <w:sz w:val="16"/>
          <w:szCs w:val="16"/>
        </w:rPr>
        <w:t>), corte diciembre 2024</w:t>
      </w:r>
      <w:bookmarkStart w:id="27" w:name="_Hlk188018612"/>
    </w:p>
    <w:p w14:paraId="28D98211" w14:textId="3B5F9391" w:rsidR="00EA3742" w:rsidRDefault="00EA3742" w:rsidP="001B25B5">
      <w:pPr>
        <w:pStyle w:val="Prrafodelista"/>
        <w:rPr>
          <w:rFonts w:ascii="Calibri" w:eastAsia="Times New Roman" w:hAnsi="Calibri" w:cs="Calibri"/>
          <w:bCs/>
          <w:color w:val="000000"/>
          <w:lang w:eastAsia="es-EC"/>
        </w:rPr>
      </w:pPr>
    </w:p>
    <w:p w14:paraId="324FC1DE" w14:textId="570AB666" w:rsidR="00C06F03" w:rsidRDefault="006733F0" w:rsidP="00467BB4">
      <w:pPr>
        <w:jc w:val="both"/>
        <w:rPr>
          <w:rFonts w:asciiTheme="majorHAnsi" w:eastAsia="Times New Roman" w:hAnsiTheme="majorHAnsi" w:cstheme="majorHAnsi"/>
          <w:bCs/>
          <w:color w:val="000000"/>
          <w:lang w:eastAsia="es-EC"/>
        </w:rPr>
      </w:pPr>
      <w:r w:rsidRPr="004A3F62">
        <w:rPr>
          <w:rFonts w:asciiTheme="majorHAnsi" w:eastAsia="Times New Roman" w:hAnsiTheme="majorHAnsi" w:cstheme="majorHAnsi"/>
          <w:bCs/>
          <w:color w:val="000000"/>
          <w:lang w:eastAsia="es-EC"/>
        </w:rPr>
        <w:t xml:space="preserve">El valor adicional en el presupuesto codificado de gasto permanente (grupos 58 y 99) corresponde a USD 177,99 millones que corresponden a compensación de obligaciones </w:t>
      </w:r>
      <w:r w:rsidRPr="004A3F62">
        <w:rPr>
          <w:rFonts w:asciiTheme="majorHAnsi" w:eastAsia="Times New Roman" w:hAnsiTheme="majorHAnsi" w:cstheme="majorHAnsi"/>
          <w:bCs/>
          <w:color w:val="000000"/>
          <w:lang w:eastAsia="es-EC"/>
        </w:rPr>
        <w:lastRenderedPageBreak/>
        <w:t>entre Ministerio de Economía y Finanzas, Ministerio de Energía y Minas, Petroecuador y Empresas Eléctricas del Sector Eléctrico; mientras que USD 36,45 millones corresponden a la compensación por rebaja del 50% de la tarifa a usuarios residenciales del servicio público de energía eléctrica.</w:t>
      </w:r>
      <w:bookmarkEnd w:id="27"/>
    </w:p>
    <w:p w14:paraId="6D1280B0" w14:textId="77777777" w:rsidR="003B0F6F" w:rsidRPr="00EA3742" w:rsidRDefault="003B0F6F" w:rsidP="00EA3742">
      <w:pPr>
        <w:ind w:left="360"/>
        <w:jc w:val="both"/>
        <w:rPr>
          <w:rFonts w:asciiTheme="majorHAnsi" w:eastAsia="Times New Roman" w:hAnsiTheme="majorHAnsi" w:cstheme="majorHAnsi"/>
          <w:bCs/>
          <w:color w:val="000000"/>
          <w:lang w:eastAsia="es-EC"/>
        </w:rPr>
      </w:pPr>
    </w:p>
    <w:p w14:paraId="327F7C8F" w14:textId="17E907A3" w:rsidR="00EA3742" w:rsidRPr="00C751F5" w:rsidRDefault="00E55F64" w:rsidP="00C751F5">
      <w:pPr>
        <w:pStyle w:val="Ttulo2"/>
        <w:rPr>
          <w:sz w:val="24"/>
          <w:szCs w:val="24"/>
        </w:rPr>
      </w:pPr>
      <w:bookmarkStart w:id="28" w:name="_Toc197961774"/>
      <w:bookmarkStart w:id="29" w:name="_Toc199759549"/>
      <w:r w:rsidRPr="00C751F5">
        <w:rPr>
          <w:sz w:val="24"/>
          <w:szCs w:val="24"/>
        </w:rPr>
        <w:t>Gestión de Adquisiciones y Compras Públicas</w:t>
      </w:r>
      <w:bookmarkEnd w:id="28"/>
      <w:bookmarkEnd w:id="29"/>
    </w:p>
    <w:p w14:paraId="4989E72B" w14:textId="77777777" w:rsidR="00595C27" w:rsidRPr="00595C27" w:rsidRDefault="00595C27" w:rsidP="00595C27"/>
    <w:p w14:paraId="6FF0EF5A" w14:textId="5FDA54FC" w:rsidR="00134FF2" w:rsidRDefault="00134FF2" w:rsidP="00134FF2">
      <w:pPr>
        <w:jc w:val="both"/>
        <w:rPr>
          <w:rFonts w:asciiTheme="majorHAnsi" w:hAnsiTheme="majorHAnsi" w:cstheme="majorHAnsi"/>
          <w:b/>
          <w:bCs/>
          <w:sz w:val="22"/>
          <w:szCs w:val="22"/>
        </w:rPr>
      </w:pPr>
      <w:r w:rsidRPr="000C6365">
        <w:rPr>
          <w:rFonts w:asciiTheme="majorHAnsi" w:hAnsiTheme="majorHAnsi" w:cstheme="majorHAnsi"/>
          <w:b/>
          <w:bCs/>
          <w:sz w:val="22"/>
          <w:szCs w:val="22"/>
        </w:rPr>
        <w:t>Aplicando</w:t>
      </w:r>
      <w:r w:rsidRPr="000C6365">
        <w:rPr>
          <w:rFonts w:asciiTheme="majorHAnsi" w:hAnsiTheme="majorHAnsi" w:cstheme="majorHAnsi"/>
          <w:b/>
          <w:bCs/>
          <w:spacing w:val="-4"/>
          <w:sz w:val="22"/>
          <w:szCs w:val="22"/>
        </w:rPr>
        <w:t xml:space="preserve"> </w:t>
      </w:r>
      <w:r w:rsidRPr="000C6365">
        <w:rPr>
          <w:rFonts w:asciiTheme="majorHAnsi" w:hAnsiTheme="majorHAnsi" w:cstheme="majorHAnsi"/>
          <w:b/>
          <w:bCs/>
          <w:sz w:val="22"/>
          <w:szCs w:val="22"/>
        </w:rPr>
        <w:t>la</w:t>
      </w:r>
      <w:r w:rsidRPr="000C6365">
        <w:rPr>
          <w:rFonts w:asciiTheme="majorHAnsi" w:hAnsiTheme="majorHAnsi" w:cstheme="majorHAnsi"/>
          <w:b/>
          <w:bCs/>
          <w:spacing w:val="-4"/>
          <w:sz w:val="22"/>
          <w:szCs w:val="22"/>
        </w:rPr>
        <w:t xml:space="preserve"> </w:t>
      </w:r>
      <w:r w:rsidRPr="000C6365">
        <w:rPr>
          <w:rFonts w:asciiTheme="majorHAnsi" w:hAnsiTheme="majorHAnsi" w:cstheme="majorHAnsi"/>
          <w:b/>
          <w:bCs/>
          <w:sz w:val="22"/>
          <w:szCs w:val="22"/>
        </w:rPr>
        <w:t>normativa</w:t>
      </w:r>
      <w:r w:rsidRPr="000C6365">
        <w:rPr>
          <w:rFonts w:asciiTheme="majorHAnsi" w:hAnsiTheme="majorHAnsi" w:cstheme="majorHAnsi"/>
          <w:b/>
          <w:bCs/>
          <w:spacing w:val="-4"/>
          <w:sz w:val="22"/>
          <w:szCs w:val="22"/>
        </w:rPr>
        <w:t xml:space="preserve"> </w:t>
      </w:r>
      <w:r w:rsidRPr="000C6365">
        <w:rPr>
          <w:rFonts w:asciiTheme="majorHAnsi" w:hAnsiTheme="majorHAnsi" w:cstheme="majorHAnsi"/>
          <w:b/>
          <w:bCs/>
          <w:sz w:val="22"/>
          <w:szCs w:val="22"/>
        </w:rPr>
        <w:t>vigente,</w:t>
      </w:r>
      <w:r w:rsidRPr="000C6365">
        <w:rPr>
          <w:rFonts w:asciiTheme="majorHAnsi" w:hAnsiTheme="majorHAnsi" w:cstheme="majorHAnsi"/>
          <w:b/>
          <w:bCs/>
          <w:spacing w:val="-4"/>
          <w:sz w:val="22"/>
          <w:szCs w:val="22"/>
        </w:rPr>
        <w:t xml:space="preserve"> </w:t>
      </w:r>
      <w:r w:rsidRPr="000C6365">
        <w:rPr>
          <w:rFonts w:asciiTheme="majorHAnsi" w:hAnsiTheme="majorHAnsi" w:cstheme="majorHAnsi"/>
          <w:b/>
          <w:bCs/>
          <w:sz w:val="22"/>
          <w:szCs w:val="22"/>
        </w:rPr>
        <w:t>y</w:t>
      </w:r>
      <w:r w:rsidRPr="000C6365">
        <w:rPr>
          <w:rFonts w:asciiTheme="majorHAnsi" w:hAnsiTheme="majorHAnsi" w:cstheme="majorHAnsi"/>
          <w:b/>
          <w:bCs/>
          <w:spacing w:val="-5"/>
          <w:sz w:val="22"/>
          <w:szCs w:val="22"/>
        </w:rPr>
        <w:t xml:space="preserve"> </w:t>
      </w:r>
      <w:r w:rsidRPr="000C6365">
        <w:rPr>
          <w:rFonts w:asciiTheme="majorHAnsi" w:hAnsiTheme="majorHAnsi" w:cstheme="majorHAnsi"/>
          <w:b/>
          <w:bCs/>
          <w:sz w:val="22"/>
          <w:szCs w:val="22"/>
        </w:rPr>
        <w:t>efectuando</w:t>
      </w:r>
      <w:r w:rsidRPr="000C6365">
        <w:rPr>
          <w:rFonts w:asciiTheme="majorHAnsi" w:hAnsiTheme="majorHAnsi" w:cstheme="majorHAnsi"/>
          <w:b/>
          <w:bCs/>
          <w:spacing w:val="-4"/>
          <w:sz w:val="22"/>
          <w:szCs w:val="22"/>
        </w:rPr>
        <w:t xml:space="preserve"> </w:t>
      </w:r>
      <w:r w:rsidRPr="000C6365">
        <w:rPr>
          <w:rFonts w:asciiTheme="majorHAnsi" w:hAnsiTheme="majorHAnsi" w:cstheme="majorHAnsi"/>
          <w:b/>
          <w:bCs/>
          <w:sz w:val="22"/>
          <w:szCs w:val="22"/>
        </w:rPr>
        <w:t>los</w:t>
      </w:r>
      <w:r w:rsidRPr="000C6365">
        <w:rPr>
          <w:rFonts w:asciiTheme="majorHAnsi" w:hAnsiTheme="majorHAnsi" w:cstheme="majorHAnsi"/>
          <w:b/>
          <w:bCs/>
          <w:spacing w:val="-3"/>
          <w:sz w:val="22"/>
          <w:szCs w:val="22"/>
        </w:rPr>
        <w:t xml:space="preserve"> </w:t>
      </w:r>
      <w:r w:rsidRPr="000C6365">
        <w:rPr>
          <w:rFonts w:asciiTheme="majorHAnsi" w:hAnsiTheme="majorHAnsi" w:cstheme="majorHAnsi"/>
          <w:b/>
          <w:bCs/>
          <w:sz w:val="22"/>
          <w:szCs w:val="22"/>
        </w:rPr>
        <w:t>procesos</w:t>
      </w:r>
      <w:r w:rsidRPr="000C6365">
        <w:rPr>
          <w:rFonts w:asciiTheme="majorHAnsi" w:hAnsiTheme="majorHAnsi" w:cstheme="majorHAnsi"/>
          <w:b/>
          <w:bCs/>
          <w:spacing w:val="-3"/>
          <w:sz w:val="22"/>
          <w:szCs w:val="22"/>
        </w:rPr>
        <w:t xml:space="preserve"> </w:t>
      </w:r>
      <w:r w:rsidRPr="000C6365">
        <w:rPr>
          <w:rFonts w:asciiTheme="majorHAnsi" w:hAnsiTheme="majorHAnsi" w:cstheme="majorHAnsi"/>
          <w:b/>
          <w:bCs/>
          <w:sz w:val="22"/>
          <w:szCs w:val="22"/>
        </w:rPr>
        <w:t>correspondientes</w:t>
      </w:r>
      <w:r w:rsidRPr="000C6365">
        <w:rPr>
          <w:rFonts w:asciiTheme="majorHAnsi" w:hAnsiTheme="majorHAnsi" w:cstheme="majorHAnsi"/>
          <w:b/>
          <w:bCs/>
          <w:spacing w:val="-6"/>
          <w:sz w:val="22"/>
          <w:szCs w:val="22"/>
        </w:rPr>
        <w:t xml:space="preserve"> </w:t>
      </w:r>
      <w:r w:rsidRPr="000C6365">
        <w:rPr>
          <w:rFonts w:asciiTheme="majorHAnsi" w:hAnsiTheme="majorHAnsi" w:cstheme="majorHAnsi"/>
          <w:b/>
          <w:bCs/>
          <w:sz w:val="22"/>
          <w:szCs w:val="22"/>
        </w:rPr>
        <w:t>conforme</w:t>
      </w:r>
      <w:r w:rsidRPr="000C6365">
        <w:rPr>
          <w:rFonts w:asciiTheme="majorHAnsi" w:hAnsiTheme="majorHAnsi" w:cstheme="majorHAnsi"/>
          <w:b/>
          <w:bCs/>
          <w:spacing w:val="-4"/>
          <w:sz w:val="22"/>
          <w:szCs w:val="22"/>
        </w:rPr>
        <w:t xml:space="preserve"> </w:t>
      </w:r>
      <w:r w:rsidRPr="000C6365">
        <w:rPr>
          <w:rFonts w:asciiTheme="majorHAnsi" w:hAnsiTheme="majorHAnsi" w:cstheme="majorHAnsi"/>
          <w:b/>
          <w:bCs/>
          <w:sz w:val="22"/>
          <w:szCs w:val="22"/>
        </w:rPr>
        <w:t>los plazos y condiciones determinados por la ley y normativa conexa en esta materia.</w:t>
      </w:r>
    </w:p>
    <w:p w14:paraId="55FB3BFC" w14:textId="77777777" w:rsidR="00EA3742" w:rsidRPr="000C6365" w:rsidRDefault="00EA3742" w:rsidP="00134FF2">
      <w:pPr>
        <w:jc w:val="both"/>
        <w:rPr>
          <w:rFonts w:asciiTheme="majorHAnsi" w:hAnsiTheme="majorHAnsi" w:cstheme="majorHAnsi"/>
          <w:b/>
          <w:bCs/>
          <w:sz w:val="22"/>
          <w:szCs w:val="22"/>
        </w:rPr>
      </w:pPr>
    </w:p>
    <w:p w14:paraId="091B4D21" w14:textId="77777777" w:rsidR="00134FF2" w:rsidRPr="000C6365" w:rsidRDefault="00134FF2" w:rsidP="00134FF2">
      <w:pPr>
        <w:numPr>
          <w:ilvl w:val="0"/>
          <w:numId w:val="146"/>
        </w:numPr>
        <w:jc w:val="both"/>
        <w:rPr>
          <w:rFonts w:asciiTheme="majorHAnsi" w:hAnsiTheme="majorHAnsi" w:cstheme="majorHAnsi"/>
          <w:sz w:val="22"/>
          <w:szCs w:val="22"/>
        </w:rPr>
      </w:pPr>
      <w:r w:rsidRPr="000C6365">
        <w:rPr>
          <w:rFonts w:asciiTheme="majorHAnsi" w:hAnsiTheme="majorHAnsi" w:cstheme="majorHAnsi"/>
          <w:sz w:val="22"/>
          <w:szCs w:val="22"/>
        </w:rPr>
        <w:t>La</w:t>
      </w:r>
      <w:r w:rsidRPr="000C6365">
        <w:rPr>
          <w:rFonts w:asciiTheme="majorHAnsi" w:hAnsiTheme="majorHAnsi" w:cstheme="majorHAnsi"/>
          <w:spacing w:val="-6"/>
          <w:sz w:val="22"/>
          <w:szCs w:val="22"/>
        </w:rPr>
        <w:t xml:space="preserve"> </w:t>
      </w:r>
      <w:r w:rsidRPr="000C6365">
        <w:rPr>
          <w:rFonts w:asciiTheme="majorHAnsi" w:hAnsiTheme="majorHAnsi" w:cstheme="majorHAnsi"/>
          <w:sz w:val="22"/>
          <w:szCs w:val="22"/>
        </w:rPr>
        <w:t>publicación</w:t>
      </w:r>
      <w:r w:rsidRPr="000C6365">
        <w:rPr>
          <w:rFonts w:asciiTheme="majorHAnsi" w:hAnsiTheme="majorHAnsi" w:cstheme="majorHAnsi"/>
          <w:spacing w:val="-5"/>
          <w:sz w:val="22"/>
          <w:szCs w:val="22"/>
        </w:rPr>
        <w:t xml:space="preserve"> </w:t>
      </w:r>
      <w:r w:rsidRPr="000C6365">
        <w:rPr>
          <w:rFonts w:asciiTheme="majorHAnsi" w:hAnsiTheme="majorHAnsi" w:cstheme="majorHAnsi"/>
          <w:sz w:val="22"/>
          <w:szCs w:val="22"/>
        </w:rPr>
        <w:t>del</w:t>
      </w:r>
      <w:r w:rsidRPr="000C6365">
        <w:rPr>
          <w:rFonts w:asciiTheme="majorHAnsi" w:hAnsiTheme="majorHAnsi" w:cstheme="majorHAnsi"/>
          <w:spacing w:val="-3"/>
          <w:sz w:val="22"/>
          <w:szCs w:val="22"/>
        </w:rPr>
        <w:t xml:space="preserve"> </w:t>
      </w:r>
      <w:r w:rsidRPr="000C6365">
        <w:rPr>
          <w:rFonts w:asciiTheme="majorHAnsi" w:hAnsiTheme="majorHAnsi" w:cstheme="majorHAnsi"/>
          <w:sz w:val="22"/>
          <w:szCs w:val="22"/>
        </w:rPr>
        <w:t>Plan</w:t>
      </w:r>
      <w:r w:rsidRPr="000C6365">
        <w:rPr>
          <w:rFonts w:asciiTheme="majorHAnsi" w:hAnsiTheme="majorHAnsi" w:cstheme="majorHAnsi"/>
          <w:spacing w:val="-5"/>
          <w:sz w:val="22"/>
          <w:szCs w:val="22"/>
        </w:rPr>
        <w:t xml:space="preserve"> </w:t>
      </w:r>
      <w:r w:rsidRPr="000C6365">
        <w:rPr>
          <w:rFonts w:asciiTheme="majorHAnsi" w:hAnsiTheme="majorHAnsi" w:cstheme="majorHAnsi"/>
          <w:sz w:val="22"/>
          <w:szCs w:val="22"/>
        </w:rPr>
        <w:t>Anual</w:t>
      </w:r>
      <w:r w:rsidRPr="000C6365">
        <w:rPr>
          <w:rFonts w:asciiTheme="majorHAnsi" w:hAnsiTheme="majorHAnsi" w:cstheme="majorHAnsi"/>
          <w:spacing w:val="-3"/>
          <w:sz w:val="22"/>
          <w:szCs w:val="22"/>
        </w:rPr>
        <w:t xml:space="preserve"> </w:t>
      </w:r>
      <w:r w:rsidRPr="000C6365">
        <w:rPr>
          <w:rFonts w:asciiTheme="majorHAnsi" w:hAnsiTheme="majorHAnsi" w:cstheme="majorHAnsi"/>
          <w:sz w:val="22"/>
          <w:szCs w:val="22"/>
        </w:rPr>
        <w:t>de</w:t>
      </w:r>
      <w:r w:rsidRPr="000C6365">
        <w:rPr>
          <w:rFonts w:asciiTheme="majorHAnsi" w:hAnsiTheme="majorHAnsi" w:cstheme="majorHAnsi"/>
          <w:spacing w:val="-5"/>
          <w:sz w:val="22"/>
          <w:szCs w:val="22"/>
        </w:rPr>
        <w:t xml:space="preserve"> </w:t>
      </w:r>
      <w:r w:rsidRPr="000C6365">
        <w:rPr>
          <w:rFonts w:asciiTheme="majorHAnsi" w:hAnsiTheme="majorHAnsi" w:cstheme="majorHAnsi"/>
          <w:sz w:val="22"/>
          <w:szCs w:val="22"/>
        </w:rPr>
        <w:t>Contratación</w:t>
      </w:r>
      <w:r w:rsidRPr="000C6365">
        <w:rPr>
          <w:rFonts w:asciiTheme="majorHAnsi" w:hAnsiTheme="majorHAnsi" w:cstheme="majorHAnsi"/>
          <w:spacing w:val="-4"/>
          <w:sz w:val="22"/>
          <w:szCs w:val="22"/>
        </w:rPr>
        <w:t xml:space="preserve"> </w:t>
      </w:r>
      <w:r w:rsidRPr="000C6365">
        <w:rPr>
          <w:rFonts w:asciiTheme="majorHAnsi" w:hAnsiTheme="majorHAnsi" w:cstheme="majorHAnsi"/>
          <w:sz w:val="22"/>
          <w:szCs w:val="22"/>
        </w:rPr>
        <w:t>2024</w:t>
      </w:r>
      <w:r w:rsidRPr="000C6365">
        <w:rPr>
          <w:rFonts w:asciiTheme="majorHAnsi" w:hAnsiTheme="majorHAnsi" w:cstheme="majorHAnsi"/>
          <w:spacing w:val="-5"/>
          <w:sz w:val="22"/>
          <w:szCs w:val="22"/>
        </w:rPr>
        <w:t xml:space="preserve"> </w:t>
      </w:r>
      <w:r w:rsidRPr="000C6365">
        <w:rPr>
          <w:rFonts w:asciiTheme="majorHAnsi" w:hAnsiTheme="majorHAnsi" w:cstheme="majorHAnsi"/>
          <w:sz w:val="22"/>
          <w:szCs w:val="22"/>
        </w:rPr>
        <w:t>dentro</w:t>
      </w:r>
      <w:r w:rsidRPr="000C6365">
        <w:rPr>
          <w:rFonts w:asciiTheme="majorHAnsi" w:hAnsiTheme="majorHAnsi" w:cstheme="majorHAnsi"/>
          <w:spacing w:val="-4"/>
          <w:sz w:val="22"/>
          <w:szCs w:val="22"/>
        </w:rPr>
        <w:t xml:space="preserve"> </w:t>
      </w:r>
      <w:r w:rsidRPr="000C6365">
        <w:rPr>
          <w:rFonts w:asciiTheme="majorHAnsi" w:hAnsiTheme="majorHAnsi" w:cstheme="majorHAnsi"/>
          <w:sz w:val="22"/>
          <w:szCs w:val="22"/>
        </w:rPr>
        <w:t>del</w:t>
      </w:r>
      <w:r w:rsidRPr="000C6365">
        <w:rPr>
          <w:rFonts w:asciiTheme="majorHAnsi" w:hAnsiTheme="majorHAnsi" w:cstheme="majorHAnsi"/>
          <w:spacing w:val="-4"/>
          <w:sz w:val="22"/>
          <w:szCs w:val="22"/>
        </w:rPr>
        <w:t xml:space="preserve"> </w:t>
      </w:r>
      <w:r w:rsidRPr="000C6365">
        <w:rPr>
          <w:rFonts w:asciiTheme="majorHAnsi" w:hAnsiTheme="majorHAnsi" w:cstheme="majorHAnsi"/>
          <w:sz w:val="22"/>
          <w:szCs w:val="22"/>
        </w:rPr>
        <w:t>plazo</w:t>
      </w:r>
      <w:r w:rsidRPr="000C6365">
        <w:rPr>
          <w:rFonts w:asciiTheme="majorHAnsi" w:hAnsiTheme="majorHAnsi" w:cstheme="majorHAnsi"/>
          <w:spacing w:val="-3"/>
          <w:sz w:val="22"/>
          <w:szCs w:val="22"/>
        </w:rPr>
        <w:t xml:space="preserve"> </w:t>
      </w:r>
      <w:r w:rsidRPr="000C6365">
        <w:rPr>
          <w:rFonts w:asciiTheme="majorHAnsi" w:hAnsiTheme="majorHAnsi" w:cstheme="majorHAnsi"/>
          <w:spacing w:val="-2"/>
          <w:sz w:val="22"/>
          <w:szCs w:val="22"/>
        </w:rPr>
        <w:t>establecido.</w:t>
      </w:r>
    </w:p>
    <w:p w14:paraId="776AA129" w14:textId="77777777" w:rsidR="00134FF2" w:rsidRPr="000C6365" w:rsidRDefault="00134FF2" w:rsidP="00134FF2">
      <w:pPr>
        <w:numPr>
          <w:ilvl w:val="0"/>
          <w:numId w:val="146"/>
        </w:numPr>
        <w:jc w:val="both"/>
        <w:rPr>
          <w:rFonts w:asciiTheme="majorHAnsi" w:hAnsiTheme="majorHAnsi" w:cstheme="majorHAnsi"/>
          <w:sz w:val="22"/>
          <w:szCs w:val="22"/>
        </w:rPr>
      </w:pPr>
      <w:r w:rsidRPr="000C6365">
        <w:rPr>
          <w:rFonts w:asciiTheme="majorHAnsi" w:hAnsiTheme="majorHAnsi" w:cstheme="majorHAnsi"/>
          <w:sz w:val="22"/>
          <w:szCs w:val="22"/>
        </w:rPr>
        <w:t>100 % de procesos atendidos, los que han sido requeridos por las diferentes áreas y</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dependencias de esta Cartera de Estado.</w:t>
      </w:r>
    </w:p>
    <w:p w14:paraId="50B5883F" w14:textId="77777777" w:rsidR="00134FF2" w:rsidRPr="000C6365" w:rsidRDefault="00134FF2" w:rsidP="00134FF2">
      <w:pPr>
        <w:numPr>
          <w:ilvl w:val="0"/>
          <w:numId w:val="146"/>
        </w:numPr>
        <w:jc w:val="both"/>
        <w:rPr>
          <w:rFonts w:asciiTheme="majorHAnsi" w:hAnsiTheme="majorHAnsi" w:cstheme="majorHAnsi"/>
          <w:sz w:val="22"/>
          <w:szCs w:val="22"/>
        </w:rPr>
      </w:pPr>
      <w:r w:rsidRPr="000C6365">
        <w:rPr>
          <w:rFonts w:asciiTheme="majorHAnsi" w:hAnsiTheme="majorHAnsi" w:cstheme="majorHAnsi"/>
          <w:sz w:val="22"/>
          <w:szCs w:val="22"/>
        </w:rPr>
        <w:t>Acompañamiento</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a</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las</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diferentes</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unidades</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en</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la</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elaboración</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de</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Términos</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de Referencia y Especificaciones técnicas.</w:t>
      </w:r>
    </w:p>
    <w:p w14:paraId="5F38B785" w14:textId="77777777" w:rsidR="00134FF2" w:rsidRPr="000C6365" w:rsidRDefault="00134FF2" w:rsidP="00134FF2">
      <w:pPr>
        <w:numPr>
          <w:ilvl w:val="0"/>
          <w:numId w:val="146"/>
        </w:numPr>
        <w:jc w:val="both"/>
        <w:rPr>
          <w:rFonts w:asciiTheme="majorHAnsi" w:hAnsiTheme="majorHAnsi" w:cstheme="majorHAnsi"/>
          <w:sz w:val="22"/>
          <w:szCs w:val="22"/>
        </w:rPr>
      </w:pPr>
      <w:r w:rsidRPr="000C6365">
        <w:rPr>
          <w:rFonts w:asciiTheme="majorHAnsi" w:hAnsiTheme="majorHAnsi" w:cstheme="majorHAnsi"/>
          <w:sz w:val="22"/>
          <w:szCs w:val="22"/>
        </w:rPr>
        <w:t>Cumplimiento</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de</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tiempos</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establecidos</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en</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la</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publicación</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de</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los</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procesos</w:t>
      </w:r>
      <w:r w:rsidRPr="000C6365">
        <w:rPr>
          <w:rFonts w:asciiTheme="majorHAnsi" w:hAnsiTheme="majorHAnsi" w:cstheme="majorHAnsi"/>
          <w:spacing w:val="80"/>
          <w:sz w:val="22"/>
          <w:szCs w:val="22"/>
        </w:rPr>
        <w:t xml:space="preserve"> </w:t>
      </w:r>
      <w:r w:rsidRPr="000C6365">
        <w:rPr>
          <w:rFonts w:asciiTheme="majorHAnsi" w:hAnsiTheme="majorHAnsi" w:cstheme="majorHAnsi"/>
          <w:sz w:val="22"/>
          <w:szCs w:val="22"/>
        </w:rPr>
        <w:t>de</w:t>
      </w:r>
      <w:r w:rsidRPr="000C6365">
        <w:rPr>
          <w:rFonts w:asciiTheme="majorHAnsi" w:hAnsiTheme="majorHAnsi" w:cstheme="majorHAnsi"/>
          <w:spacing w:val="80"/>
          <w:w w:val="150"/>
          <w:sz w:val="22"/>
          <w:szCs w:val="22"/>
        </w:rPr>
        <w:t xml:space="preserve"> </w:t>
      </w:r>
      <w:r w:rsidRPr="000C6365">
        <w:rPr>
          <w:rFonts w:asciiTheme="majorHAnsi" w:hAnsiTheme="majorHAnsi" w:cstheme="majorHAnsi"/>
          <w:spacing w:val="-2"/>
          <w:sz w:val="22"/>
          <w:szCs w:val="22"/>
        </w:rPr>
        <w:t>contratación.</w:t>
      </w:r>
    </w:p>
    <w:p w14:paraId="01ACABEB" w14:textId="5529A5A7" w:rsidR="00134FF2" w:rsidRPr="00A6778F" w:rsidRDefault="00134FF2" w:rsidP="00A6778F">
      <w:pPr>
        <w:numPr>
          <w:ilvl w:val="0"/>
          <w:numId w:val="146"/>
        </w:numPr>
        <w:jc w:val="both"/>
        <w:rPr>
          <w:rFonts w:asciiTheme="majorHAnsi" w:hAnsiTheme="majorHAnsi" w:cstheme="majorHAnsi"/>
          <w:sz w:val="22"/>
          <w:szCs w:val="22"/>
        </w:rPr>
      </w:pPr>
      <w:r w:rsidRPr="000C6365">
        <w:rPr>
          <w:rFonts w:asciiTheme="majorHAnsi" w:hAnsiTheme="majorHAnsi" w:cstheme="majorHAnsi"/>
          <w:sz w:val="22"/>
          <w:szCs w:val="22"/>
        </w:rPr>
        <w:t>Publicación</w:t>
      </w:r>
      <w:r w:rsidRPr="000C6365">
        <w:rPr>
          <w:rFonts w:asciiTheme="majorHAnsi" w:hAnsiTheme="majorHAnsi" w:cstheme="majorHAnsi"/>
          <w:spacing w:val="-7"/>
          <w:sz w:val="22"/>
          <w:szCs w:val="22"/>
        </w:rPr>
        <w:t xml:space="preserve"> </w:t>
      </w:r>
      <w:r w:rsidRPr="000C6365">
        <w:rPr>
          <w:rFonts w:asciiTheme="majorHAnsi" w:hAnsiTheme="majorHAnsi" w:cstheme="majorHAnsi"/>
          <w:sz w:val="22"/>
          <w:szCs w:val="22"/>
        </w:rPr>
        <w:t>53</w:t>
      </w:r>
      <w:r w:rsidRPr="000C6365">
        <w:rPr>
          <w:rFonts w:asciiTheme="majorHAnsi" w:hAnsiTheme="majorHAnsi" w:cstheme="majorHAnsi"/>
          <w:spacing w:val="-6"/>
          <w:sz w:val="22"/>
          <w:szCs w:val="22"/>
        </w:rPr>
        <w:t xml:space="preserve"> </w:t>
      </w:r>
      <w:r w:rsidRPr="000C6365">
        <w:rPr>
          <w:rFonts w:asciiTheme="majorHAnsi" w:hAnsiTheme="majorHAnsi" w:cstheme="majorHAnsi"/>
          <w:sz w:val="22"/>
          <w:szCs w:val="22"/>
        </w:rPr>
        <w:t>procesos</w:t>
      </w:r>
      <w:r w:rsidRPr="000C6365">
        <w:rPr>
          <w:rFonts w:asciiTheme="majorHAnsi" w:hAnsiTheme="majorHAnsi" w:cstheme="majorHAnsi"/>
          <w:spacing w:val="-4"/>
          <w:sz w:val="22"/>
          <w:szCs w:val="22"/>
        </w:rPr>
        <w:t xml:space="preserve"> </w:t>
      </w:r>
      <w:r w:rsidRPr="000C6365">
        <w:rPr>
          <w:rFonts w:asciiTheme="majorHAnsi" w:hAnsiTheme="majorHAnsi" w:cstheme="majorHAnsi"/>
          <w:sz w:val="22"/>
          <w:szCs w:val="22"/>
        </w:rPr>
        <w:t>de</w:t>
      </w:r>
      <w:r w:rsidRPr="000C6365">
        <w:rPr>
          <w:rFonts w:asciiTheme="majorHAnsi" w:hAnsiTheme="majorHAnsi" w:cstheme="majorHAnsi"/>
          <w:spacing w:val="-4"/>
          <w:sz w:val="22"/>
          <w:szCs w:val="22"/>
        </w:rPr>
        <w:t xml:space="preserve"> </w:t>
      </w:r>
      <w:r w:rsidRPr="000C6365">
        <w:rPr>
          <w:rFonts w:asciiTheme="majorHAnsi" w:hAnsiTheme="majorHAnsi" w:cstheme="majorHAnsi"/>
          <w:sz w:val="22"/>
          <w:szCs w:val="22"/>
        </w:rPr>
        <w:t>contratación</w:t>
      </w:r>
      <w:r w:rsidRPr="000C6365">
        <w:rPr>
          <w:rFonts w:asciiTheme="majorHAnsi" w:hAnsiTheme="majorHAnsi" w:cstheme="majorHAnsi"/>
          <w:spacing w:val="-6"/>
          <w:sz w:val="22"/>
          <w:szCs w:val="22"/>
        </w:rPr>
        <w:t xml:space="preserve"> </w:t>
      </w:r>
      <w:r w:rsidRPr="000C6365">
        <w:rPr>
          <w:rFonts w:asciiTheme="majorHAnsi" w:hAnsiTheme="majorHAnsi" w:cstheme="majorHAnsi"/>
          <w:sz w:val="22"/>
          <w:szCs w:val="22"/>
        </w:rPr>
        <w:t>a</w:t>
      </w:r>
      <w:r w:rsidRPr="000C6365">
        <w:rPr>
          <w:rFonts w:asciiTheme="majorHAnsi" w:hAnsiTheme="majorHAnsi" w:cstheme="majorHAnsi"/>
          <w:spacing w:val="-5"/>
          <w:sz w:val="22"/>
          <w:szCs w:val="22"/>
        </w:rPr>
        <w:t xml:space="preserve"> </w:t>
      </w:r>
      <w:r w:rsidRPr="000C6365">
        <w:rPr>
          <w:rFonts w:asciiTheme="majorHAnsi" w:hAnsiTheme="majorHAnsi" w:cstheme="majorHAnsi"/>
          <w:sz w:val="22"/>
          <w:szCs w:val="22"/>
        </w:rPr>
        <w:t>la</w:t>
      </w:r>
      <w:r w:rsidRPr="000C6365">
        <w:rPr>
          <w:rFonts w:asciiTheme="majorHAnsi" w:hAnsiTheme="majorHAnsi" w:cstheme="majorHAnsi"/>
          <w:spacing w:val="-4"/>
          <w:sz w:val="22"/>
          <w:szCs w:val="22"/>
        </w:rPr>
        <w:t xml:space="preserve"> </w:t>
      </w:r>
      <w:r w:rsidRPr="000C6365">
        <w:rPr>
          <w:rFonts w:asciiTheme="majorHAnsi" w:hAnsiTheme="majorHAnsi" w:cstheme="majorHAnsi"/>
          <w:spacing w:val="-2"/>
          <w:sz w:val="22"/>
          <w:szCs w:val="22"/>
        </w:rPr>
        <w:t>fecha</w:t>
      </w:r>
    </w:p>
    <w:p w14:paraId="584C1635" w14:textId="77777777" w:rsidR="00134FF2" w:rsidRPr="000C6365" w:rsidRDefault="00134FF2" w:rsidP="00134FF2">
      <w:pPr>
        <w:pStyle w:val="Textoindependiente"/>
        <w:spacing w:before="3"/>
        <w:jc w:val="both"/>
        <w:rPr>
          <w:rFonts w:asciiTheme="majorHAnsi" w:hAnsiTheme="majorHAnsi" w:cstheme="majorHAnsi"/>
          <w:sz w:val="22"/>
          <w:szCs w:val="22"/>
        </w:rPr>
      </w:pPr>
    </w:p>
    <w:p w14:paraId="79FCE62A" w14:textId="218AB93A" w:rsidR="00134FF2" w:rsidRPr="00EA3742" w:rsidRDefault="00EA3742" w:rsidP="00134FF2">
      <w:pPr>
        <w:pStyle w:val="Descripcin"/>
        <w:jc w:val="both"/>
        <w:rPr>
          <w:rFonts w:asciiTheme="majorHAnsi" w:hAnsiTheme="majorHAnsi" w:cstheme="majorHAnsi"/>
          <w:sz w:val="16"/>
          <w:szCs w:val="16"/>
        </w:rPr>
      </w:pPr>
      <w:bookmarkStart w:id="30" w:name="_Toc197961709"/>
      <w:r>
        <w:rPr>
          <w:rFonts w:asciiTheme="majorHAnsi" w:hAnsiTheme="majorHAnsi" w:cstheme="majorHAnsi"/>
          <w:sz w:val="22"/>
          <w:szCs w:val="22"/>
        </w:rPr>
        <w:t xml:space="preserve">       </w:t>
      </w:r>
      <w:r w:rsidRPr="00EA3742">
        <w:rPr>
          <w:rFonts w:asciiTheme="majorHAnsi" w:hAnsiTheme="majorHAnsi" w:cstheme="majorHAnsi"/>
          <w:sz w:val="16"/>
          <w:szCs w:val="16"/>
        </w:rPr>
        <w:t xml:space="preserve"> </w:t>
      </w:r>
      <w:bookmarkEnd w:id="30"/>
    </w:p>
    <w:p w14:paraId="5C994308" w14:textId="77993570" w:rsidR="00A6778F" w:rsidRPr="00A6778F" w:rsidRDefault="00A6778F" w:rsidP="00A6778F">
      <w:pPr>
        <w:pStyle w:val="Descripcin"/>
        <w:rPr>
          <w:rFonts w:asciiTheme="majorHAnsi" w:hAnsiTheme="majorHAnsi" w:cstheme="majorHAnsi"/>
        </w:rPr>
      </w:pPr>
      <w:bookmarkStart w:id="31" w:name="_Toc199757544"/>
      <w:r w:rsidRPr="00A6778F">
        <w:rPr>
          <w:rFonts w:asciiTheme="majorHAnsi" w:hAnsiTheme="majorHAnsi" w:cstheme="majorHAnsi"/>
        </w:rPr>
        <w:t xml:space="preserve">Figura </w:t>
      </w:r>
      <w:r w:rsidRPr="00A6778F">
        <w:rPr>
          <w:rFonts w:asciiTheme="majorHAnsi" w:hAnsiTheme="majorHAnsi" w:cstheme="majorHAnsi"/>
        </w:rPr>
        <w:fldChar w:fldCharType="begin"/>
      </w:r>
      <w:r w:rsidRPr="00A6778F">
        <w:rPr>
          <w:rFonts w:asciiTheme="majorHAnsi" w:hAnsiTheme="majorHAnsi" w:cstheme="majorHAnsi"/>
        </w:rPr>
        <w:instrText xml:space="preserve"> SEQ Figura \* ARABIC </w:instrText>
      </w:r>
      <w:r w:rsidRPr="00A6778F">
        <w:rPr>
          <w:rFonts w:asciiTheme="majorHAnsi" w:hAnsiTheme="majorHAnsi" w:cstheme="majorHAnsi"/>
        </w:rPr>
        <w:fldChar w:fldCharType="separate"/>
      </w:r>
      <w:r w:rsidR="001E01AE">
        <w:rPr>
          <w:rFonts w:asciiTheme="majorHAnsi" w:hAnsiTheme="majorHAnsi" w:cstheme="majorHAnsi"/>
          <w:noProof/>
        </w:rPr>
        <w:t>1</w:t>
      </w:r>
      <w:r w:rsidRPr="00A6778F">
        <w:rPr>
          <w:rFonts w:asciiTheme="majorHAnsi" w:hAnsiTheme="majorHAnsi" w:cstheme="majorHAnsi"/>
        </w:rPr>
        <w:fldChar w:fldCharType="end"/>
      </w:r>
      <w:r w:rsidR="00276D61">
        <w:rPr>
          <w:rFonts w:asciiTheme="majorHAnsi" w:hAnsiTheme="majorHAnsi" w:cstheme="majorHAnsi"/>
        </w:rPr>
        <w:t>:</w:t>
      </w:r>
      <w:r w:rsidR="0016337C">
        <w:rPr>
          <w:rFonts w:asciiTheme="majorHAnsi" w:hAnsiTheme="majorHAnsi" w:cstheme="majorHAnsi"/>
        </w:rPr>
        <w:t xml:space="preserve"> </w:t>
      </w:r>
      <w:r w:rsidRPr="00A6778F">
        <w:rPr>
          <w:rFonts w:asciiTheme="majorHAnsi" w:hAnsiTheme="majorHAnsi" w:cstheme="majorHAnsi"/>
        </w:rPr>
        <w:t>Procesos de contratación pública</w:t>
      </w:r>
      <w:bookmarkEnd w:id="31"/>
    </w:p>
    <w:p w14:paraId="7616D436" w14:textId="77777777" w:rsidR="00134FF2" w:rsidRPr="000C6365" w:rsidRDefault="00134FF2" w:rsidP="004214C1">
      <w:pPr>
        <w:pStyle w:val="Textoindependiente"/>
        <w:spacing w:before="3"/>
        <w:jc w:val="center"/>
        <w:rPr>
          <w:rFonts w:asciiTheme="majorHAnsi" w:hAnsiTheme="majorHAnsi" w:cstheme="majorHAnsi"/>
          <w:sz w:val="22"/>
          <w:szCs w:val="22"/>
        </w:rPr>
      </w:pPr>
      <w:r w:rsidRPr="000C6365">
        <w:rPr>
          <w:rFonts w:asciiTheme="majorHAnsi" w:hAnsiTheme="majorHAnsi" w:cstheme="majorHAnsi"/>
          <w:noProof/>
          <w:sz w:val="22"/>
          <w:szCs w:val="22"/>
        </w:rPr>
        <w:drawing>
          <wp:inline distT="0" distB="0" distL="0" distR="0" wp14:anchorId="4A310679" wp14:editId="24886133">
            <wp:extent cx="4654550" cy="2044700"/>
            <wp:effectExtent l="0" t="0" r="12700" b="12700"/>
            <wp:docPr id="473" name="Gráfico 4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61563B" w14:textId="1F05A26B" w:rsidR="00D922D9" w:rsidRPr="00910BEC" w:rsidRDefault="004214C1" w:rsidP="00910BEC">
      <w:pPr>
        <w:jc w:val="both"/>
        <w:rPr>
          <w:rFonts w:asciiTheme="majorHAnsi" w:eastAsia="Aptos" w:hAnsiTheme="majorHAnsi" w:cstheme="majorHAnsi"/>
          <w:i/>
          <w:color w:val="7F7F7F"/>
          <w:sz w:val="16"/>
          <w:szCs w:val="16"/>
        </w:rPr>
      </w:pPr>
      <w:r>
        <w:rPr>
          <w:rFonts w:asciiTheme="majorHAnsi" w:eastAsia="Aptos" w:hAnsiTheme="majorHAnsi" w:cstheme="majorHAnsi"/>
          <w:color w:val="7F7F7F"/>
          <w:sz w:val="22"/>
          <w:szCs w:val="22"/>
        </w:rPr>
        <w:t xml:space="preserve">         </w:t>
      </w:r>
      <w:r w:rsidR="00134FF2" w:rsidRPr="00D922D9">
        <w:rPr>
          <w:rFonts w:asciiTheme="majorHAnsi" w:eastAsia="Aptos" w:hAnsiTheme="majorHAnsi" w:cstheme="majorHAnsi"/>
          <w:i/>
          <w:color w:val="7F7F7F"/>
          <w:sz w:val="16"/>
          <w:szCs w:val="16"/>
        </w:rPr>
        <w:t>Fuente: Gestión de Adquisiciones y Compras Públicas</w:t>
      </w:r>
    </w:p>
    <w:p w14:paraId="641DC89F" w14:textId="346B6B0A" w:rsidR="00001CA3" w:rsidRDefault="00001CA3" w:rsidP="00C751F5">
      <w:pPr>
        <w:pStyle w:val="Ttulo2"/>
        <w:rPr>
          <w:sz w:val="24"/>
          <w:szCs w:val="24"/>
        </w:rPr>
      </w:pPr>
      <w:bookmarkStart w:id="32" w:name="_Toc196485209"/>
    </w:p>
    <w:p w14:paraId="17F63208" w14:textId="5AEA16C0" w:rsidR="00467BB4" w:rsidRDefault="00467BB4" w:rsidP="00467BB4"/>
    <w:p w14:paraId="6177A647" w14:textId="26AA9F12" w:rsidR="00467BB4" w:rsidRDefault="00467BB4" w:rsidP="00467BB4"/>
    <w:p w14:paraId="7AA54EC7" w14:textId="77777777" w:rsidR="00467BB4" w:rsidRPr="00467BB4" w:rsidRDefault="00467BB4" w:rsidP="00467BB4"/>
    <w:p w14:paraId="4274B2C4" w14:textId="55A2DDA4" w:rsidR="00134FF2" w:rsidRPr="00467BB4" w:rsidRDefault="00E55F64" w:rsidP="00467BB4">
      <w:pPr>
        <w:pStyle w:val="Ttulo1"/>
        <w:rPr>
          <w:sz w:val="24"/>
          <w:szCs w:val="24"/>
        </w:rPr>
      </w:pPr>
      <w:bookmarkStart w:id="33" w:name="_Toc199759550"/>
      <w:r w:rsidRPr="00467BB4">
        <w:rPr>
          <w:sz w:val="24"/>
          <w:szCs w:val="24"/>
        </w:rPr>
        <w:t>Gestión de Asuntos Internacionales</w:t>
      </w:r>
      <w:bookmarkEnd w:id="32"/>
      <w:bookmarkEnd w:id="33"/>
    </w:p>
    <w:p w14:paraId="2E51F085" w14:textId="77777777" w:rsidR="00C751F5" w:rsidRPr="00C751F5" w:rsidRDefault="00C751F5" w:rsidP="00C751F5"/>
    <w:p w14:paraId="11FADABA" w14:textId="123338D0" w:rsidR="00134FF2" w:rsidRPr="00595C27" w:rsidRDefault="00595C27" w:rsidP="00E55F64">
      <w:pPr>
        <w:pStyle w:val="Ttulo3"/>
      </w:pPr>
      <w:bookmarkStart w:id="34" w:name="_Toc199759551"/>
      <w:r w:rsidRPr="00595C27">
        <w:t>C</w:t>
      </w:r>
      <w:r w:rsidR="00134FF2" w:rsidRPr="00595C27">
        <w:t xml:space="preserve">ooperación y </w:t>
      </w:r>
      <w:r w:rsidR="00E55F64">
        <w:t>A</w:t>
      </w:r>
      <w:r w:rsidR="00134FF2" w:rsidRPr="00595C27">
        <w:t xml:space="preserve">sistencia </w:t>
      </w:r>
      <w:r w:rsidR="00E55F64">
        <w:t>T</w:t>
      </w:r>
      <w:r w:rsidR="00134FF2" w:rsidRPr="00595C27">
        <w:t>écnica.</w:t>
      </w:r>
      <w:bookmarkEnd w:id="34"/>
    </w:p>
    <w:p w14:paraId="5FA5DD06"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 xml:space="preserve">Durante el año 2024, se concretaron gestiones coordinadas con las áreas técnicas correspondientes, con el propósito de obtener los documentos habilitantes necesarios para la suscripción de instrumentos internacionales en materia de energía. Estos esfuerzos permitieron avanzar en el fortalecimiento de la cooperación y la asistencia mutua con actores clave del ámbito internacional, en beneficio del desarrollo energético del país. </w:t>
      </w:r>
    </w:p>
    <w:p w14:paraId="0CB913C5" w14:textId="4DDFF436" w:rsidR="00134FF2" w:rsidRPr="001B48F6" w:rsidRDefault="00134FF2" w:rsidP="00E55F64">
      <w:pPr>
        <w:pStyle w:val="Ttulo3"/>
      </w:pPr>
      <w:bookmarkStart w:id="35" w:name="_Toc199759552"/>
      <w:r w:rsidRPr="001B48F6">
        <w:lastRenderedPageBreak/>
        <w:t>Gestión con Organismos Internacionales.</w:t>
      </w:r>
      <w:bookmarkEnd w:id="35"/>
    </w:p>
    <w:p w14:paraId="14813281" w14:textId="0149A88D" w:rsidR="00186095"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 xml:space="preserve">Como parte del fortalecimiento de la gestión de asistencia técnica, esta cartera de Estado, con el respaldo del Programa de las Naciones Unidas para el Desarrollo (PNUD), la Comisión Económica para América Latina y el Caribe (CEPAL) y la Organización de las Naciones Unidas para el Desarrollo Industrial (ONUDI), impulsó durante el año 2024 el desarrollo de diversos proyectos estratégicos. Estas iniciativas contribuyen al avance técnico e institucional del sector energético, en beneficio directo del país. </w:t>
      </w:r>
    </w:p>
    <w:p w14:paraId="0A68E0B9"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A continuación, se detallan los proyectos ejecutados:</w:t>
      </w:r>
    </w:p>
    <w:p w14:paraId="7481E029" w14:textId="77777777" w:rsidR="00134FF2" w:rsidRPr="001201F5" w:rsidRDefault="00134FF2" w:rsidP="00134FF2">
      <w:pPr>
        <w:spacing w:before="240" w:after="240"/>
        <w:jc w:val="both"/>
        <w:rPr>
          <w:rFonts w:asciiTheme="majorHAnsi" w:hAnsiTheme="majorHAnsi" w:cstheme="majorHAnsi"/>
          <w:b/>
          <w:sz w:val="22"/>
        </w:rPr>
      </w:pPr>
      <w:r w:rsidRPr="001201F5">
        <w:rPr>
          <w:rFonts w:asciiTheme="majorHAnsi" w:hAnsiTheme="majorHAnsi" w:cstheme="majorHAnsi"/>
          <w:b/>
          <w:sz w:val="22"/>
        </w:rPr>
        <w:t>PNUD - Programa Nacional para la Gestión Ambientalmente Racional y la Gestión del Ciclo de vida de Sustancias Químicas (PNGQ)</w:t>
      </w:r>
    </w:p>
    <w:p w14:paraId="3581859F"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Este programa es implementado por el PNUD, junto con el Ministerio del Ambiente, Agua y Transición Ecológica (MAATE) como socio implementador y el Ministerio de Energía y Minas (MEM) como parte responsable. El objetivo de este proyecto es proteger la salud humana y el medio ambiente del impacto de químicos nocivos, en particular de Contaminantes Orgánicos Persistentes (</w:t>
      </w:r>
      <w:proofErr w:type="spellStart"/>
      <w:r w:rsidRPr="001B48F6">
        <w:rPr>
          <w:rFonts w:asciiTheme="majorHAnsi" w:hAnsiTheme="majorHAnsi" w:cstheme="majorHAnsi"/>
          <w:sz w:val="22"/>
        </w:rPr>
        <w:t>COPs</w:t>
      </w:r>
      <w:proofErr w:type="spellEnd"/>
      <w:r w:rsidRPr="001B48F6">
        <w:rPr>
          <w:rFonts w:asciiTheme="majorHAnsi" w:hAnsiTheme="majorHAnsi" w:cstheme="majorHAnsi"/>
          <w:sz w:val="22"/>
        </w:rPr>
        <w:t xml:space="preserve">) y mercurio (Hg). </w:t>
      </w:r>
    </w:p>
    <w:p w14:paraId="44F00100"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El PNGQ tuvo como objetivo proteger la salud humana y el medio ambiente mediante un enfoque integral en la gestión de sustancias químicas a lo largo de su ciclo de vida. Se centró en las provincias de Azuay, El Oro y Zamora-Chinchipe, las cuales fueron seleccionadas por su importancia en el desarrollo de la minería artesanal y de pequeña escala (MAPE) y por la necesidad de implementar acciones que fomentaran prácticas mineras más sostenibles y responsables.</w:t>
      </w:r>
    </w:p>
    <w:p w14:paraId="4663277B" w14:textId="77777777" w:rsidR="00134FF2" w:rsidRPr="001201F5" w:rsidRDefault="00134FF2" w:rsidP="00134FF2">
      <w:pPr>
        <w:spacing w:before="240" w:after="240"/>
        <w:jc w:val="both"/>
        <w:rPr>
          <w:rFonts w:asciiTheme="majorHAnsi" w:hAnsiTheme="majorHAnsi" w:cstheme="majorHAnsi"/>
          <w:b/>
          <w:sz w:val="22"/>
        </w:rPr>
      </w:pPr>
      <w:r w:rsidRPr="001201F5">
        <w:rPr>
          <w:rFonts w:asciiTheme="majorHAnsi" w:hAnsiTheme="majorHAnsi" w:cstheme="majorHAnsi"/>
          <w:b/>
          <w:sz w:val="22"/>
        </w:rPr>
        <w:t>PNUD - GOLD+</w:t>
      </w:r>
    </w:p>
    <w:p w14:paraId="64EE624A"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 xml:space="preserve">Este proyecto forma parte del programa mundial </w:t>
      </w:r>
      <w:proofErr w:type="spellStart"/>
      <w:r w:rsidRPr="001B48F6">
        <w:rPr>
          <w:rFonts w:asciiTheme="majorHAnsi" w:hAnsiTheme="majorHAnsi" w:cstheme="majorHAnsi"/>
          <w:sz w:val="22"/>
        </w:rPr>
        <w:t>PlanetGold</w:t>
      </w:r>
      <w:proofErr w:type="spellEnd"/>
      <w:r w:rsidRPr="001B48F6">
        <w:rPr>
          <w:rFonts w:asciiTheme="majorHAnsi" w:hAnsiTheme="majorHAnsi" w:cstheme="majorHAnsi"/>
          <w:sz w:val="22"/>
        </w:rPr>
        <w:t xml:space="preserve"> y busca facilitar el acceso a mineros de la MAPE a cadenas formales de suministro de oro, así como apoyar las acciones que realiza el gobierno para prevenir el uso de Hg en este sector, mediante la búsqueda de alternativas técnica y económicamente viables. </w:t>
      </w:r>
    </w:p>
    <w:p w14:paraId="283D8B19"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El Ministerio de Ambiente, Agua y Transición Ecológica (MAATE) y el Ministerio de Energía y Minas (MEM), con el apoyo del PNUD, participan en la iniciativa mundial "GOLD+ en el sector minero", financiada por el Fondo para el Medio Ambiente Mundial (GEF). Este proyecto, alineado con el Convenio de Minamata, busca reducir el uso de mercurio en la minería artesanal y de pequeña escala (MAPE) de oro para proteger la salud y el ambiente en Ecuador.</w:t>
      </w:r>
    </w:p>
    <w:p w14:paraId="5C0E0C3B"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El proyecto GOLD+ en Ecuador busca reducir 10 toneladas de mercurio en la minería artesanal y pequeña escala (MAPE) y mejorar sus condiciones ambientales, técnicas y económicas, con un enfoque de género y Derechos Humanos. Este programa de cinco años busca incrementar la formalización del sector, aumentar los ingresos de los mineros mediante cadenas de valor responsables, reducir el uso de mercurio con tecnologías alternativas y fomentar el intercambio de conocimientos para la sostenibilidad y protección de la salud pública y el ambiente. Al momento el proyecto se encuentra en proceso de socialización en los sectores de implementación del mismo.</w:t>
      </w:r>
    </w:p>
    <w:p w14:paraId="21F81E95" w14:textId="77777777" w:rsidR="00134FF2" w:rsidRPr="001201F5" w:rsidRDefault="00134FF2" w:rsidP="00134FF2">
      <w:pPr>
        <w:spacing w:before="240" w:after="240"/>
        <w:jc w:val="both"/>
        <w:rPr>
          <w:rFonts w:asciiTheme="majorHAnsi" w:hAnsiTheme="majorHAnsi" w:cstheme="majorHAnsi"/>
          <w:b/>
          <w:sz w:val="22"/>
        </w:rPr>
      </w:pPr>
      <w:r w:rsidRPr="001201F5">
        <w:rPr>
          <w:rFonts w:asciiTheme="majorHAnsi" w:hAnsiTheme="majorHAnsi" w:cstheme="majorHAnsi"/>
          <w:b/>
          <w:sz w:val="22"/>
        </w:rPr>
        <w:t>CEPAL – Programa MINSUS</w:t>
      </w:r>
    </w:p>
    <w:p w14:paraId="7F9D6CE7" w14:textId="01D3E339" w:rsidR="00186095"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lastRenderedPageBreak/>
        <w:t>Con el objeto de impulsar y promover una minería sustentable, responsable con el ambiente y económicamente beneficiosa para el país, se desarrolló la Cooperación y Asistencia Técnica no reembolsable con la Comisión Económica para América Latina y el Caribe (CEPAL), bajo el Programa MINSUS de la Cooperación Internacional Alemana, obteniéndose los siguientes resultados: Estudio de factibilidad para implementar propuesta de indicadores de sostenibilidad para la minería metálica, caso Ecuador; Estudio de situación actual de la minería artesanal y pequeña escala en Ecuador,  Asistencia Técnica de Cierre de Minas para mejorar lineamientos de política y normativa.</w:t>
      </w:r>
    </w:p>
    <w:p w14:paraId="6A273393" w14:textId="77777777" w:rsidR="00134FF2" w:rsidRPr="001201F5" w:rsidRDefault="00134FF2" w:rsidP="00134FF2">
      <w:pPr>
        <w:spacing w:before="240" w:after="240"/>
        <w:jc w:val="both"/>
        <w:rPr>
          <w:rFonts w:asciiTheme="majorHAnsi" w:hAnsiTheme="majorHAnsi" w:cstheme="majorHAnsi"/>
          <w:b/>
          <w:sz w:val="22"/>
        </w:rPr>
      </w:pPr>
      <w:r w:rsidRPr="001201F5">
        <w:rPr>
          <w:rFonts w:asciiTheme="majorHAnsi" w:hAnsiTheme="majorHAnsi" w:cstheme="majorHAnsi"/>
          <w:b/>
          <w:sz w:val="22"/>
        </w:rPr>
        <w:t xml:space="preserve">ONUDI - Programa Global de Hidrógeno Verde </w:t>
      </w:r>
    </w:p>
    <w:p w14:paraId="7CF28CCE"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El 12 de abril de 2024, en reunión mantenida entre representantes de ONUDI, GEF, Viceministerio de Electricidad, Cámara Ecuatoriano Alemana y MAATE se conoció la aprobación de la nota de concepto del Programa Global de Hidrógeno Verde por parte del GEF. El financiamiento aprobado, corresponde a un presupuesto total de un millón de dólares, cofinanciamiento total: de 9’699. 000USD y un plazo de 60 meses para su ejecución. Una vez que se concluyó la elaboración del perfil del programa y que se mantuvieron las correspondientes reuniones de seguimiento, se espera que ONUDI remita los planes y paquetes de adquisiciones, gestionen la producción de entregables y actividades de consultoría.</w:t>
      </w:r>
    </w:p>
    <w:p w14:paraId="3E814951" w14:textId="5567E6A2" w:rsidR="00001CA3"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De igual forma, durante el período 2024, en colaboración con las siguientes agencias internacionales de cooperación, se llevaron a cabo las siguientes asistencias técnicas no reembolsables:</w:t>
      </w:r>
    </w:p>
    <w:p w14:paraId="199A065A" w14:textId="77777777" w:rsidR="00134FF2" w:rsidRPr="001201F5" w:rsidRDefault="00134FF2" w:rsidP="00134FF2">
      <w:pPr>
        <w:spacing w:before="240" w:after="240"/>
        <w:jc w:val="both"/>
        <w:rPr>
          <w:rFonts w:asciiTheme="majorHAnsi" w:hAnsiTheme="majorHAnsi" w:cstheme="majorHAnsi"/>
          <w:b/>
          <w:sz w:val="22"/>
        </w:rPr>
      </w:pPr>
      <w:r w:rsidRPr="001201F5">
        <w:rPr>
          <w:rFonts w:asciiTheme="majorHAnsi" w:hAnsiTheme="majorHAnsi" w:cstheme="majorHAnsi"/>
          <w:b/>
          <w:sz w:val="22"/>
        </w:rPr>
        <w:t>USAID - Proyecto ESE</w:t>
      </w:r>
    </w:p>
    <w:p w14:paraId="44F25781"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Se brindó asistencia técnica al Viceministerio de Electricidad y Energía Renovable, a través del proyecto “Energía Sostenible para el Ecuador – ESE” cuyo objetivo es el de ayudar a los países socios, a través de acelerar su transición hacia el uso de energía sostenible que estimule el crecimiento económico y reduzca las emisiones. La implementación de este proyecto, busca mejorar el entorno regulatorio y de políticas del sector energético, fortalecer la capacidad para integrar las tecnologías de energía sostenible y mejorar los sistemas de mercado para las tecnologías de energía sostenible.</w:t>
      </w:r>
    </w:p>
    <w:p w14:paraId="2013C8D3"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El proyecto ESE (Energía Sostenible para Ecuador), concluyó su ejecución en diciembre de 2024, cumpliéndose los objetivos planteados para mejorar el entorno regulatorio y de políticas del sector energético, fortalecer la capacidad para integrar las tecnologías de energía sostenible y mejorar los sistemas de mercado para las tecnologías de energía sostenible.</w:t>
      </w:r>
    </w:p>
    <w:p w14:paraId="320C0991" w14:textId="77777777" w:rsidR="00134FF2" w:rsidRPr="001201F5" w:rsidRDefault="00134FF2" w:rsidP="00134FF2">
      <w:pPr>
        <w:spacing w:before="240" w:after="240"/>
        <w:jc w:val="both"/>
        <w:rPr>
          <w:rFonts w:asciiTheme="majorHAnsi" w:hAnsiTheme="majorHAnsi" w:cstheme="majorHAnsi"/>
          <w:b/>
          <w:sz w:val="22"/>
        </w:rPr>
      </w:pPr>
      <w:r w:rsidRPr="001201F5">
        <w:rPr>
          <w:rFonts w:asciiTheme="majorHAnsi" w:hAnsiTheme="majorHAnsi" w:cstheme="majorHAnsi"/>
          <w:b/>
          <w:sz w:val="22"/>
        </w:rPr>
        <w:t>JICA - Hoja de Ruta para el Proyecto “Cero combustibles fósiles en las Islas Galápagos”.</w:t>
      </w:r>
    </w:p>
    <w:p w14:paraId="12D7BB06"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El 3 de agosto de 2023 la Agencia de Cooperación Internacional del Japón y Ministerio de Energía y Minas suscribieron el Registro de Discusiones, documento para dar inicio a la ejecución de la Hoja de Ruta para el Proyecto “Cero combustibles fósiles en las Islas Galápagos. El proyecto tiene un plazo de ejecución de 36 meses.</w:t>
      </w:r>
    </w:p>
    <w:p w14:paraId="792E8342"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El proyecto tiene 4 componentes: 1) Geotermia para planificación, 2) Sistema Híbrido de generación de energía optimizada, 3) Eficiencia Energética para Galápagos, mediante la revisión Sistemas de Gestión de Demanda (DMS) existentes y propuesta y, 4) Eficiencia Energética a escala nacional, contempla la revisión de las tendencias globales y la situación actual de Ecuador, análisis de prioridades y elaboración de una hoja de ruta para la conservación de la energía.</w:t>
      </w:r>
    </w:p>
    <w:p w14:paraId="086E7005"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lastRenderedPageBreak/>
        <w:t xml:space="preserve">Al finalizar el período 2024, se presentaron los siguientes resultados: borrador final del Convenio Marco de Cooperación Interinstitucional entre el Ministerio de Energía y Minas, la Dirección del Parque Nacional Galápagos y la Empresa Eléctrica Provincial de Galápagos; Donación de equipos menores por parte de JICA para </w:t>
      </w:r>
      <w:proofErr w:type="spellStart"/>
      <w:r w:rsidRPr="001B48F6">
        <w:rPr>
          <w:rFonts w:asciiTheme="majorHAnsi" w:hAnsiTheme="majorHAnsi" w:cstheme="majorHAnsi"/>
          <w:sz w:val="22"/>
        </w:rPr>
        <w:t>Elecgalápagos</w:t>
      </w:r>
      <w:proofErr w:type="spellEnd"/>
      <w:r w:rsidRPr="001B48F6">
        <w:rPr>
          <w:rFonts w:asciiTheme="majorHAnsi" w:hAnsiTheme="majorHAnsi" w:cstheme="majorHAnsi"/>
          <w:sz w:val="22"/>
        </w:rPr>
        <w:t>, que se llevará a cabo durante el primer trimestre del año 2025; se mantuvieron reuniones de coordinación para la implementación del Piloto de Aire Acondicionado Desecante en la Agencia Santa Cruz, finalmente el 15 de octubre de 2024 se realizó una reunión virtual con los expertos de JICA para definir la locación de proyecto piloto para la instalación de la bomba de calor. Se seleccionó a la Universidad San Francisco de Quito USFQ como el lugar indicado para la instalación de la bomba de calor y se suscribió un acuerdo de entendimiento para la primera fase entre JICA y USFQ.</w:t>
      </w:r>
    </w:p>
    <w:p w14:paraId="0FCC18CE" w14:textId="77777777" w:rsidR="00134FF2" w:rsidRPr="001201F5" w:rsidRDefault="00134FF2" w:rsidP="00134FF2">
      <w:pPr>
        <w:spacing w:before="240" w:after="240"/>
        <w:jc w:val="both"/>
        <w:rPr>
          <w:rFonts w:asciiTheme="majorHAnsi" w:hAnsiTheme="majorHAnsi" w:cstheme="majorHAnsi"/>
          <w:b/>
          <w:sz w:val="22"/>
        </w:rPr>
      </w:pPr>
      <w:r w:rsidRPr="001201F5">
        <w:rPr>
          <w:rFonts w:asciiTheme="majorHAnsi" w:hAnsiTheme="majorHAnsi" w:cstheme="majorHAnsi"/>
          <w:b/>
          <w:sz w:val="22"/>
        </w:rPr>
        <w:t>KfW Banco de Desarrollo Alemán – Proyecto Sistema Híbrido Isabela</w:t>
      </w:r>
    </w:p>
    <w:p w14:paraId="23E05807"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La Planta Híbrida Isabela se encuentra operando desde el año 2018, hasta la fecha, generando aproximadamente 41GWh de energía, logrando una reducción de alrededor de 1.200 toneladas anuales de CO2 en las emisiones hacia la atmosfera, y la Central Fotovoltaica ha permitido un ahorro de 90.000 galones de diésel.</w:t>
      </w:r>
    </w:p>
    <w:p w14:paraId="709DB911"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 xml:space="preserve">La II Fase del Proyecto, consiste en la ampliación de la Planta </w:t>
      </w:r>
      <w:proofErr w:type="spellStart"/>
      <w:r w:rsidRPr="001B48F6">
        <w:rPr>
          <w:rFonts w:asciiTheme="majorHAnsi" w:hAnsiTheme="majorHAnsi" w:cstheme="majorHAnsi"/>
          <w:sz w:val="22"/>
        </w:rPr>
        <w:t>Fotovoltáica</w:t>
      </w:r>
      <w:proofErr w:type="spellEnd"/>
      <w:r w:rsidRPr="001B48F6">
        <w:rPr>
          <w:rFonts w:asciiTheme="majorHAnsi" w:hAnsiTheme="majorHAnsi" w:cstheme="majorHAnsi"/>
          <w:sz w:val="22"/>
        </w:rPr>
        <w:t>, su costo es de USD 5, 4 millones, financiados con recursos de no reembolsables del KfW. Al finalizar el mes de diciembre de 2024, presentó un avance de ejecución física estimado del 13%.</w:t>
      </w:r>
    </w:p>
    <w:p w14:paraId="6DD1A7AD"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En la fase II se considera adicionalmente la suscripción de dos contratos para la ejecución de la ampliación de la Central Híbrida y su integración al actual sistema de control, lo que requerirá la realización de dos procesos licitatorios bajo la normativa del KfW; el presupuesto disponible para estos procesos es de USD 4,2 millones, financiados con recursos de no reembolsables del KfW.</w:t>
      </w:r>
    </w:p>
    <w:p w14:paraId="1F1A8445"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En el marco del desarrollo de proyectos de financiados con asistencia técnica, se ha contado también con el apoyo de organismos multilaterales de financiamiento como los siguientes:</w:t>
      </w:r>
    </w:p>
    <w:p w14:paraId="57511E9C" w14:textId="77777777" w:rsidR="00134FF2" w:rsidRPr="001201F5" w:rsidRDefault="00134FF2" w:rsidP="00134FF2">
      <w:pPr>
        <w:spacing w:before="240" w:after="240"/>
        <w:jc w:val="both"/>
        <w:rPr>
          <w:rFonts w:asciiTheme="majorHAnsi" w:hAnsiTheme="majorHAnsi" w:cstheme="majorHAnsi"/>
          <w:b/>
          <w:sz w:val="22"/>
        </w:rPr>
      </w:pPr>
      <w:r w:rsidRPr="001201F5">
        <w:rPr>
          <w:rFonts w:asciiTheme="majorHAnsi" w:hAnsiTheme="majorHAnsi" w:cstheme="majorHAnsi"/>
          <w:b/>
          <w:sz w:val="22"/>
        </w:rPr>
        <w:t>Banco Mundial – Asistencia Técnica para la creación del Fondo Nacional de Inversión de Eficiencia Energética (FNIEE)</w:t>
      </w:r>
    </w:p>
    <w:p w14:paraId="5E1034D1"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La Ley Orgánica de Competitividad Energética (LOCE), publicada el 11 de enero de 2024 en el Registro Oficial Nro. 475, Segundo Suplemento, contiene el artículo 26 que sustituye el artículo 21 de la LOEE y con el cual se crea el “Fondo Nacional de Inversión de Eficiencia Energética (FNIEE)”. Se especifica que el fondo estará adscrito o será administrado por el ente rector en materia de eficiencia energética, es decir el Ministerio de Energía y Minas, quien priorizará los proyectos que deban ser financiados en coordinación con la Secretaría Nacional de Planificación.</w:t>
      </w:r>
    </w:p>
    <w:p w14:paraId="2EC71037"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 xml:space="preserve"> Con el fin de dar viabilidad al FNIEE, en el marco de la cooperación entre el Gobierno del Ecuador (</w:t>
      </w:r>
      <w:proofErr w:type="spellStart"/>
      <w:r w:rsidRPr="001B48F6">
        <w:rPr>
          <w:rFonts w:asciiTheme="majorHAnsi" w:hAnsiTheme="majorHAnsi" w:cstheme="majorHAnsi"/>
          <w:sz w:val="22"/>
        </w:rPr>
        <w:t>GdE</w:t>
      </w:r>
      <w:proofErr w:type="spellEnd"/>
      <w:r w:rsidRPr="001B48F6">
        <w:rPr>
          <w:rFonts w:asciiTheme="majorHAnsi" w:hAnsiTheme="majorHAnsi" w:cstheme="majorHAnsi"/>
          <w:sz w:val="22"/>
        </w:rPr>
        <w:t>) y el Banco Mundial (BM), se solicitó apoyo para el diseño de un esquema operativo y financiero para el funcionamiento del FNIEE, incluyendo la identificación y diseño de los mecanismos para canalizar los recursos destinados a los programas y proyectos de eficiencia energética tanto de fuentes nacionales e internacionales y de origen público o privado. Las propuestas deberán incluir también, los mecanismos y herramientas expeditos para proveer los recursos a los proponentes con el fin de lograr una reducción de consumo de energía eléctrica sostenida en el país.</w:t>
      </w:r>
    </w:p>
    <w:p w14:paraId="25C5E31A"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 xml:space="preserve">Durante el período 2024, se ejecutó la consultoría para diseñar un esquema operativo y financiero para el funcionamiento del “Fondo Nacional de Inversión de Eficiencia Energética (FNIEE)”. Los productos de la consultoría han sido revisados por la mesa técnica de seguimiento </w:t>
      </w:r>
      <w:r w:rsidRPr="001B48F6">
        <w:rPr>
          <w:rFonts w:asciiTheme="majorHAnsi" w:hAnsiTheme="majorHAnsi" w:cstheme="majorHAnsi"/>
          <w:sz w:val="22"/>
        </w:rPr>
        <w:lastRenderedPageBreak/>
        <w:t>conformada por el Comité Nacional de Eficiencia Energética y se encuentran en proceso de aprobación.</w:t>
      </w:r>
    </w:p>
    <w:p w14:paraId="33A61D1C" w14:textId="77777777" w:rsidR="00134FF2" w:rsidRPr="001201F5" w:rsidRDefault="00134FF2" w:rsidP="00134FF2">
      <w:pPr>
        <w:spacing w:before="240" w:after="240"/>
        <w:jc w:val="both"/>
        <w:rPr>
          <w:rFonts w:asciiTheme="majorHAnsi" w:hAnsiTheme="majorHAnsi" w:cstheme="majorHAnsi"/>
          <w:b/>
          <w:sz w:val="22"/>
        </w:rPr>
      </w:pPr>
      <w:r w:rsidRPr="001201F5">
        <w:rPr>
          <w:rFonts w:asciiTheme="majorHAnsi" w:hAnsiTheme="majorHAnsi" w:cstheme="majorHAnsi"/>
          <w:b/>
          <w:sz w:val="22"/>
        </w:rPr>
        <w:t xml:space="preserve">KOICA - </w:t>
      </w:r>
      <w:proofErr w:type="spellStart"/>
      <w:r w:rsidRPr="001201F5">
        <w:rPr>
          <w:rFonts w:asciiTheme="majorHAnsi" w:hAnsiTheme="majorHAnsi" w:cstheme="majorHAnsi"/>
          <w:b/>
          <w:sz w:val="22"/>
        </w:rPr>
        <w:t>Feasibility</w:t>
      </w:r>
      <w:proofErr w:type="spellEnd"/>
      <w:r w:rsidRPr="001201F5">
        <w:rPr>
          <w:rFonts w:asciiTheme="majorHAnsi" w:hAnsiTheme="majorHAnsi" w:cstheme="majorHAnsi"/>
          <w:b/>
          <w:sz w:val="22"/>
        </w:rPr>
        <w:t xml:space="preserve"> </w:t>
      </w:r>
      <w:proofErr w:type="spellStart"/>
      <w:r w:rsidRPr="001201F5">
        <w:rPr>
          <w:rFonts w:asciiTheme="majorHAnsi" w:hAnsiTheme="majorHAnsi" w:cstheme="majorHAnsi"/>
          <w:b/>
          <w:sz w:val="22"/>
        </w:rPr>
        <w:t>Study</w:t>
      </w:r>
      <w:proofErr w:type="spellEnd"/>
      <w:r w:rsidRPr="001201F5">
        <w:rPr>
          <w:rFonts w:asciiTheme="majorHAnsi" w:hAnsiTheme="majorHAnsi" w:cstheme="majorHAnsi"/>
          <w:b/>
          <w:sz w:val="22"/>
        </w:rPr>
        <w:t xml:space="preserve"> - </w:t>
      </w:r>
      <w:proofErr w:type="spellStart"/>
      <w:r w:rsidRPr="001201F5">
        <w:rPr>
          <w:rFonts w:asciiTheme="majorHAnsi" w:hAnsiTheme="majorHAnsi" w:cstheme="majorHAnsi"/>
          <w:b/>
          <w:sz w:val="22"/>
        </w:rPr>
        <w:t>Improving</w:t>
      </w:r>
      <w:proofErr w:type="spellEnd"/>
      <w:r w:rsidRPr="001201F5">
        <w:rPr>
          <w:rFonts w:asciiTheme="majorHAnsi" w:hAnsiTheme="majorHAnsi" w:cstheme="majorHAnsi"/>
          <w:b/>
          <w:sz w:val="22"/>
        </w:rPr>
        <w:t xml:space="preserve"> </w:t>
      </w:r>
      <w:proofErr w:type="spellStart"/>
      <w:r w:rsidRPr="001201F5">
        <w:rPr>
          <w:rFonts w:asciiTheme="majorHAnsi" w:hAnsiTheme="majorHAnsi" w:cstheme="majorHAnsi"/>
          <w:b/>
          <w:sz w:val="22"/>
        </w:rPr>
        <w:t>mining</w:t>
      </w:r>
      <w:proofErr w:type="spellEnd"/>
      <w:r w:rsidRPr="001201F5">
        <w:rPr>
          <w:rFonts w:asciiTheme="majorHAnsi" w:hAnsiTheme="majorHAnsi" w:cstheme="majorHAnsi"/>
          <w:b/>
          <w:sz w:val="22"/>
        </w:rPr>
        <w:t xml:space="preserve"> </w:t>
      </w:r>
      <w:proofErr w:type="spellStart"/>
      <w:r w:rsidRPr="001201F5">
        <w:rPr>
          <w:rFonts w:asciiTheme="majorHAnsi" w:hAnsiTheme="majorHAnsi" w:cstheme="majorHAnsi"/>
          <w:b/>
          <w:sz w:val="22"/>
        </w:rPr>
        <w:t>policy</w:t>
      </w:r>
      <w:proofErr w:type="spellEnd"/>
      <w:r w:rsidRPr="001201F5">
        <w:rPr>
          <w:rFonts w:asciiTheme="majorHAnsi" w:hAnsiTheme="majorHAnsi" w:cstheme="majorHAnsi"/>
          <w:b/>
          <w:sz w:val="22"/>
        </w:rPr>
        <w:t xml:space="preserve"> and </w:t>
      </w:r>
      <w:proofErr w:type="spellStart"/>
      <w:r w:rsidRPr="001201F5">
        <w:rPr>
          <w:rFonts w:asciiTheme="majorHAnsi" w:hAnsiTheme="majorHAnsi" w:cstheme="majorHAnsi"/>
          <w:b/>
          <w:sz w:val="22"/>
        </w:rPr>
        <w:t>technical</w:t>
      </w:r>
      <w:proofErr w:type="spellEnd"/>
      <w:r w:rsidRPr="001201F5">
        <w:rPr>
          <w:rFonts w:asciiTheme="majorHAnsi" w:hAnsiTheme="majorHAnsi" w:cstheme="majorHAnsi"/>
          <w:b/>
          <w:sz w:val="22"/>
        </w:rPr>
        <w:t xml:space="preserve"> </w:t>
      </w:r>
      <w:proofErr w:type="spellStart"/>
      <w:r w:rsidRPr="001201F5">
        <w:rPr>
          <w:rFonts w:asciiTheme="majorHAnsi" w:hAnsiTheme="majorHAnsi" w:cstheme="majorHAnsi"/>
          <w:b/>
          <w:sz w:val="22"/>
        </w:rPr>
        <w:t>capacity</w:t>
      </w:r>
      <w:proofErr w:type="spellEnd"/>
      <w:r w:rsidRPr="001201F5">
        <w:rPr>
          <w:rFonts w:asciiTheme="majorHAnsi" w:hAnsiTheme="majorHAnsi" w:cstheme="majorHAnsi"/>
          <w:b/>
          <w:sz w:val="22"/>
        </w:rPr>
        <w:t xml:space="preserve"> </w:t>
      </w:r>
      <w:proofErr w:type="spellStart"/>
      <w:r w:rsidRPr="001201F5">
        <w:rPr>
          <w:rFonts w:asciiTheme="majorHAnsi" w:hAnsiTheme="majorHAnsi" w:cstheme="majorHAnsi"/>
          <w:b/>
          <w:sz w:val="22"/>
        </w:rPr>
        <w:t>for</w:t>
      </w:r>
      <w:proofErr w:type="spellEnd"/>
      <w:r w:rsidRPr="001201F5">
        <w:rPr>
          <w:rFonts w:asciiTheme="majorHAnsi" w:hAnsiTheme="majorHAnsi" w:cstheme="majorHAnsi"/>
          <w:b/>
          <w:sz w:val="22"/>
        </w:rPr>
        <w:t xml:space="preserve"> </w:t>
      </w:r>
      <w:proofErr w:type="spellStart"/>
      <w:r w:rsidRPr="001201F5">
        <w:rPr>
          <w:rFonts w:asciiTheme="majorHAnsi" w:hAnsiTheme="majorHAnsi" w:cstheme="majorHAnsi"/>
          <w:b/>
          <w:sz w:val="22"/>
        </w:rPr>
        <w:t>the</w:t>
      </w:r>
      <w:proofErr w:type="spellEnd"/>
      <w:r w:rsidRPr="001201F5">
        <w:rPr>
          <w:rFonts w:asciiTheme="majorHAnsi" w:hAnsiTheme="majorHAnsi" w:cstheme="majorHAnsi"/>
          <w:b/>
          <w:sz w:val="22"/>
        </w:rPr>
        <w:t xml:space="preserve"> </w:t>
      </w:r>
      <w:proofErr w:type="spellStart"/>
      <w:r w:rsidRPr="001201F5">
        <w:rPr>
          <w:rFonts w:asciiTheme="majorHAnsi" w:hAnsiTheme="majorHAnsi" w:cstheme="majorHAnsi"/>
          <w:b/>
          <w:sz w:val="22"/>
        </w:rPr>
        <w:t>sustainable</w:t>
      </w:r>
      <w:proofErr w:type="spellEnd"/>
      <w:r w:rsidRPr="001201F5">
        <w:rPr>
          <w:rFonts w:asciiTheme="majorHAnsi" w:hAnsiTheme="majorHAnsi" w:cstheme="majorHAnsi"/>
          <w:b/>
          <w:sz w:val="22"/>
        </w:rPr>
        <w:t xml:space="preserve"> </w:t>
      </w:r>
      <w:proofErr w:type="spellStart"/>
      <w:r w:rsidRPr="001201F5">
        <w:rPr>
          <w:rFonts w:asciiTheme="majorHAnsi" w:hAnsiTheme="majorHAnsi" w:cstheme="majorHAnsi"/>
          <w:b/>
          <w:sz w:val="22"/>
        </w:rPr>
        <w:t>growth</w:t>
      </w:r>
      <w:proofErr w:type="spellEnd"/>
      <w:r w:rsidRPr="001201F5">
        <w:rPr>
          <w:rFonts w:asciiTheme="majorHAnsi" w:hAnsiTheme="majorHAnsi" w:cstheme="majorHAnsi"/>
          <w:b/>
          <w:sz w:val="22"/>
        </w:rPr>
        <w:t xml:space="preserve"> </w:t>
      </w:r>
      <w:proofErr w:type="spellStart"/>
      <w:r w:rsidRPr="001201F5">
        <w:rPr>
          <w:rFonts w:asciiTheme="majorHAnsi" w:hAnsiTheme="majorHAnsi" w:cstheme="majorHAnsi"/>
          <w:b/>
          <w:sz w:val="22"/>
        </w:rPr>
        <w:t>of</w:t>
      </w:r>
      <w:proofErr w:type="spellEnd"/>
      <w:r w:rsidRPr="001201F5">
        <w:rPr>
          <w:rFonts w:asciiTheme="majorHAnsi" w:hAnsiTheme="majorHAnsi" w:cstheme="majorHAnsi"/>
          <w:b/>
          <w:sz w:val="22"/>
        </w:rPr>
        <w:t xml:space="preserve"> </w:t>
      </w:r>
      <w:proofErr w:type="spellStart"/>
      <w:r w:rsidRPr="001201F5">
        <w:rPr>
          <w:rFonts w:asciiTheme="majorHAnsi" w:hAnsiTheme="majorHAnsi" w:cstheme="majorHAnsi"/>
          <w:b/>
          <w:sz w:val="22"/>
        </w:rPr>
        <w:t>mining</w:t>
      </w:r>
      <w:proofErr w:type="spellEnd"/>
      <w:r w:rsidRPr="001201F5">
        <w:rPr>
          <w:rFonts w:asciiTheme="majorHAnsi" w:hAnsiTheme="majorHAnsi" w:cstheme="majorHAnsi"/>
          <w:b/>
          <w:sz w:val="22"/>
        </w:rPr>
        <w:t xml:space="preserve"> in Ecuador</w:t>
      </w:r>
    </w:p>
    <w:p w14:paraId="06B78BA6"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 xml:space="preserve">En el mes de diciembre de 2023, el Viceministerio de Minas atendiendo una invitación efectuada por la Agencia de Cooperación Internacional de Corea – KOICA, postuló la Nota Conceptual del proyecto </w:t>
      </w:r>
      <w:proofErr w:type="spellStart"/>
      <w:r w:rsidRPr="001B48F6">
        <w:rPr>
          <w:rFonts w:asciiTheme="majorHAnsi" w:hAnsiTheme="majorHAnsi" w:cstheme="majorHAnsi"/>
          <w:sz w:val="22"/>
        </w:rPr>
        <w:t>Improving</w:t>
      </w:r>
      <w:proofErr w:type="spellEnd"/>
      <w:r w:rsidRPr="001B48F6">
        <w:rPr>
          <w:rFonts w:asciiTheme="majorHAnsi" w:hAnsiTheme="majorHAnsi" w:cstheme="majorHAnsi"/>
          <w:sz w:val="22"/>
        </w:rPr>
        <w:t xml:space="preserve"> </w:t>
      </w:r>
      <w:proofErr w:type="spellStart"/>
      <w:r w:rsidRPr="001B48F6">
        <w:rPr>
          <w:rFonts w:asciiTheme="majorHAnsi" w:hAnsiTheme="majorHAnsi" w:cstheme="majorHAnsi"/>
          <w:sz w:val="22"/>
        </w:rPr>
        <w:t>mining</w:t>
      </w:r>
      <w:proofErr w:type="spellEnd"/>
      <w:r w:rsidRPr="001B48F6">
        <w:rPr>
          <w:rFonts w:asciiTheme="majorHAnsi" w:hAnsiTheme="majorHAnsi" w:cstheme="majorHAnsi"/>
          <w:sz w:val="22"/>
        </w:rPr>
        <w:t xml:space="preserve"> </w:t>
      </w:r>
      <w:proofErr w:type="spellStart"/>
      <w:r w:rsidRPr="001B48F6">
        <w:rPr>
          <w:rFonts w:asciiTheme="majorHAnsi" w:hAnsiTheme="majorHAnsi" w:cstheme="majorHAnsi"/>
          <w:sz w:val="22"/>
        </w:rPr>
        <w:t>policy</w:t>
      </w:r>
      <w:proofErr w:type="spellEnd"/>
      <w:r w:rsidRPr="001B48F6">
        <w:rPr>
          <w:rFonts w:asciiTheme="majorHAnsi" w:hAnsiTheme="majorHAnsi" w:cstheme="majorHAnsi"/>
          <w:sz w:val="22"/>
        </w:rPr>
        <w:t xml:space="preserve"> and </w:t>
      </w:r>
      <w:proofErr w:type="spellStart"/>
      <w:r w:rsidRPr="001B48F6">
        <w:rPr>
          <w:rFonts w:asciiTheme="majorHAnsi" w:hAnsiTheme="majorHAnsi" w:cstheme="majorHAnsi"/>
          <w:sz w:val="22"/>
        </w:rPr>
        <w:t>technical</w:t>
      </w:r>
      <w:proofErr w:type="spellEnd"/>
      <w:r w:rsidRPr="001B48F6">
        <w:rPr>
          <w:rFonts w:asciiTheme="majorHAnsi" w:hAnsiTheme="majorHAnsi" w:cstheme="majorHAnsi"/>
          <w:sz w:val="22"/>
        </w:rPr>
        <w:t xml:space="preserve"> </w:t>
      </w:r>
      <w:proofErr w:type="spellStart"/>
      <w:r w:rsidRPr="001B48F6">
        <w:rPr>
          <w:rFonts w:asciiTheme="majorHAnsi" w:hAnsiTheme="majorHAnsi" w:cstheme="majorHAnsi"/>
          <w:sz w:val="22"/>
        </w:rPr>
        <w:t>capacity</w:t>
      </w:r>
      <w:proofErr w:type="spellEnd"/>
      <w:r w:rsidRPr="001B48F6">
        <w:rPr>
          <w:rFonts w:asciiTheme="majorHAnsi" w:hAnsiTheme="majorHAnsi" w:cstheme="majorHAnsi"/>
          <w:sz w:val="22"/>
        </w:rPr>
        <w:t xml:space="preserve"> </w:t>
      </w:r>
      <w:proofErr w:type="spellStart"/>
      <w:r w:rsidRPr="001B48F6">
        <w:rPr>
          <w:rFonts w:asciiTheme="majorHAnsi" w:hAnsiTheme="majorHAnsi" w:cstheme="majorHAnsi"/>
          <w:sz w:val="22"/>
        </w:rPr>
        <w:t>for</w:t>
      </w:r>
      <w:proofErr w:type="spellEnd"/>
      <w:r w:rsidRPr="001B48F6">
        <w:rPr>
          <w:rFonts w:asciiTheme="majorHAnsi" w:hAnsiTheme="majorHAnsi" w:cstheme="majorHAnsi"/>
          <w:sz w:val="22"/>
        </w:rPr>
        <w:t xml:space="preserve"> </w:t>
      </w:r>
      <w:proofErr w:type="spellStart"/>
      <w:r w:rsidRPr="001B48F6">
        <w:rPr>
          <w:rFonts w:asciiTheme="majorHAnsi" w:hAnsiTheme="majorHAnsi" w:cstheme="majorHAnsi"/>
          <w:sz w:val="22"/>
        </w:rPr>
        <w:t>the</w:t>
      </w:r>
      <w:proofErr w:type="spellEnd"/>
      <w:r w:rsidRPr="001B48F6">
        <w:rPr>
          <w:rFonts w:asciiTheme="majorHAnsi" w:hAnsiTheme="majorHAnsi" w:cstheme="majorHAnsi"/>
          <w:sz w:val="22"/>
        </w:rPr>
        <w:t xml:space="preserve"> </w:t>
      </w:r>
      <w:proofErr w:type="spellStart"/>
      <w:r w:rsidRPr="001B48F6">
        <w:rPr>
          <w:rFonts w:asciiTheme="majorHAnsi" w:hAnsiTheme="majorHAnsi" w:cstheme="majorHAnsi"/>
          <w:sz w:val="22"/>
        </w:rPr>
        <w:t>sustainable</w:t>
      </w:r>
      <w:proofErr w:type="spellEnd"/>
      <w:r w:rsidRPr="001B48F6">
        <w:rPr>
          <w:rFonts w:asciiTheme="majorHAnsi" w:hAnsiTheme="majorHAnsi" w:cstheme="majorHAnsi"/>
          <w:sz w:val="22"/>
        </w:rPr>
        <w:t xml:space="preserve"> </w:t>
      </w:r>
      <w:proofErr w:type="spellStart"/>
      <w:r w:rsidRPr="001B48F6">
        <w:rPr>
          <w:rFonts w:asciiTheme="majorHAnsi" w:hAnsiTheme="majorHAnsi" w:cstheme="majorHAnsi"/>
          <w:sz w:val="22"/>
        </w:rPr>
        <w:t>growth</w:t>
      </w:r>
      <w:proofErr w:type="spellEnd"/>
      <w:r w:rsidRPr="001B48F6">
        <w:rPr>
          <w:rFonts w:asciiTheme="majorHAnsi" w:hAnsiTheme="majorHAnsi" w:cstheme="majorHAnsi"/>
          <w:sz w:val="22"/>
        </w:rPr>
        <w:t xml:space="preserve"> </w:t>
      </w:r>
      <w:proofErr w:type="spellStart"/>
      <w:r w:rsidRPr="001B48F6">
        <w:rPr>
          <w:rFonts w:asciiTheme="majorHAnsi" w:hAnsiTheme="majorHAnsi" w:cstheme="majorHAnsi"/>
          <w:sz w:val="22"/>
        </w:rPr>
        <w:t>of</w:t>
      </w:r>
      <w:proofErr w:type="spellEnd"/>
      <w:r w:rsidRPr="001B48F6">
        <w:rPr>
          <w:rFonts w:asciiTheme="majorHAnsi" w:hAnsiTheme="majorHAnsi" w:cstheme="majorHAnsi"/>
          <w:sz w:val="22"/>
        </w:rPr>
        <w:t xml:space="preserve"> </w:t>
      </w:r>
      <w:proofErr w:type="spellStart"/>
      <w:r w:rsidRPr="001B48F6">
        <w:rPr>
          <w:rFonts w:asciiTheme="majorHAnsi" w:hAnsiTheme="majorHAnsi" w:cstheme="majorHAnsi"/>
          <w:sz w:val="22"/>
        </w:rPr>
        <w:t>mining</w:t>
      </w:r>
      <w:proofErr w:type="spellEnd"/>
      <w:r w:rsidRPr="001B48F6">
        <w:rPr>
          <w:rFonts w:asciiTheme="majorHAnsi" w:hAnsiTheme="majorHAnsi" w:cstheme="majorHAnsi"/>
          <w:sz w:val="22"/>
        </w:rPr>
        <w:t xml:space="preserve"> in Ecuador. A partir del mes de enero de 2024, los equipos técnicos de KOICA – KOMIR y de la Subsecretaría de Minería Industrial, trabajaron en la revisión de la información y datos del proyecto postulado. </w:t>
      </w:r>
    </w:p>
    <w:p w14:paraId="4A7515ED"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 xml:space="preserve">Durante el mes de diciembre de 2024, visitó el país una misión de KOICA y KOMIR para trabajar con el equipo técnico en la revisión del PCP y ajustar conforme la metodología de la Agencia, la información relativa a los componentes y ejecutores de las acciones previstas en el proyecto, adicionalmente se realizaron visitas técnicas y reuniones de trabajo con los actores relevantes y transversales de la implementación del proyecto. Se espera </w:t>
      </w:r>
      <w:proofErr w:type="gramStart"/>
      <w:r w:rsidRPr="001B48F6">
        <w:rPr>
          <w:rFonts w:asciiTheme="majorHAnsi" w:hAnsiTheme="majorHAnsi" w:cstheme="majorHAnsi"/>
          <w:sz w:val="22"/>
        </w:rPr>
        <w:t>que</w:t>
      </w:r>
      <w:proofErr w:type="gramEnd"/>
      <w:r w:rsidRPr="001B48F6">
        <w:rPr>
          <w:rFonts w:asciiTheme="majorHAnsi" w:hAnsiTheme="majorHAnsi" w:cstheme="majorHAnsi"/>
          <w:sz w:val="22"/>
        </w:rPr>
        <w:t xml:space="preserve"> durante el primer cuatrimestre del año 2025, KOICA informe al Ministerio de Energía y Minas, su decisión favorable para avanzar a la siguiente fase de calificación del proyecto, en la cual se realizará la revisión del presupuesto y plazo de ejecución del proyecto, esperándose la visita de una segunda misión de KOICA-KOMIR para el mes de septiembre del 2025.</w:t>
      </w:r>
    </w:p>
    <w:p w14:paraId="6AFE7D44" w14:textId="77777777" w:rsidR="00134FF2" w:rsidRPr="00E55F64" w:rsidRDefault="00134FF2" w:rsidP="00E55F64">
      <w:pPr>
        <w:pStyle w:val="Ttulo3"/>
      </w:pPr>
      <w:bookmarkStart w:id="36" w:name="_Toc199759553"/>
      <w:r w:rsidRPr="00E55F64">
        <w:t>Compromisos Binacionales.</w:t>
      </w:r>
      <w:bookmarkEnd w:id="36"/>
    </w:p>
    <w:p w14:paraId="40187C4F"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Compromisos Binacionales con Perú: En la XVI Reunión de la Comisión de Vecindad Ecuatoriano-</w:t>
      </w:r>
      <w:proofErr w:type="gramStart"/>
      <w:r w:rsidRPr="001B48F6">
        <w:rPr>
          <w:rFonts w:asciiTheme="majorHAnsi" w:hAnsiTheme="majorHAnsi" w:cstheme="majorHAnsi"/>
          <w:sz w:val="22"/>
        </w:rPr>
        <w:t>Peruan</w:t>
      </w:r>
      <w:r>
        <w:rPr>
          <w:rFonts w:asciiTheme="majorHAnsi" w:hAnsiTheme="majorHAnsi" w:cstheme="majorHAnsi"/>
          <w:sz w:val="22"/>
        </w:rPr>
        <w:t>o</w:t>
      </w:r>
      <w:proofErr w:type="gramEnd"/>
      <w:r w:rsidRPr="001B48F6">
        <w:rPr>
          <w:rFonts w:asciiTheme="majorHAnsi" w:hAnsiTheme="majorHAnsi" w:cstheme="majorHAnsi"/>
          <w:sz w:val="22"/>
        </w:rPr>
        <w:t>, celebrada el 21 de junio de 2024, se aprobó el Plan de Acción de Lima 2024, el cual fue adoptado por los Presidentes del Ecuador y Perú en el Encuentro Presidencial y XV Gabinete Binacional Ecuador - Perú, celebrado el 4 de julio de 2024, en la ciudad de Lima, Perú.</w:t>
      </w:r>
    </w:p>
    <w:p w14:paraId="0665BE0A" w14:textId="77777777"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El Plan de Acción de Lima 2024, adoptado por los Mandatarios del Ecuador y del Perú junto a la Declaración Presidencial de Lima, contiene los compromisos binacionales consensuados entre ambos países, que deberán cumplirse hasta la celebración del Encuentro Presidencial y XVI Gabinete Binacional, previsto para julio del 2025.</w:t>
      </w:r>
    </w:p>
    <w:p w14:paraId="725DBD09" w14:textId="57CA12E4" w:rsidR="00134FF2"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De conformidad a lo acordado por ambos países en la referida reunión, el seguimiento y ejecución de los compromisos estarán a cargo de los cinco Comités Técnicos Binacionales (CTB) establecidos para el efecto, conformados por las autoridades nacionales competentes de acuerdo al ámbito o temática que le corresponde a cada Comité.</w:t>
      </w:r>
    </w:p>
    <w:p w14:paraId="06482FFB" w14:textId="00E684F7" w:rsidR="00C751F5" w:rsidRPr="001B48F6" w:rsidRDefault="00134FF2" w:rsidP="00134FF2">
      <w:pPr>
        <w:spacing w:before="240" w:after="240"/>
        <w:jc w:val="both"/>
        <w:rPr>
          <w:rFonts w:asciiTheme="majorHAnsi" w:hAnsiTheme="majorHAnsi" w:cstheme="majorHAnsi"/>
          <w:sz w:val="22"/>
        </w:rPr>
      </w:pPr>
      <w:r w:rsidRPr="001B48F6">
        <w:rPr>
          <w:rFonts w:asciiTheme="majorHAnsi" w:hAnsiTheme="majorHAnsi" w:cstheme="majorHAnsi"/>
          <w:sz w:val="22"/>
        </w:rPr>
        <w:t>El Ministerio de Energía y Minas tiene a su cargo los compromisos: 7, 9 y 10 del Plan de</w:t>
      </w:r>
      <w:r>
        <w:rPr>
          <w:rFonts w:asciiTheme="majorHAnsi" w:hAnsiTheme="majorHAnsi" w:cstheme="majorHAnsi"/>
          <w:sz w:val="22"/>
        </w:rPr>
        <w:t xml:space="preserve"> </w:t>
      </w:r>
      <w:r w:rsidRPr="001B48F6">
        <w:rPr>
          <w:rFonts w:asciiTheme="majorHAnsi" w:hAnsiTheme="majorHAnsi" w:cstheme="majorHAnsi"/>
          <w:sz w:val="22"/>
        </w:rPr>
        <w:t>Acción de Lima de los cuales el Viceministerio de Electricidad se encuentra realizando el seguimiento técnico para el cumplimiento del compromiso 7 y el Viceministerio de Minas, se encuentra realizando el seguimiento técnico para el cumplimiento de los compromisos 9 y 10.</w:t>
      </w:r>
    </w:p>
    <w:p w14:paraId="35A1BFC7" w14:textId="1EF726DB" w:rsidR="00595C27" w:rsidRPr="00091074" w:rsidRDefault="00E55F64" w:rsidP="00091074">
      <w:pPr>
        <w:pStyle w:val="Ttulo1"/>
        <w:rPr>
          <w:sz w:val="24"/>
          <w:szCs w:val="24"/>
        </w:rPr>
      </w:pPr>
      <w:bookmarkStart w:id="37" w:name="_Toc196485192"/>
      <w:bookmarkStart w:id="38" w:name="_Toc199759554"/>
      <w:r w:rsidRPr="00091074">
        <w:rPr>
          <w:sz w:val="24"/>
          <w:szCs w:val="24"/>
        </w:rPr>
        <w:t xml:space="preserve">Sector Hidrocarburos </w:t>
      </w:r>
      <w:bookmarkEnd w:id="37"/>
      <w:r w:rsidR="00001CA3" w:rsidRPr="00091074">
        <w:rPr>
          <w:sz w:val="24"/>
          <w:szCs w:val="24"/>
        </w:rPr>
        <w:t>(Viceministerio de Hidrocarburos)</w:t>
      </w:r>
      <w:bookmarkEnd w:id="38"/>
    </w:p>
    <w:p w14:paraId="4513BED3" w14:textId="77777777" w:rsidR="00251A00" w:rsidRPr="00186095" w:rsidRDefault="00251A00" w:rsidP="00186095">
      <w:pPr>
        <w:pStyle w:val="Ttulo4"/>
        <w:rPr>
          <w:i w:val="0"/>
        </w:rPr>
      </w:pPr>
      <w:bookmarkStart w:id="39" w:name="_Toc157678218"/>
      <w:bookmarkStart w:id="40" w:name="_Toc197335071"/>
      <w:r w:rsidRPr="00186095">
        <w:rPr>
          <w:i w:val="0"/>
        </w:rPr>
        <w:t>Banco de Información Petrolera del Ecuador-BIPE</w:t>
      </w:r>
      <w:bookmarkEnd w:id="39"/>
      <w:bookmarkEnd w:id="40"/>
      <w:r w:rsidRPr="00186095">
        <w:rPr>
          <w:i w:val="0"/>
        </w:rPr>
        <w:t xml:space="preserve"> </w:t>
      </w:r>
    </w:p>
    <w:p w14:paraId="218C8C6E" w14:textId="77777777" w:rsidR="00251A00" w:rsidRPr="00067DED" w:rsidRDefault="00251A00" w:rsidP="00251A00"/>
    <w:p w14:paraId="27F42164" w14:textId="77777777" w:rsidR="00251A00" w:rsidRPr="00A51E6E" w:rsidRDefault="00251A00" w:rsidP="00251A00">
      <w:pPr>
        <w:jc w:val="both"/>
        <w:rPr>
          <w:rFonts w:ascii="Calibri Light" w:hAnsi="Calibri Light"/>
          <w:sz w:val="22"/>
          <w:szCs w:val="22"/>
        </w:rPr>
      </w:pPr>
      <w:r w:rsidRPr="00A51E6E">
        <w:rPr>
          <w:rFonts w:ascii="Calibri Light" w:hAnsi="Calibri Light"/>
          <w:sz w:val="22"/>
          <w:szCs w:val="22"/>
        </w:rPr>
        <w:t>El BIPE durante el año 2024 recibió y procesó un total de 1.487 lotes de información (18.683 archivos) que incluye documentos técnicos, de adquisición y procesamiento sísmico 2D y 3D, registros eléctricos, estudios regionales de cuencas, bloque y campos, conforme al siguiente detalle:</w:t>
      </w:r>
    </w:p>
    <w:p w14:paraId="5BB1D377" w14:textId="77777777" w:rsidR="00251A00" w:rsidRPr="00A51E6E" w:rsidRDefault="00251A00" w:rsidP="00251A00">
      <w:pPr>
        <w:jc w:val="both"/>
        <w:rPr>
          <w:rFonts w:ascii="Calibri Light" w:hAnsi="Calibri Light"/>
          <w:sz w:val="22"/>
          <w:szCs w:val="22"/>
        </w:rPr>
      </w:pPr>
    </w:p>
    <w:p w14:paraId="5EF4E13D" w14:textId="3AC0DA94" w:rsidR="00D36769" w:rsidRPr="00D36769" w:rsidRDefault="00D36769" w:rsidP="00D36769">
      <w:pPr>
        <w:pStyle w:val="Descripcin"/>
        <w:rPr>
          <w:rFonts w:asciiTheme="majorHAnsi" w:hAnsiTheme="majorHAnsi" w:cstheme="majorHAnsi"/>
        </w:rPr>
      </w:pPr>
      <w:bookmarkStart w:id="41" w:name="_Hlk157151377"/>
      <w:bookmarkStart w:id="42" w:name="_Toc199759676"/>
      <w:r w:rsidRPr="00D36769">
        <w:rPr>
          <w:rFonts w:asciiTheme="majorHAnsi" w:hAnsiTheme="majorHAnsi" w:cstheme="majorHAnsi"/>
        </w:rPr>
        <w:t xml:space="preserve">Tabla </w:t>
      </w:r>
      <w:r w:rsidRPr="00D36769">
        <w:rPr>
          <w:rFonts w:asciiTheme="majorHAnsi" w:hAnsiTheme="majorHAnsi" w:cstheme="majorHAnsi"/>
        </w:rPr>
        <w:fldChar w:fldCharType="begin"/>
      </w:r>
      <w:r w:rsidRPr="00D36769">
        <w:rPr>
          <w:rFonts w:asciiTheme="majorHAnsi" w:hAnsiTheme="majorHAnsi" w:cstheme="majorHAnsi"/>
        </w:rPr>
        <w:instrText xml:space="preserve"> SEQ Tabla \* ARABIC </w:instrText>
      </w:r>
      <w:r w:rsidRPr="00D36769">
        <w:rPr>
          <w:rFonts w:asciiTheme="majorHAnsi" w:hAnsiTheme="majorHAnsi" w:cstheme="majorHAnsi"/>
        </w:rPr>
        <w:fldChar w:fldCharType="separate"/>
      </w:r>
      <w:r w:rsidR="00CF0AD2">
        <w:rPr>
          <w:rFonts w:asciiTheme="majorHAnsi" w:hAnsiTheme="majorHAnsi" w:cstheme="majorHAnsi"/>
          <w:noProof/>
        </w:rPr>
        <w:t>6</w:t>
      </w:r>
      <w:r w:rsidRPr="00D36769">
        <w:rPr>
          <w:rFonts w:asciiTheme="majorHAnsi" w:hAnsiTheme="majorHAnsi" w:cstheme="majorHAnsi"/>
        </w:rPr>
        <w:fldChar w:fldCharType="end"/>
      </w:r>
      <w:r w:rsidR="00276D61">
        <w:rPr>
          <w:rFonts w:asciiTheme="majorHAnsi" w:hAnsiTheme="majorHAnsi" w:cstheme="majorHAnsi"/>
        </w:rPr>
        <w:t>:</w:t>
      </w:r>
      <w:r w:rsidRPr="00D36769">
        <w:rPr>
          <w:rFonts w:asciiTheme="majorHAnsi" w:hAnsiTheme="majorHAnsi" w:cstheme="majorHAnsi"/>
        </w:rPr>
        <w:t>Lotes de Información Técnica Procesada y cargada en el BIPE – 2024</w:t>
      </w:r>
      <w:bookmarkEnd w:id="42"/>
    </w:p>
    <w:tbl>
      <w:tblPr>
        <w:tblW w:w="7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7"/>
        <w:gridCol w:w="2238"/>
        <w:gridCol w:w="2238"/>
      </w:tblGrid>
      <w:tr w:rsidR="00251A00" w:rsidRPr="00A51E6E" w14:paraId="016D9811" w14:textId="77777777" w:rsidTr="00E86A22">
        <w:trPr>
          <w:trHeight w:val="381"/>
          <w:jc w:val="center"/>
        </w:trPr>
        <w:tc>
          <w:tcPr>
            <w:tcW w:w="3007" w:type="dxa"/>
            <w:shd w:val="clear" w:color="auto" w:fill="5B9BD5"/>
            <w:vAlign w:val="center"/>
            <w:hideMark/>
          </w:tcPr>
          <w:bookmarkEnd w:id="41"/>
          <w:p w14:paraId="2B423441" w14:textId="77777777" w:rsidR="00251A00" w:rsidRPr="001B43BE" w:rsidRDefault="00251A00" w:rsidP="00E86A22">
            <w:pPr>
              <w:jc w:val="center"/>
              <w:rPr>
                <w:rFonts w:asciiTheme="majorHAnsi" w:eastAsia="Times New Roman" w:hAnsiTheme="majorHAnsi" w:cstheme="majorHAnsi"/>
                <w:b/>
                <w:bCs/>
                <w:color w:val="FFFFFF"/>
                <w:sz w:val="18"/>
                <w:szCs w:val="18"/>
                <w:lang w:eastAsia="es-EC"/>
              </w:rPr>
            </w:pPr>
            <w:r w:rsidRPr="001B43BE">
              <w:rPr>
                <w:rFonts w:asciiTheme="majorHAnsi" w:eastAsia="Times New Roman" w:hAnsiTheme="majorHAnsi" w:cstheme="majorHAnsi"/>
                <w:b/>
                <w:bCs/>
                <w:color w:val="FFFFFF"/>
                <w:sz w:val="18"/>
                <w:szCs w:val="18"/>
                <w:lang w:eastAsia="es-EC"/>
              </w:rPr>
              <w:t>Información Técnica</w:t>
            </w:r>
          </w:p>
        </w:tc>
        <w:tc>
          <w:tcPr>
            <w:tcW w:w="2238" w:type="dxa"/>
            <w:shd w:val="clear" w:color="auto" w:fill="5B9BD5"/>
            <w:vAlign w:val="center"/>
            <w:hideMark/>
          </w:tcPr>
          <w:p w14:paraId="25DB5F48" w14:textId="77777777" w:rsidR="00251A00" w:rsidRPr="001B43BE" w:rsidRDefault="00251A00" w:rsidP="00E86A22">
            <w:pPr>
              <w:jc w:val="center"/>
              <w:rPr>
                <w:rFonts w:asciiTheme="majorHAnsi" w:eastAsia="Times New Roman" w:hAnsiTheme="majorHAnsi" w:cstheme="majorHAnsi"/>
                <w:b/>
                <w:bCs/>
                <w:color w:val="FFFFFF"/>
                <w:sz w:val="18"/>
                <w:szCs w:val="18"/>
                <w:lang w:eastAsia="es-EC"/>
              </w:rPr>
            </w:pPr>
            <w:r w:rsidRPr="001B43BE">
              <w:rPr>
                <w:rFonts w:asciiTheme="majorHAnsi" w:eastAsia="Times New Roman" w:hAnsiTheme="majorHAnsi" w:cstheme="majorHAnsi"/>
                <w:b/>
                <w:bCs/>
                <w:color w:val="FFFFFF"/>
                <w:sz w:val="18"/>
                <w:szCs w:val="18"/>
                <w:lang w:eastAsia="es-EC"/>
              </w:rPr>
              <w:t xml:space="preserve">Lotes procesados </w:t>
            </w:r>
          </w:p>
        </w:tc>
        <w:tc>
          <w:tcPr>
            <w:tcW w:w="2238" w:type="dxa"/>
            <w:shd w:val="clear" w:color="auto" w:fill="5B9BD5"/>
          </w:tcPr>
          <w:p w14:paraId="6BE31370" w14:textId="77777777" w:rsidR="00251A00" w:rsidRPr="001B43BE" w:rsidRDefault="00251A00" w:rsidP="00E86A22">
            <w:pPr>
              <w:jc w:val="center"/>
              <w:rPr>
                <w:rFonts w:asciiTheme="majorHAnsi" w:eastAsia="Times New Roman" w:hAnsiTheme="majorHAnsi" w:cstheme="majorHAnsi"/>
                <w:b/>
                <w:bCs/>
                <w:color w:val="FFFFFF"/>
                <w:sz w:val="18"/>
                <w:szCs w:val="18"/>
                <w:lang w:eastAsia="es-EC"/>
              </w:rPr>
            </w:pPr>
            <w:r w:rsidRPr="001B43BE">
              <w:rPr>
                <w:rFonts w:asciiTheme="majorHAnsi" w:eastAsia="Times New Roman" w:hAnsiTheme="majorHAnsi" w:cstheme="majorHAnsi"/>
                <w:b/>
                <w:bCs/>
                <w:color w:val="FFFFFF"/>
                <w:sz w:val="18"/>
                <w:szCs w:val="18"/>
                <w:lang w:eastAsia="es-EC"/>
              </w:rPr>
              <w:t>#ítems cargados</w:t>
            </w:r>
          </w:p>
        </w:tc>
      </w:tr>
      <w:tr w:rsidR="00251A00" w:rsidRPr="00A51E6E" w14:paraId="045E38EB" w14:textId="77777777" w:rsidTr="00E86A22">
        <w:trPr>
          <w:trHeight w:val="273"/>
          <w:jc w:val="center"/>
        </w:trPr>
        <w:tc>
          <w:tcPr>
            <w:tcW w:w="3007" w:type="dxa"/>
            <w:shd w:val="clear" w:color="000000" w:fill="FFFFFF"/>
            <w:noWrap/>
            <w:vAlign w:val="center"/>
            <w:hideMark/>
          </w:tcPr>
          <w:p w14:paraId="646F78B3" w14:textId="77777777" w:rsidR="00251A00" w:rsidRPr="001B43BE" w:rsidRDefault="00251A00" w:rsidP="00E86A22">
            <w:pPr>
              <w:rPr>
                <w:rFonts w:asciiTheme="majorHAnsi" w:eastAsia="Times New Roman" w:hAnsiTheme="majorHAnsi" w:cstheme="majorHAnsi"/>
                <w:color w:val="000000"/>
                <w:sz w:val="18"/>
                <w:szCs w:val="18"/>
                <w:lang w:eastAsia="es-EC"/>
              </w:rPr>
            </w:pPr>
            <w:r w:rsidRPr="001B43BE">
              <w:rPr>
                <w:rFonts w:asciiTheme="majorHAnsi" w:eastAsia="Times New Roman" w:hAnsiTheme="majorHAnsi" w:cstheme="majorHAnsi"/>
                <w:color w:val="000000"/>
                <w:sz w:val="18"/>
                <w:szCs w:val="18"/>
                <w:lang w:eastAsia="es-EC"/>
              </w:rPr>
              <w:t>POZOS</w:t>
            </w:r>
          </w:p>
        </w:tc>
        <w:tc>
          <w:tcPr>
            <w:tcW w:w="2238" w:type="dxa"/>
            <w:shd w:val="clear" w:color="auto" w:fill="auto"/>
            <w:noWrap/>
            <w:vAlign w:val="center"/>
            <w:hideMark/>
          </w:tcPr>
          <w:p w14:paraId="23765188" w14:textId="77777777" w:rsidR="00251A00" w:rsidRPr="001B43BE" w:rsidRDefault="00251A00" w:rsidP="00E86A22">
            <w:pPr>
              <w:jc w:val="center"/>
              <w:rPr>
                <w:rFonts w:asciiTheme="majorHAnsi" w:eastAsia="Times New Roman" w:hAnsiTheme="majorHAnsi" w:cstheme="majorHAnsi"/>
                <w:color w:val="000000"/>
                <w:sz w:val="18"/>
                <w:szCs w:val="18"/>
                <w:lang w:eastAsia="es-EC"/>
              </w:rPr>
            </w:pPr>
            <w:r w:rsidRPr="001B43BE">
              <w:rPr>
                <w:rFonts w:asciiTheme="majorHAnsi" w:eastAsia="Times New Roman" w:hAnsiTheme="majorHAnsi" w:cstheme="majorHAnsi"/>
                <w:color w:val="000000"/>
                <w:sz w:val="18"/>
                <w:szCs w:val="18"/>
                <w:lang w:eastAsia="es-EC"/>
              </w:rPr>
              <w:t>508</w:t>
            </w:r>
          </w:p>
        </w:tc>
        <w:tc>
          <w:tcPr>
            <w:tcW w:w="2238" w:type="dxa"/>
            <w:shd w:val="clear" w:color="auto" w:fill="auto"/>
          </w:tcPr>
          <w:p w14:paraId="0D229FEF" w14:textId="77777777" w:rsidR="00251A00" w:rsidRPr="001B43BE" w:rsidRDefault="00251A00" w:rsidP="00E86A22">
            <w:pPr>
              <w:jc w:val="center"/>
              <w:rPr>
                <w:rFonts w:asciiTheme="majorHAnsi" w:eastAsia="Times New Roman" w:hAnsiTheme="majorHAnsi" w:cstheme="majorHAnsi"/>
                <w:color w:val="000000"/>
                <w:sz w:val="18"/>
                <w:szCs w:val="18"/>
                <w:lang w:eastAsia="es-EC"/>
              </w:rPr>
            </w:pPr>
            <w:r w:rsidRPr="001B43BE">
              <w:rPr>
                <w:rFonts w:asciiTheme="majorHAnsi" w:eastAsia="Times New Roman" w:hAnsiTheme="majorHAnsi" w:cstheme="majorHAnsi"/>
                <w:color w:val="000000"/>
                <w:sz w:val="18"/>
                <w:szCs w:val="18"/>
                <w:lang w:eastAsia="es-EC"/>
              </w:rPr>
              <w:t>1672</w:t>
            </w:r>
          </w:p>
        </w:tc>
      </w:tr>
      <w:tr w:rsidR="00251A00" w:rsidRPr="00A51E6E" w14:paraId="6F7AF8B6" w14:textId="77777777" w:rsidTr="00E86A22">
        <w:trPr>
          <w:trHeight w:val="277"/>
          <w:jc w:val="center"/>
        </w:trPr>
        <w:tc>
          <w:tcPr>
            <w:tcW w:w="3007" w:type="dxa"/>
            <w:shd w:val="clear" w:color="000000" w:fill="FFFFFF"/>
            <w:noWrap/>
            <w:vAlign w:val="center"/>
            <w:hideMark/>
          </w:tcPr>
          <w:p w14:paraId="2DBA3F7A" w14:textId="77777777" w:rsidR="00251A00" w:rsidRPr="001B43BE" w:rsidRDefault="00251A00" w:rsidP="00E86A22">
            <w:pPr>
              <w:rPr>
                <w:rFonts w:asciiTheme="majorHAnsi" w:eastAsia="Times New Roman" w:hAnsiTheme="majorHAnsi" w:cstheme="majorHAnsi"/>
                <w:color w:val="000000"/>
                <w:sz w:val="18"/>
                <w:szCs w:val="18"/>
                <w:lang w:eastAsia="es-EC"/>
              </w:rPr>
            </w:pPr>
            <w:r w:rsidRPr="001B43BE">
              <w:rPr>
                <w:rFonts w:asciiTheme="majorHAnsi" w:eastAsia="Times New Roman" w:hAnsiTheme="majorHAnsi" w:cstheme="majorHAnsi"/>
                <w:color w:val="000000"/>
                <w:sz w:val="18"/>
                <w:szCs w:val="18"/>
                <w:lang w:eastAsia="es-EC"/>
              </w:rPr>
              <w:t>SÍSMICA</w:t>
            </w:r>
          </w:p>
        </w:tc>
        <w:tc>
          <w:tcPr>
            <w:tcW w:w="2238" w:type="dxa"/>
            <w:shd w:val="clear" w:color="auto" w:fill="auto"/>
            <w:noWrap/>
            <w:vAlign w:val="center"/>
            <w:hideMark/>
          </w:tcPr>
          <w:p w14:paraId="5D21F652" w14:textId="77777777" w:rsidR="00251A00" w:rsidRPr="001B43BE" w:rsidRDefault="00251A00" w:rsidP="00E86A22">
            <w:pPr>
              <w:jc w:val="center"/>
              <w:rPr>
                <w:rFonts w:asciiTheme="majorHAnsi" w:eastAsia="Times New Roman" w:hAnsiTheme="majorHAnsi" w:cstheme="majorHAnsi"/>
                <w:color w:val="000000"/>
                <w:sz w:val="18"/>
                <w:szCs w:val="18"/>
                <w:lang w:eastAsia="es-EC"/>
              </w:rPr>
            </w:pPr>
            <w:r w:rsidRPr="001B43BE">
              <w:rPr>
                <w:rFonts w:asciiTheme="majorHAnsi" w:eastAsia="Times New Roman" w:hAnsiTheme="majorHAnsi" w:cstheme="majorHAnsi"/>
                <w:color w:val="000000"/>
                <w:sz w:val="18"/>
                <w:szCs w:val="18"/>
                <w:lang w:eastAsia="es-EC"/>
              </w:rPr>
              <w:t>3</w:t>
            </w:r>
          </w:p>
        </w:tc>
        <w:tc>
          <w:tcPr>
            <w:tcW w:w="2238" w:type="dxa"/>
            <w:shd w:val="clear" w:color="auto" w:fill="auto"/>
          </w:tcPr>
          <w:p w14:paraId="7AF3A12B" w14:textId="77777777" w:rsidR="00251A00" w:rsidRPr="001B43BE" w:rsidRDefault="00251A00" w:rsidP="00E86A22">
            <w:pPr>
              <w:jc w:val="center"/>
              <w:rPr>
                <w:rFonts w:asciiTheme="majorHAnsi" w:eastAsia="Times New Roman" w:hAnsiTheme="majorHAnsi" w:cstheme="majorHAnsi"/>
                <w:color w:val="000000"/>
                <w:sz w:val="18"/>
                <w:szCs w:val="18"/>
                <w:lang w:eastAsia="es-EC"/>
              </w:rPr>
            </w:pPr>
            <w:r w:rsidRPr="001B43BE">
              <w:rPr>
                <w:rFonts w:asciiTheme="majorHAnsi" w:eastAsia="Times New Roman" w:hAnsiTheme="majorHAnsi" w:cstheme="majorHAnsi"/>
                <w:color w:val="000000"/>
                <w:sz w:val="18"/>
                <w:szCs w:val="18"/>
                <w:lang w:eastAsia="es-EC"/>
              </w:rPr>
              <w:t>95</w:t>
            </w:r>
          </w:p>
        </w:tc>
      </w:tr>
    </w:tbl>
    <w:p w14:paraId="5BA45554" w14:textId="77777777" w:rsidR="00251A00" w:rsidRPr="001B43BE" w:rsidRDefault="00251A00" w:rsidP="00251A00">
      <w:pPr>
        <w:jc w:val="center"/>
        <w:rPr>
          <w:rFonts w:ascii="Calibri Light" w:hAnsi="Calibri Light" w:cs="Calibri Light"/>
          <w:i/>
          <w:color w:val="7F7F7F"/>
          <w:sz w:val="16"/>
          <w:szCs w:val="16"/>
        </w:rPr>
      </w:pPr>
      <w:r w:rsidRPr="001B43BE">
        <w:rPr>
          <w:rFonts w:ascii="Calibri Light" w:hAnsi="Calibri Light" w:cs="Calibri Light"/>
          <w:i/>
          <w:color w:val="7F7F7F"/>
          <w:sz w:val="16"/>
          <w:szCs w:val="16"/>
        </w:rPr>
        <w:t>Fuente: DAIEH</w:t>
      </w:r>
    </w:p>
    <w:p w14:paraId="4A6A510E" w14:textId="1947071E" w:rsidR="00251A00" w:rsidRDefault="00251A00" w:rsidP="00251A00">
      <w:pPr>
        <w:jc w:val="center"/>
        <w:rPr>
          <w:rFonts w:cs="Calibri"/>
          <w:i/>
          <w:iCs/>
          <w:sz w:val="18"/>
          <w:szCs w:val="18"/>
        </w:rPr>
      </w:pPr>
    </w:p>
    <w:p w14:paraId="643CAB09" w14:textId="77777777" w:rsidR="00595C27" w:rsidRPr="00A51E6E" w:rsidRDefault="00595C27" w:rsidP="00E55F64">
      <w:pPr>
        <w:rPr>
          <w:rFonts w:cs="Calibri"/>
          <w:i/>
          <w:iCs/>
          <w:sz w:val="18"/>
          <w:szCs w:val="18"/>
        </w:rPr>
      </w:pPr>
    </w:p>
    <w:p w14:paraId="6BB4623F" w14:textId="77777777" w:rsidR="00251A00" w:rsidRPr="00A51E6E" w:rsidRDefault="00251A00" w:rsidP="00251A00">
      <w:pPr>
        <w:jc w:val="both"/>
        <w:rPr>
          <w:rFonts w:ascii="Calibri Light" w:hAnsi="Calibri Light"/>
          <w:sz w:val="22"/>
          <w:szCs w:val="22"/>
        </w:rPr>
      </w:pPr>
      <w:r w:rsidRPr="00A51E6E">
        <w:rPr>
          <w:rFonts w:ascii="Calibri Light" w:hAnsi="Calibri Light"/>
          <w:sz w:val="22"/>
          <w:szCs w:val="22"/>
        </w:rPr>
        <w:t>El BIPE durante el año 2024 realizó 69 entregas de Sets y Data packs con información técnica</w:t>
      </w:r>
    </w:p>
    <w:p w14:paraId="0816D8FA" w14:textId="59116F97" w:rsidR="00FC39C3" w:rsidRPr="00F25917" w:rsidRDefault="00251A00" w:rsidP="00F25917">
      <w:pPr>
        <w:jc w:val="both"/>
        <w:rPr>
          <w:rFonts w:ascii="Calibri Light" w:hAnsi="Calibri Light"/>
          <w:sz w:val="22"/>
          <w:szCs w:val="22"/>
        </w:rPr>
      </w:pPr>
      <w:r w:rsidRPr="00A51E6E">
        <w:rPr>
          <w:rFonts w:ascii="Calibri Light" w:hAnsi="Calibri Light"/>
          <w:sz w:val="22"/>
          <w:szCs w:val="22"/>
        </w:rPr>
        <w:t>conforme al siguiente detalle:</w:t>
      </w:r>
    </w:p>
    <w:p w14:paraId="090F8F86" w14:textId="41697360" w:rsidR="00251A00" w:rsidRPr="00D36769" w:rsidRDefault="00251A00" w:rsidP="00910BEC">
      <w:pPr>
        <w:pStyle w:val="Tablas"/>
        <w:spacing w:after="0"/>
        <w:jc w:val="left"/>
        <w:rPr>
          <w:rFonts w:asciiTheme="majorHAnsi" w:hAnsiTheme="majorHAnsi" w:cstheme="majorHAnsi"/>
        </w:rPr>
      </w:pPr>
    </w:p>
    <w:p w14:paraId="15F55240" w14:textId="3994C700" w:rsidR="00D36769" w:rsidRPr="00D36769" w:rsidRDefault="00D36769" w:rsidP="00D36769">
      <w:pPr>
        <w:pStyle w:val="Descripcin"/>
        <w:rPr>
          <w:rFonts w:asciiTheme="majorHAnsi" w:hAnsiTheme="majorHAnsi" w:cstheme="majorHAnsi"/>
        </w:rPr>
      </w:pPr>
      <w:bookmarkStart w:id="43" w:name="_Toc199759677"/>
      <w:r w:rsidRPr="00D36769">
        <w:rPr>
          <w:rFonts w:asciiTheme="majorHAnsi" w:hAnsiTheme="majorHAnsi" w:cstheme="majorHAnsi"/>
        </w:rPr>
        <w:t xml:space="preserve">Tabla </w:t>
      </w:r>
      <w:r w:rsidRPr="00D36769">
        <w:rPr>
          <w:rFonts w:asciiTheme="majorHAnsi" w:hAnsiTheme="majorHAnsi" w:cstheme="majorHAnsi"/>
        </w:rPr>
        <w:fldChar w:fldCharType="begin"/>
      </w:r>
      <w:r w:rsidRPr="00D36769">
        <w:rPr>
          <w:rFonts w:asciiTheme="majorHAnsi" w:hAnsiTheme="majorHAnsi" w:cstheme="majorHAnsi"/>
        </w:rPr>
        <w:instrText xml:space="preserve"> SEQ Tabla \* ARABIC </w:instrText>
      </w:r>
      <w:r w:rsidRPr="00D36769">
        <w:rPr>
          <w:rFonts w:asciiTheme="majorHAnsi" w:hAnsiTheme="majorHAnsi" w:cstheme="majorHAnsi"/>
        </w:rPr>
        <w:fldChar w:fldCharType="separate"/>
      </w:r>
      <w:r w:rsidR="00CF0AD2">
        <w:rPr>
          <w:rFonts w:asciiTheme="majorHAnsi" w:hAnsiTheme="majorHAnsi" w:cstheme="majorHAnsi"/>
          <w:noProof/>
        </w:rPr>
        <w:t>7</w:t>
      </w:r>
      <w:r w:rsidRPr="00D36769">
        <w:rPr>
          <w:rFonts w:asciiTheme="majorHAnsi" w:hAnsiTheme="majorHAnsi" w:cstheme="majorHAnsi"/>
        </w:rPr>
        <w:fldChar w:fldCharType="end"/>
      </w:r>
      <w:r w:rsidR="00276D61">
        <w:rPr>
          <w:rFonts w:asciiTheme="majorHAnsi" w:hAnsiTheme="majorHAnsi" w:cstheme="majorHAnsi"/>
        </w:rPr>
        <w:t>:</w:t>
      </w:r>
      <w:r w:rsidRPr="00D36769">
        <w:rPr>
          <w:rFonts w:asciiTheme="majorHAnsi" w:hAnsiTheme="majorHAnsi" w:cstheme="majorHAnsi"/>
        </w:rPr>
        <w:t>Entrega de sets de información y data pack</w:t>
      </w:r>
      <w:bookmarkEnd w:id="43"/>
    </w:p>
    <w:tbl>
      <w:tblPr>
        <w:tblW w:w="8499" w:type="dxa"/>
        <w:jc w:val="center"/>
        <w:tblCellMar>
          <w:left w:w="70" w:type="dxa"/>
          <w:right w:w="70" w:type="dxa"/>
        </w:tblCellMar>
        <w:tblLook w:val="04A0" w:firstRow="1" w:lastRow="0" w:firstColumn="1" w:lastColumn="0" w:noHBand="0" w:noVBand="1"/>
      </w:tblPr>
      <w:tblGrid>
        <w:gridCol w:w="1493"/>
        <w:gridCol w:w="1159"/>
        <w:gridCol w:w="261"/>
        <w:gridCol w:w="158"/>
        <w:gridCol w:w="645"/>
        <w:gridCol w:w="360"/>
        <w:gridCol w:w="1055"/>
        <w:gridCol w:w="493"/>
        <w:gridCol w:w="1055"/>
        <w:gridCol w:w="493"/>
        <w:gridCol w:w="1055"/>
        <w:gridCol w:w="102"/>
        <w:gridCol w:w="170"/>
      </w:tblGrid>
      <w:tr w:rsidR="000A1AE7" w:rsidRPr="00A51E6E" w14:paraId="36A63E13" w14:textId="77777777" w:rsidTr="000A1AE7">
        <w:trPr>
          <w:gridAfter w:val="2"/>
          <w:wAfter w:w="272" w:type="dxa"/>
          <w:trHeight w:val="289"/>
          <w:jc w:val="center"/>
        </w:trPr>
        <w:tc>
          <w:tcPr>
            <w:tcW w:w="2652" w:type="dxa"/>
            <w:gridSpan w:val="2"/>
            <w:tcBorders>
              <w:top w:val="nil"/>
              <w:left w:val="nil"/>
              <w:bottom w:val="nil"/>
              <w:right w:val="nil"/>
            </w:tcBorders>
            <w:shd w:val="clear" w:color="000000" w:fill="FFFFFF"/>
            <w:noWrap/>
            <w:vAlign w:val="center"/>
            <w:hideMark/>
          </w:tcPr>
          <w:p w14:paraId="3501B22A" w14:textId="77777777" w:rsidR="000A1AE7" w:rsidRPr="001B43BE" w:rsidRDefault="000A1AE7" w:rsidP="00E86A22">
            <w:pPr>
              <w:rPr>
                <w:rFonts w:ascii="Cambria" w:eastAsia="Times New Roman" w:hAnsi="Cambria" w:cs="Calibri"/>
                <w:color w:val="000000"/>
                <w:sz w:val="18"/>
                <w:szCs w:val="18"/>
                <w:lang w:eastAsia="es-EC"/>
              </w:rPr>
            </w:pPr>
            <w:r w:rsidRPr="001B43BE">
              <w:rPr>
                <w:rFonts w:ascii="Cambria" w:eastAsia="Times New Roman" w:hAnsi="Cambria" w:cs="Calibri"/>
                <w:color w:val="000000"/>
                <w:sz w:val="18"/>
                <w:szCs w:val="18"/>
                <w:lang w:eastAsia="es-EC"/>
              </w:rPr>
              <w:t> </w:t>
            </w:r>
          </w:p>
        </w:tc>
        <w:tc>
          <w:tcPr>
            <w:tcW w:w="1064" w:type="dxa"/>
            <w:gridSpan w:val="3"/>
            <w:tcBorders>
              <w:top w:val="single" w:sz="4" w:space="0" w:color="auto"/>
              <w:left w:val="single" w:sz="4" w:space="0" w:color="auto"/>
              <w:bottom w:val="single" w:sz="4" w:space="0" w:color="auto"/>
              <w:right w:val="single" w:sz="4" w:space="0" w:color="auto"/>
            </w:tcBorders>
            <w:shd w:val="clear" w:color="auto" w:fill="5B9BD5"/>
          </w:tcPr>
          <w:p w14:paraId="1D1CCEBA" w14:textId="77777777" w:rsidR="000A1AE7" w:rsidRPr="001B43BE" w:rsidRDefault="000A1AE7" w:rsidP="00E86A22">
            <w:pPr>
              <w:jc w:val="center"/>
              <w:rPr>
                <w:rFonts w:ascii="Calibri Light" w:eastAsia="Times New Roman" w:hAnsi="Calibri Light" w:cs="Calibri Light"/>
                <w:b/>
                <w:bCs/>
                <w:color w:val="FFFFFF"/>
                <w:sz w:val="18"/>
                <w:szCs w:val="18"/>
                <w:lang w:eastAsia="es-EC"/>
              </w:rPr>
            </w:pPr>
            <w:r w:rsidRPr="001B43BE">
              <w:rPr>
                <w:rFonts w:ascii="Calibri Light" w:eastAsia="Times New Roman" w:hAnsi="Calibri Light" w:cs="Calibri Light"/>
                <w:b/>
                <w:bCs/>
                <w:color w:val="FFFFFF"/>
                <w:sz w:val="18"/>
                <w:szCs w:val="18"/>
                <w:lang w:eastAsia="es-EC"/>
              </w:rPr>
              <w:t>ENTREGAS</w:t>
            </w:r>
          </w:p>
        </w:tc>
        <w:tc>
          <w:tcPr>
            <w:tcW w:w="1415" w:type="dxa"/>
            <w:gridSpan w:val="2"/>
            <w:tcBorders>
              <w:top w:val="single" w:sz="4" w:space="0" w:color="auto"/>
              <w:left w:val="nil"/>
              <w:bottom w:val="single" w:sz="4" w:space="0" w:color="auto"/>
              <w:right w:val="single" w:sz="4" w:space="0" w:color="auto"/>
            </w:tcBorders>
            <w:shd w:val="clear" w:color="auto" w:fill="5B9BD5"/>
            <w:noWrap/>
            <w:vAlign w:val="center"/>
          </w:tcPr>
          <w:p w14:paraId="75336466" w14:textId="77777777" w:rsidR="000A1AE7" w:rsidRPr="001B43BE" w:rsidRDefault="000A1AE7" w:rsidP="00E86A22">
            <w:pPr>
              <w:jc w:val="center"/>
              <w:rPr>
                <w:rFonts w:ascii="Calibri Light" w:eastAsia="Times New Roman" w:hAnsi="Calibri Light" w:cs="Calibri Light"/>
                <w:b/>
                <w:bCs/>
                <w:color w:val="FFFFFF"/>
                <w:sz w:val="18"/>
                <w:szCs w:val="18"/>
                <w:lang w:eastAsia="es-EC"/>
              </w:rPr>
            </w:pPr>
            <w:r w:rsidRPr="001B43BE">
              <w:rPr>
                <w:rFonts w:ascii="Calibri Light" w:eastAsia="Times New Roman" w:hAnsi="Calibri Light" w:cs="Calibri Light"/>
                <w:b/>
                <w:bCs/>
                <w:color w:val="FFFFFF"/>
                <w:sz w:val="18"/>
                <w:szCs w:val="18"/>
                <w:lang w:eastAsia="es-EC"/>
              </w:rPr>
              <w:t># ítems</w:t>
            </w:r>
          </w:p>
        </w:tc>
        <w:tc>
          <w:tcPr>
            <w:tcW w:w="1548" w:type="dxa"/>
            <w:gridSpan w:val="2"/>
            <w:tcBorders>
              <w:top w:val="single" w:sz="4" w:space="0" w:color="auto"/>
              <w:left w:val="nil"/>
              <w:bottom w:val="single" w:sz="4" w:space="0" w:color="auto"/>
              <w:right w:val="nil"/>
            </w:tcBorders>
            <w:shd w:val="clear" w:color="auto" w:fill="5B9BD5"/>
          </w:tcPr>
          <w:p w14:paraId="64630132" w14:textId="77777777" w:rsidR="000A1AE7" w:rsidRPr="001B43BE" w:rsidRDefault="000A1AE7" w:rsidP="00E86A22">
            <w:pPr>
              <w:jc w:val="center"/>
              <w:rPr>
                <w:rFonts w:ascii="Calibri Light" w:eastAsia="Times New Roman" w:hAnsi="Calibri Light" w:cs="Calibri Light"/>
                <w:b/>
                <w:bCs/>
                <w:color w:val="FFFFFF"/>
                <w:sz w:val="18"/>
                <w:szCs w:val="18"/>
                <w:lang w:eastAsia="es-EC"/>
              </w:rPr>
            </w:pPr>
          </w:p>
        </w:tc>
        <w:tc>
          <w:tcPr>
            <w:tcW w:w="1548" w:type="dxa"/>
            <w:gridSpan w:val="2"/>
            <w:tcBorders>
              <w:top w:val="single" w:sz="4" w:space="0" w:color="auto"/>
              <w:left w:val="nil"/>
              <w:bottom w:val="single" w:sz="4" w:space="0" w:color="auto"/>
              <w:right w:val="single" w:sz="4" w:space="0" w:color="auto"/>
            </w:tcBorders>
            <w:shd w:val="clear" w:color="auto" w:fill="5B9BD5"/>
          </w:tcPr>
          <w:p w14:paraId="4F9F8B0C" w14:textId="4E2E6199" w:rsidR="000A1AE7" w:rsidRPr="001B43BE" w:rsidRDefault="000A1AE7" w:rsidP="00E86A22">
            <w:pPr>
              <w:jc w:val="center"/>
              <w:rPr>
                <w:rFonts w:ascii="Calibri Light" w:eastAsia="Times New Roman" w:hAnsi="Calibri Light" w:cs="Calibri Light"/>
                <w:b/>
                <w:bCs/>
                <w:color w:val="FFFFFF"/>
                <w:sz w:val="18"/>
                <w:szCs w:val="18"/>
                <w:lang w:eastAsia="es-EC"/>
              </w:rPr>
            </w:pPr>
            <w:r w:rsidRPr="001B43BE">
              <w:rPr>
                <w:rFonts w:ascii="Calibri Light" w:eastAsia="Times New Roman" w:hAnsi="Calibri Light" w:cs="Calibri Light"/>
                <w:b/>
                <w:bCs/>
                <w:color w:val="FFFFFF"/>
                <w:sz w:val="18"/>
                <w:szCs w:val="18"/>
                <w:lang w:eastAsia="es-EC"/>
              </w:rPr>
              <w:t>Peso (TB)</w:t>
            </w:r>
          </w:p>
        </w:tc>
      </w:tr>
      <w:tr w:rsidR="000A1AE7" w:rsidRPr="00A51E6E" w14:paraId="37E03A10" w14:textId="77777777" w:rsidTr="000A1AE7">
        <w:trPr>
          <w:gridAfter w:val="2"/>
          <w:wAfter w:w="272" w:type="dxa"/>
          <w:trHeight w:val="470"/>
          <w:jc w:val="center"/>
        </w:trPr>
        <w:tc>
          <w:tcPr>
            <w:tcW w:w="265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2A83C44" w14:textId="77777777" w:rsidR="000A1AE7" w:rsidRPr="001B43BE" w:rsidRDefault="000A1AE7" w:rsidP="00E86A22">
            <w:pPr>
              <w:rPr>
                <w:rFonts w:ascii="Calibri Light" w:eastAsia="Times New Roman" w:hAnsi="Calibri Light" w:cs="Calibri Light"/>
                <w:color w:val="000000"/>
                <w:sz w:val="18"/>
                <w:szCs w:val="18"/>
                <w:lang w:eastAsia="es-EC"/>
              </w:rPr>
            </w:pPr>
            <w:r w:rsidRPr="001B43BE">
              <w:rPr>
                <w:rFonts w:ascii="Calibri Light" w:eastAsia="Times New Roman" w:hAnsi="Calibri Light" w:cs="Calibri Light"/>
                <w:color w:val="000000"/>
                <w:sz w:val="18"/>
                <w:szCs w:val="18"/>
                <w:lang w:eastAsia="es-EC"/>
              </w:rPr>
              <w:t xml:space="preserve">Entregas de SETS de Información </w:t>
            </w:r>
          </w:p>
        </w:tc>
        <w:tc>
          <w:tcPr>
            <w:tcW w:w="1064" w:type="dxa"/>
            <w:gridSpan w:val="3"/>
            <w:tcBorders>
              <w:top w:val="nil"/>
              <w:left w:val="nil"/>
              <w:bottom w:val="single" w:sz="4" w:space="0" w:color="auto"/>
              <w:right w:val="single" w:sz="4" w:space="0" w:color="auto"/>
            </w:tcBorders>
            <w:shd w:val="clear" w:color="000000" w:fill="FFFFFF"/>
          </w:tcPr>
          <w:p w14:paraId="2B1CBC9E" w14:textId="77777777" w:rsidR="000A1AE7" w:rsidRPr="001B43BE" w:rsidRDefault="000A1AE7" w:rsidP="00E86A22">
            <w:pPr>
              <w:jc w:val="center"/>
              <w:rPr>
                <w:rFonts w:ascii="Calibri Light" w:eastAsia="Times New Roman" w:hAnsi="Calibri Light" w:cs="Calibri Light"/>
                <w:color w:val="000000"/>
                <w:sz w:val="18"/>
                <w:szCs w:val="18"/>
                <w:lang w:eastAsia="es-EC"/>
              </w:rPr>
            </w:pPr>
          </w:p>
          <w:p w14:paraId="087CD0EB" w14:textId="77777777" w:rsidR="000A1AE7" w:rsidRPr="001B43BE" w:rsidRDefault="000A1AE7" w:rsidP="00E86A22">
            <w:pPr>
              <w:jc w:val="center"/>
              <w:rPr>
                <w:rFonts w:ascii="Calibri Light" w:eastAsia="Times New Roman" w:hAnsi="Calibri Light" w:cs="Calibri Light"/>
                <w:color w:val="FF0000"/>
                <w:sz w:val="18"/>
                <w:szCs w:val="18"/>
                <w:lang w:eastAsia="es-EC"/>
              </w:rPr>
            </w:pPr>
            <w:r w:rsidRPr="001B43BE">
              <w:rPr>
                <w:rFonts w:ascii="Calibri Light" w:eastAsia="Times New Roman" w:hAnsi="Calibri Light" w:cs="Calibri Light"/>
                <w:color w:val="000000"/>
                <w:sz w:val="18"/>
                <w:szCs w:val="18"/>
                <w:lang w:eastAsia="es-EC"/>
              </w:rPr>
              <w:t>45</w:t>
            </w:r>
          </w:p>
        </w:tc>
        <w:tc>
          <w:tcPr>
            <w:tcW w:w="1415" w:type="dxa"/>
            <w:gridSpan w:val="2"/>
            <w:tcBorders>
              <w:top w:val="nil"/>
              <w:left w:val="nil"/>
              <w:bottom w:val="single" w:sz="4" w:space="0" w:color="auto"/>
              <w:right w:val="single" w:sz="4" w:space="0" w:color="auto"/>
            </w:tcBorders>
            <w:shd w:val="clear" w:color="000000" w:fill="FFFFFF"/>
            <w:noWrap/>
            <w:vAlign w:val="center"/>
          </w:tcPr>
          <w:p w14:paraId="376780D8" w14:textId="77777777" w:rsidR="000A1AE7" w:rsidRPr="001B43BE" w:rsidRDefault="000A1AE7" w:rsidP="00E86A22">
            <w:pPr>
              <w:jc w:val="center"/>
              <w:rPr>
                <w:rFonts w:ascii="Calibri Light" w:eastAsia="Times New Roman" w:hAnsi="Calibri Light" w:cs="Calibri Light"/>
                <w:color w:val="FF0000"/>
                <w:sz w:val="18"/>
                <w:szCs w:val="18"/>
                <w:lang w:eastAsia="es-EC"/>
              </w:rPr>
            </w:pPr>
            <w:r w:rsidRPr="001B43BE">
              <w:rPr>
                <w:rFonts w:ascii="Calibri Light" w:eastAsia="Times New Roman" w:hAnsi="Calibri Light" w:cs="Calibri Light"/>
                <w:color w:val="000000"/>
                <w:sz w:val="18"/>
                <w:szCs w:val="18"/>
                <w:lang w:eastAsia="es-EC"/>
              </w:rPr>
              <w:t>117.679</w:t>
            </w:r>
          </w:p>
        </w:tc>
        <w:tc>
          <w:tcPr>
            <w:tcW w:w="1548" w:type="dxa"/>
            <w:gridSpan w:val="2"/>
            <w:tcBorders>
              <w:top w:val="nil"/>
              <w:left w:val="nil"/>
              <w:bottom w:val="single" w:sz="4" w:space="0" w:color="auto"/>
              <w:right w:val="nil"/>
            </w:tcBorders>
            <w:shd w:val="clear" w:color="000000" w:fill="FFFFFF"/>
          </w:tcPr>
          <w:p w14:paraId="2496F860" w14:textId="77777777" w:rsidR="000A1AE7" w:rsidRPr="001B43BE" w:rsidRDefault="000A1AE7" w:rsidP="00E86A22">
            <w:pPr>
              <w:jc w:val="center"/>
              <w:rPr>
                <w:rFonts w:ascii="Calibri Light" w:eastAsia="Times New Roman" w:hAnsi="Calibri Light" w:cs="Calibri Light"/>
                <w:color w:val="000000"/>
                <w:sz w:val="18"/>
                <w:szCs w:val="18"/>
                <w:lang w:eastAsia="es-EC"/>
              </w:rPr>
            </w:pPr>
          </w:p>
        </w:tc>
        <w:tc>
          <w:tcPr>
            <w:tcW w:w="1548" w:type="dxa"/>
            <w:gridSpan w:val="2"/>
            <w:tcBorders>
              <w:top w:val="nil"/>
              <w:left w:val="nil"/>
              <w:bottom w:val="single" w:sz="4" w:space="0" w:color="auto"/>
              <w:right w:val="single" w:sz="4" w:space="0" w:color="auto"/>
            </w:tcBorders>
            <w:shd w:val="clear" w:color="000000" w:fill="FFFFFF"/>
          </w:tcPr>
          <w:p w14:paraId="18C69E29" w14:textId="4531DA78" w:rsidR="000A1AE7" w:rsidRPr="001B43BE" w:rsidRDefault="000A1AE7" w:rsidP="00E86A22">
            <w:pPr>
              <w:jc w:val="center"/>
              <w:rPr>
                <w:rFonts w:ascii="Calibri Light" w:eastAsia="Times New Roman" w:hAnsi="Calibri Light" w:cs="Calibri Light"/>
                <w:color w:val="000000"/>
                <w:sz w:val="18"/>
                <w:szCs w:val="18"/>
                <w:lang w:eastAsia="es-EC"/>
              </w:rPr>
            </w:pPr>
          </w:p>
          <w:p w14:paraId="16AE4D82" w14:textId="77777777" w:rsidR="000A1AE7" w:rsidRPr="001B43BE" w:rsidRDefault="000A1AE7" w:rsidP="00E86A22">
            <w:pPr>
              <w:jc w:val="center"/>
              <w:rPr>
                <w:rFonts w:ascii="Calibri Light" w:eastAsia="Times New Roman" w:hAnsi="Calibri Light" w:cs="Calibri Light"/>
                <w:color w:val="000000"/>
                <w:sz w:val="18"/>
                <w:szCs w:val="18"/>
                <w:lang w:eastAsia="es-EC"/>
              </w:rPr>
            </w:pPr>
            <w:r w:rsidRPr="001B43BE">
              <w:rPr>
                <w:rFonts w:ascii="Calibri Light" w:eastAsia="Times New Roman" w:hAnsi="Calibri Light" w:cs="Calibri Light"/>
                <w:color w:val="000000"/>
                <w:sz w:val="18"/>
                <w:szCs w:val="18"/>
                <w:lang w:eastAsia="es-EC"/>
              </w:rPr>
              <w:t>8,06</w:t>
            </w:r>
          </w:p>
        </w:tc>
      </w:tr>
      <w:tr w:rsidR="000A1AE7" w:rsidRPr="00A51E6E" w14:paraId="1F975934" w14:textId="77777777" w:rsidTr="000A1AE7">
        <w:trPr>
          <w:gridAfter w:val="2"/>
          <w:wAfter w:w="272" w:type="dxa"/>
          <w:trHeight w:val="420"/>
          <w:jc w:val="center"/>
        </w:trPr>
        <w:tc>
          <w:tcPr>
            <w:tcW w:w="2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0203661" w14:textId="77777777" w:rsidR="000A1AE7" w:rsidRPr="001B43BE" w:rsidRDefault="000A1AE7" w:rsidP="00E86A22">
            <w:pPr>
              <w:rPr>
                <w:rFonts w:ascii="Calibri Light" w:eastAsia="Times New Roman" w:hAnsi="Calibri Light" w:cs="Calibri Light"/>
                <w:color w:val="000000"/>
                <w:sz w:val="18"/>
                <w:szCs w:val="18"/>
                <w:lang w:eastAsia="es-EC"/>
              </w:rPr>
            </w:pPr>
            <w:r w:rsidRPr="001B43BE">
              <w:rPr>
                <w:rFonts w:ascii="Calibri Light" w:eastAsia="Times New Roman" w:hAnsi="Calibri Light" w:cs="Calibri Light"/>
                <w:color w:val="000000"/>
                <w:sz w:val="18"/>
                <w:szCs w:val="18"/>
                <w:lang w:eastAsia="es-EC"/>
              </w:rPr>
              <w:t>Entregas de Data packs</w:t>
            </w:r>
          </w:p>
        </w:tc>
        <w:tc>
          <w:tcPr>
            <w:tcW w:w="1064" w:type="dxa"/>
            <w:gridSpan w:val="3"/>
            <w:tcBorders>
              <w:top w:val="nil"/>
              <w:left w:val="nil"/>
              <w:bottom w:val="single" w:sz="4" w:space="0" w:color="auto"/>
              <w:right w:val="single" w:sz="4" w:space="0" w:color="auto"/>
            </w:tcBorders>
            <w:shd w:val="clear" w:color="000000" w:fill="FFFFFF"/>
          </w:tcPr>
          <w:p w14:paraId="5ED2F46A" w14:textId="77777777" w:rsidR="000A1AE7" w:rsidRPr="001B43BE" w:rsidRDefault="000A1AE7" w:rsidP="00E86A22">
            <w:pPr>
              <w:jc w:val="center"/>
              <w:rPr>
                <w:rFonts w:ascii="Calibri Light" w:eastAsia="Times New Roman" w:hAnsi="Calibri Light" w:cs="Calibri Light"/>
                <w:color w:val="000000"/>
                <w:sz w:val="18"/>
                <w:szCs w:val="18"/>
                <w:lang w:eastAsia="es-EC"/>
              </w:rPr>
            </w:pPr>
          </w:p>
          <w:p w14:paraId="5DF763CB" w14:textId="77777777" w:rsidR="000A1AE7" w:rsidRPr="001B43BE" w:rsidRDefault="000A1AE7" w:rsidP="00E86A22">
            <w:pPr>
              <w:jc w:val="center"/>
              <w:rPr>
                <w:rFonts w:ascii="Calibri Light" w:eastAsia="Times New Roman" w:hAnsi="Calibri Light" w:cs="Calibri Light"/>
                <w:color w:val="000000"/>
                <w:sz w:val="18"/>
                <w:szCs w:val="18"/>
                <w:lang w:eastAsia="es-EC"/>
              </w:rPr>
            </w:pPr>
            <w:r w:rsidRPr="001B43BE">
              <w:rPr>
                <w:rFonts w:ascii="Calibri Light" w:eastAsia="Times New Roman" w:hAnsi="Calibri Light" w:cs="Calibri Light"/>
                <w:color w:val="000000"/>
                <w:sz w:val="18"/>
                <w:szCs w:val="18"/>
                <w:lang w:eastAsia="es-EC"/>
              </w:rPr>
              <w:t>24</w:t>
            </w:r>
          </w:p>
        </w:tc>
        <w:tc>
          <w:tcPr>
            <w:tcW w:w="1415" w:type="dxa"/>
            <w:gridSpan w:val="2"/>
            <w:tcBorders>
              <w:top w:val="nil"/>
              <w:left w:val="nil"/>
              <w:bottom w:val="single" w:sz="4" w:space="0" w:color="auto"/>
              <w:right w:val="single" w:sz="4" w:space="0" w:color="auto"/>
            </w:tcBorders>
            <w:shd w:val="clear" w:color="000000" w:fill="FFFFFF"/>
            <w:noWrap/>
            <w:vAlign w:val="center"/>
          </w:tcPr>
          <w:p w14:paraId="76BC420D" w14:textId="77777777" w:rsidR="000A1AE7" w:rsidRPr="001B43BE" w:rsidRDefault="000A1AE7" w:rsidP="00E86A22">
            <w:pPr>
              <w:jc w:val="center"/>
              <w:rPr>
                <w:rFonts w:ascii="Calibri Light" w:eastAsia="Times New Roman" w:hAnsi="Calibri Light" w:cs="Calibri Light"/>
                <w:color w:val="000000"/>
                <w:sz w:val="18"/>
                <w:szCs w:val="18"/>
                <w:lang w:eastAsia="es-EC"/>
              </w:rPr>
            </w:pPr>
            <w:r w:rsidRPr="001B43BE">
              <w:rPr>
                <w:rFonts w:ascii="Calibri Light" w:eastAsia="Times New Roman" w:hAnsi="Calibri Light" w:cs="Calibri Light"/>
                <w:color w:val="000000"/>
                <w:sz w:val="18"/>
                <w:szCs w:val="18"/>
                <w:lang w:eastAsia="es-EC"/>
              </w:rPr>
              <w:t>120.473</w:t>
            </w:r>
          </w:p>
        </w:tc>
        <w:tc>
          <w:tcPr>
            <w:tcW w:w="1548" w:type="dxa"/>
            <w:gridSpan w:val="2"/>
            <w:tcBorders>
              <w:top w:val="nil"/>
              <w:left w:val="nil"/>
              <w:bottom w:val="single" w:sz="4" w:space="0" w:color="auto"/>
              <w:right w:val="nil"/>
            </w:tcBorders>
            <w:shd w:val="clear" w:color="000000" w:fill="FFFFFF"/>
          </w:tcPr>
          <w:p w14:paraId="326E3201" w14:textId="77777777" w:rsidR="000A1AE7" w:rsidRPr="001B43BE" w:rsidRDefault="000A1AE7" w:rsidP="00E86A22">
            <w:pPr>
              <w:jc w:val="center"/>
              <w:rPr>
                <w:rFonts w:ascii="Calibri Light" w:eastAsia="Times New Roman" w:hAnsi="Calibri Light" w:cs="Calibri Light"/>
                <w:color w:val="000000"/>
                <w:sz w:val="18"/>
                <w:szCs w:val="18"/>
                <w:lang w:eastAsia="es-EC"/>
              </w:rPr>
            </w:pPr>
          </w:p>
        </w:tc>
        <w:tc>
          <w:tcPr>
            <w:tcW w:w="1548" w:type="dxa"/>
            <w:gridSpan w:val="2"/>
            <w:tcBorders>
              <w:top w:val="nil"/>
              <w:left w:val="nil"/>
              <w:bottom w:val="single" w:sz="4" w:space="0" w:color="auto"/>
              <w:right w:val="single" w:sz="4" w:space="0" w:color="auto"/>
            </w:tcBorders>
            <w:shd w:val="clear" w:color="000000" w:fill="FFFFFF"/>
          </w:tcPr>
          <w:p w14:paraId="2F3EEEB9" w14:textId="4EC338FD" w:rsidR="000A1AE7" w:rsidRPr="001B43BE" w:rsidRDefault="000A1AE7" w:rsidP="00E86A22">
            <w:pPr>
              <w:jc w:val="center"/>
              <w:rPr>
                <w:rFonts w:ascii="Calibri Light" w:eastAsia="Times New Roman" w:hAnsi="Calibri Light" w:cs="Calibri Light"/>
                <w:color w:val="000000"/>
                <w:sz w:val="18"/>
                <w:szCs w:val="18"/>
                <w:lang w:eastAsia="es-EC"/>
              </w:rPr>
            </w:pPr>
          </w:p>
          <w:p w14:paraId="1C590EBE" w14:textId="77777777" w:rsidR="000A1AE7" w:rsidRPr="001B43BE" w:rsidRDefault="000A1AE7" w:rsidP="00E86A22">
            <w:pPr>
              <w:jc w:val="center"/>
              <w:rPr>
                <w:rFonts w:ascii="Calibri Light" w:eastAsia="Times New Roman" w:hAnsi="Calibri Light" w:cs="Calibri Light"/>
                <w:color w:val="000000"/>
                <w:sz w:val="18"/>
                <w:szCs w:val="18"/>
                <w:lang w:eastAsia="es-EC"/>
              </w:rPr>
            </w:pPr>
            <w:r w:rsidRPr="001B43BE">
              <w:rPr>
                <w:rFonts w:ascii="Calibri Light" w:eastAsia="Times New Roman" w:hAnsi="Calibri Light" w:cs="Calibri Light"/>
                <w:color w:val="000000"/>
                <w:sz w:val="18"/>
                <w:szCs w:val="18"/>
                <w:lang w:eastAsia="es-EC"/>
              </w:rPr>
              <w:t>1,24</w:t>
            </w:r>
          </w:p>
        </w:tc>
      </w:tr>
      <w:tr w:rsidR="000A1AE7" w:rsidRPr="00A51E6E" w14:paraId="56E8758A" w14:textId="77777777" w:rsidTr="000A1AE7">
        <w:trPr>
          <w:gridAfter w:val="1"/>
          <w:wAfter w:w="170" w:type="dxa"/>
          <w:trHeight w:val="289"/>
          <w:jc w:val="center"/>
        </w:trPr>
        <w:tc>
          <w:tcPr>
            <w:tcW w:w="1493" w:type="dxa"/>
            <w:tcBorders>
              <w:top w:val="nil"/>
              <w:left w:val="nil"/>
              <w:bottom w:val="nil"/>
              <w:right w:val="nil"/>
            </w:tcBorders>
            <w:shd w:val="clear" w:color="000000" w:fill="FFFFFF"/>
          </w:tcPr>
          <w:p w14:paraId="0C45F2FD" w14:textId="77777777" w:rsidR="000A1AE7" w:rsidRPr="00A51E6E" w:rsidRDefault="000A1AE7" w:rsidP="00E86A22">
            <w:pPr>
              <w:jc w:val="center"/>
              <w:rPr>
                <w:rFonts w:ascii="Calibri Light" w:hAnsi="Calibri Light" w:cs="Calibri Light"/>
                <w:color w:val="7F7F7F"/>
                <w:sz w:val="20"/>
              </w:rPr>
            </w:pPr>
          </w:p>
        </w:tc>
        <w:tc>
          <w:tcPr>
            <w:tcW w:w="1578" w:type="dxa"/>
            <w:gridSpan w:val="3"/>
            <w:tcBorders>
              <w:top w:val="nil"/>
              <w:left w:val="nil"/>
              <w:bottom w:val="nil"/>
              <w:right w:val="nil"/>
            </w:tcBorders>
            <w:shd w:val="clear" w:color="000000" w:fill="FFFFFF"/>
          </w:tcPr>
          <w:p w14:paraId="1CB5F027" w14:textId="77777777" w:rsidR="000A1AE7" w:rsidRPr="00A51E6E" w:rsidRDefault="000A1AE7" w:rsidP="00E86A22">
            <w:pPr>
              <w:rPr>
                <w:rFonts w:ascii="Calibri Light" w:hAnsi="Calibri Light" w:cs="Calibri Light"/>
                <w:color w:val="7F7F7F"/>
                <w:sz w:val="20"/>
              </w:rPr>
            </w:pPr>
          </w:p>
        </w:tc>
        <w:tc>
          <w:tcPr>
            <w:tcW w:w="5258" w:type="dxa"/>
            <w:gridSpan w:val="8"/>
            <w:tcBorders>
              <w:top w:val="nil"/>
              <w:left w:val="nil"/>
              <w:bottom w:val="nil"/>
              <w:right w:val="nil"/>
            </w:tcBorders>
            <w:shd w:val="clear" w:color="000000" w:fill="FFFFFF"/>
            <w:noWrap/>
            <w:vAlign w:val="center"/>
            <w:hideMark/>
          </w:tcPr>
          <w:p w14:paraId="7287983E" w14:textId="29360AA6" w:rsidR="000A1AE7" w:rsidRPr="001B43BE" w:rsidRDefault="000A1AE7" w:rsidP="00E55F64">
            <w:pPr>
              <w:rPr>
                <w:rFonts w:ascii="Calibri Light" w:hAnsi="Calibri Light" w:cs="Calibri Light"/>
                <w:i/>
                <w:color w:val="7F7F7F"/>
                <w:sz w:val="16"/>
                <w:szCs w:val="16"/>
              </w:rPr>
            </w:pPr>
            <w:r w:rsidRPr="001B43BE">
              <w:rPr>
                <w:rFonts w:ascii="Calibri Light" w:hAnsi="Calibri Light" w:cs="Calibri Light"/>
                <w:i/>
                <w:color w:val="7F7F7F"/>
                <w:sz w:val="16"/>
                <w:szCs w:val="16"/>
              </w:rPr>
              <w:t>Fuente: DAIEH</w:t>
            </w:r>
          </w:p>
        </w:tc>
      </w:tr>
      <w:tr w:rsidR="000A1AE7" w:rsidRPr="00A51E6E" w14:paraId="5F831421" w14:textId="77777777" w:rsidTr="000A1AE7">
        <w:trPr>
          <w:trHeight w:val="289"/>
          <w:jc w:val="center"/>
        </w:trPr>
        <w:tc>
          <w:tcPr>
            <w:tcW w:w="2652" w:type="dxa"/>
            <w:gridSpan w:val="2"/>
            <w:tcBorders>
              <w:top w:val="nil"/>
              <w:left w:val="nil"/>
              <w:bottom w:val="nil"/>
              <w:right w:val="nil"/>
            </w:tcBorders>
            <w:shd w:val="clear" w:color="000000" w:fill="FFFFFF"/>
            <w:noWrap/>
            <w:vAlign w:val="center"/>
          </w:tcPr>
          <w:p w14:paraId="2EF20214" w14:textId="77777777" w:rsidR="000A1AE7" w:rsidRPr="00A51E6E" w:rsidRDefault="000A1AE7" w:rsidP="00E86A22">
            <w:pPr>
              <w:rPr>
                <w:rFonts w:ascii="Calibri Light" w:hAnsi="Calibri Light" w:cs="Calibri Light"/>
                <w:color w:val="7F7F7F"/>
                <w:sz w:val="20"/>
              </w:rPr>
            </w:pPr>
          </w:p>
        </w:tc>
        <w:tc>
          <w:tcPr>
            <w:tcW w:w="261" w:type="dxa"/>
            <w:tcBorders>
              <w:top w:val="nil"/>
              <w:left w:val="nil"/>
              <w:bottom w:val="nil"/>
              <w:right w:val="nil"/>
            </w:tcBorders>
            <w:shd w:val="clear" w:color="000000" w:fill="FFFFFF"/>
          </w:tcPr>
          <w:p w14:paraId="15469608" w14:textId="77777777" w:rsidR="000A1AE7" w:rsidRPr="00A51E6E" w:rsidRDefault="000A1AE7" w:rsidP="00E86A22">
            <w:pPr>
              <w:rPr>
                <w:rFonts w:ascii="Calibri Light" w:hAnsi="Calibri Light" w:cs="Calibri Light"/>
                <w:color w:val="7F7F7F"/>
                <w:sz w:val="20"/>
              </w:rPr>
            </w:pPr>
          </w:p>
        </w:tc>
        <w:tc>
          <w:tcPr>
            <w:tcW w:w="1163" w:type="dxa"/>
            <w:gridSpan w:val="3"/>
            <w:tcBorders>
              <w:top w:val="nil"/>
              <w:left w:val="nil"/>
              <w:bottom w:val="nil"/>
              <w:right w:val="nil"/>
            </w:tcBorders>
            <w:shd w:val="clear" w:color="000000" w:fill="FFFFFF"/>
            <w:noWrap/>
            <w:vAlign w:val="bottom"/>
            <w:hideMark/>
          </w:tcPr>
          <w:p w14:paraId="4FF65F70" w14:textId="77777777" w:rsidR="000A1AE7" w:rsidRPr="00A51E6E" w:rsidRDefault="000A1AE7" w:rsidP="00E86A22">
            <w:pPr>
              <w:rPr>
                <w:rFonts w:ascii="Calibri Light" w:hAnsi="Calibri Light" w:cs="Calibri Light"/>
                <w:color w:val="7F7F7F"/>
                <w:sz w:val="20"/>
              </w:rPr>
            </w:pPr>
            <w:r w:rsidRPr="00A51E6E">
              <w:rPr>
                <w:rFonts w:ascii="Calibri Light" w:hAnsi="Calibri Light" w:cs="Calibri Light"/>
                <w:color w:val="7F7F7F"/>
                <w:sz w:val="20"/>
              </w:rPr>
              <w:t> </w:t>
            </w:r>
          </w:p>
        </w:tc>
        <w:tc>
          <w:tcPr>
            <w:tcW w:w="1548" w:type="dxa"/>
            <w:gridSpan w:val="2"/>
            <w:tcBorders>
              <w:top w:val="nil"/>
              <w:left w:val="nil"/>
              <w:bottom w:val="nil"/>
              <w:right w:val="nil"/>
            </w:tcBorders>
            <w:shd w:val="clear" w:color="000000" w:fill="FFFFFF"/>
          </w:tcPr>
          <w:p w14:paraId="21FD130B" w14:textId="77777777" w:rsidR="000A1AE7" w:rsidRPr="00A51E6E" w:rsidRDefault="000A1AE7" w:rsidP="00E86A22">
            <w:pPr>
              <w:rPr>
                <w:rFonts w:ascii="Calibri Light" w:hAnsi="Calibri Light" w:cs="Calibri Light"/>
                <w:color w:val="7F7F7F"/>
                <w:sz w:val="20"/>
              </w:rPr>
            </w:pPr>
          </w:p>
        </w:tc>
        <w:tc>
          <w:tcPr>
            <w:tcW w:w="1548" w:type="dxa"/>
            <w:gridSpan w:val="2"/>
            <w:tcBorders>
              <w:top w:val="nil"/>
              <w:left w:val="nil"/>
              <w:bottom w:val="nil"/>
              <w:right w:val="nil"/>
            </w:tcBorders>
            <w:shd w:val="clear" w:color="000000" w:fill="FFFFFF"/>
          </w:tcPr>
          <w:p w14:paraId="39B81DCF" w14:textId="0ACAD293" w:rsidR="000A1AE7" w:rsidRPr="00A51E6E" w:rsidRDefault="000A1AE7" w:rsidP="00E86A22">
            <w:pPr>
              <w:rPr>
                <w:rFonts w:ascii="Calibri Light" w:hAnsi="Calibri Light" w:cs="Calibri Light"/>
                <w:color w:val="7F7F7F"/>
                <w:sz w:val="20"/>
              </w:rPr>
            </w:pPr>
          </w:p>
        </w:tc>
        <w:tc>
          <w:tcPr>
            <w:tcW w:w="1327" w:type="dxa"/>
            <w:gridSpan w:val="3"/>
            <w:tcBorders>
              <w:top w:val="nil"/>
              <w:left w:val="nil"/>
              <w:bottom w:val="nil"/>
              <w:right w:val="nil"/>
            </w:tcBorders>
            <w:shd w:val="clear" w:color="000000" w:fill="FFFFFF"/>
            <w:noWrap/>
            <w:vAlign w:val="bottom"/>
            <w:hideMark/>
          </w:tcPr>
          <w:p w14:paraId="675C6B09" w14:textId="77777777" w:rsidR="000A1AE7" w:rsidRPr="00A51E6E" w:rsidRDefault="000A1AE7" w:rsidP="00E86A22">
            <w:pPr>
              <w:rPr>
                <w:rFonts w:ascii="Calibri Light" w:hAnsi="Calibri Light" w:cs="Calibri Light"/>
                <w:color w:val="7F7F7F"/>
                <w:sz w:val="20"/>
              </w:rPr>
            </w:pPr>
            <w:r w:rsidRPr="00A51E6E">
              <w:rPr>
                <w:rFonts w:ascii="Calibri Light" w:hAnsi="Calibri Light" w:cs="Calibri Light"/>
                <w:color w:val="7F7F7F"/>
                <w:sz w:val="20"/>
              </w:rPr>
              <w:t> </w:t>
            </w:r>
          </w:p>
        </w:tc>
      </w:tr>
    </w:tbl>
    <w:p w14:paraId="42A82A5A" w14:textId="0A9A5F53" w:rsidR="00251A00" w:rsidRPr="00186095" w:rsidRDefault="00251A00" w:rsidP="00186095">
      <w:pPr>
        <w:pStyle w:val="Ttulo4"/>
        <w:rPr>
          <w:i w:val="0"/>
          <w:sz w:val="22"/>
          <w:szCs w:val="22"/>
        </w:rPr>
      </w:pPr>
      <w:bookmarkStart w:id="44" w:name="_Toc157678219"/>
      <w:bookmarkStart w:id="45" w:name="_Hlk157153365"/>
      <w:bookmarkStart w:id="46" w:name="_Toc197335072"/>
      <w:r w:rsidRPr="00186095">
        <w:rPr>
          <w:i w:val="0"/>
          <w:sz w:val="22"/>
          <w:szCs w:val="22"/>
        </w:rPr>
        <w:t>Proyecto Implementación de un Sistema de Gestión Integral de Información del Sector de Hidrocarburos e Infraestructura Asociada</w:t>
      </w:r>
      <w:bookmarkEnd w:id="44"/>
      <w:bookmarkEnd w:id="45"/>
      <w:bookmarkEnd w:id="46"/>
    </w:p>
    <w:p w14:paraId="486D9BE8" w14:textId="77777777" w:rsidR="00251A00" w:rsidRPr="00067DED" w:rsidRDefault="00251A00" w:rsidP="00251A00"/>
    <w:p w14:paraId="3002EB9F" w14:textId="77777777" w:rsidR="00251A00" w:rsidRPr="008B2F0D" w:rsidRDefault="00251A00" w:rsidP="00251A00">
      <w:pPr>
        <w:jc w:val="both"/>
        <w:rPr>
          <w:rFonts w:ascii="Calibri Light" w:hAnsi="Calibri Light" w:cs="Calibri Light"/>
          <w:sz w:val="22"/>
          <w:szCs w:val="22"/>
        </w:rPr>
      </w:pPr>
      <w:bookmarkStart w:id="47" w:name="_Hlk158190394"/>
      <w:r w:rsidRPr="008B2F0D">
        <w:rPr>
          <w:rFonts w:ascii="Calibri Light" w:hAnsi="Calibri Light" w:cs="Calibri Light"/>
          <w:sz w:val="22"/>
          <w:szCs w:val="22"/>
        </w:rPr>
        <w:t>El Viceministerio de Hidrocarburos, en coordinación con la Dirección de Análisis de Información Estratégica de Hidrocarburos (DAIEH) y con el respaldo financiero del Banco Interamericano de Desarrollo (BID), lidera un proceso estratégico en la transformación digital del sector energético: la implementación de una solución tecnológica integral para la gestión de datos del sector de hidrocarburos.</w:t>
      </w:r>
      <w:r>
        <w:rPr>
          <w:rFonts w:ascii="Calibri Light" w:hAnsi="Calibri Light" w:cs="Calibri Light"/>
          <w:sz w:val="22"/>
          <w:szCs w:val="22"/>
        </w:rPr>
        <w:t xml:space="preserve"> </w:t>
      </w:r>
      <w:r w:rsidRPr="008B2F0D">
        <w:rPr>
          <w:rFonts w:ascii="Calibri Light" w:hAnsi="Calibri Light" w:cs="Calibri Light"/>
          <w:sz w:val="22"/>
          <w:szCs w:val="22"/>
        </w:rPr>
        <w:t>Esta iniciativa dotará al Ministerio de Energía y Minas de una plataforma tecnológica robusta, diseñada para administrar de manera eficiente, segura y centralizada la información técnica generada en el sector. A través de esta herramienta, se fortalecerá la transparencia institucional, la trazabilidad de los procesos y la gobernanza digital, garantizando el acceso a datos oficiales, actualizados y confiables para la industria, aliados estratégicos e inversionistas.</w:t>
      </w:r>
    </w:p>
    <w:p w14:paraId="7B161284" w14:textId="77777777" w:rsidR="00251A00" w:rsidRPr="008B2F0D" w:rsidRDefault="00251A00" w:rsidP="00251A00">
      <w:pPr>
        <w:jc w:val="both"/>
        <w:rPr>
          <w:rFonts w:ascii="Calibri Light" w:hAnsi="Calibri Light" w:cs="Calibri Light"/>
          <w:sz w:val="22"/>
          <w:szCs w:val="22"/>
        </w:rPr>
      </w:pPr>
    </w:p>
    <w:p w14:paraId="18D15767" w14:textId="77777777" w:rsidR="00251A00" w:rsidRDefault="00251A00" w:rsidP="00251A00">
      <w:pPr>
        <w:jc w:val="both"/>
        <w:rPr>
          <w:rFonts w:ascii="Calibri Light" w:hAnsi="Calibri Light" w:cs="Calibri Light"/>
          <w:sz w:val="22"/>
          <w:szCs w:val="22"/>
        </w:rPr>
      </w:pPr>
      <w:r w:rsidRPr="008B2F0D">
        <w:rPr>
          <w:rFonts w:ascii="Calibri Light" w:hAnsi="Calibri Light" w:cs="Calibri Light"/>
          <w:sz w:val="22"/>
          <w:szCs w:val="22"/>
        </w:rPr>
        <w:t>En consecuencia, se facilitará una toma de decisiones oportuna, estratégica y basada en evidencia, permitiendo al Estado responder con agilidad a los desafíos del desarrollo energético sostenible.</w:t>
      </w:r>
    </w:p>
    <w:p w14:paraId="3212D13A" w14:textId="77777777" w:rsidR="00251A00" w:rsidRDefault="00251A00" w:rsidP="00251A00">
      <w:pPr>
        <w:jc w:val="both"/>
        <w:rPr>
          <w:rFonts w:ascii="Calibri Light" w:hAnsi="Calibri Light" w:cs="Calibri Light"/>
          <w:sz w:val="22"/>
          <w:szCs w:val="22"/>
        </w:rPr>
      </w:pPr>
    </w:p>
    <w:p w14:paraId="16F16A80" w14:textId="77777777" w:rsidR="00251A00" w:rsidRPr="00DE6542" w:rsidRDefault="00251A00" w:rsidP="00251A00">
      <w:pPr>
        <w:jc w:val="both"/>
        <w:rPr>
          <w:rFonts w:ascii="Calibri Light" w:hAnsi="Calibri Light" w:cs="Calibri Light"/>
          <w:sz w:val="22"/>
          <w:szCs w:val="22"/>
        </w:rPr>
      </w:pPr>
      <w:r w:rsidRPr="00DE6542">
        <w:rPr>
          <w:rFonts w:ascii="Calibri Light" w:hAnsi="Calibri Light" w:cs="Calibri Light"/>
          <w:sz w:val="22"/>
          <w:szCs w:val="22"/>
        </w:rPr>
        <w:t>La implementación del Proyecto BIPE 4.0 se estructura en tres bloques funcionales que representan el ciclo completo de la gestión de datos del sector hidrocarburos:</w:t>
      </w:r>
    </w:p>
    <w:p w14:paraId="468F6E77" w14:textId="77777777" w:rsidR="00251A00" w:rsidRPr="00DE6542" w:rsidRDefault="00251A00" w:rsidP="00251A00">
      <w:pPr>
        <w:jc w:val="both"/>
        <w:rPr>
          <w:rFonts w:ascii="Calibri Light" w:hAnsi="Calibri Light" w:cs="Calibri Light"/>
          <w:sz w:val="22"/>
          <w:szCs w:val="22"/>
        </w:rPr>
      </w:pPr>
    </w:p>
    <w:p w14:paraId="078DAD64" w14:textId="77777777" w:rsidR="00251A00" w:rsidRPr="00DE6542" w:rsidRDefault="00251A00" w:rsidP="00251A00">
      <w:pPr>
        <w:pStyle w:val="Prrafodelista"/>
        <w:numPr>
          <w:ilvl w:val="0"/>
          <w:numId w:val="17"/>
        </w:numPr>
        <w:jc w:val="both"/>
        <w:rPr>
          <w:rFonts w:ascii="Calibri Light" w:hAnsi="Calibri Light" w:cs="Calibri Light"/>
          <w:sz w:val="22"/>
          <w:szCs w:val="22"/>
        </w:rPr>
      </w:pPr>
      <w:r w:rsidRPr="00DE6542">
        <w:rPr>
          <w:rFonts w:ascii="Calibri Light" w:hAnsi="Calibri Light" w:cs="Calibri Light"/>
          <w:sz w:val="22"/>
          <w:szCs w:val="22"/>
        </w:rPr>
        <w:t>Generación y entrega de información</w:t>
      </w:r>
    </w:p>
    <w:p w14:paraId="614186DB" w14:textId="77777777" w:rsidR="00251A00" w:rsidRPr="00DE6542" w:rsidRDefault="00251A00" w:rsidP="00251A00">
      <w:pPr>
        <w:pStyle w:val="Prrafodelista"/>
        <w:numPr>
          <w:ilvl w:val="0"/>
          <w:numId w:val="17"/>
        </w:numPr>
        <w:jc w:val="both"/>
        <w:rPr>
          <w:rFonts w:ascii="Calibri Light" w:hAnsi="Calibri Light" w:cs="Calibri Light"/>
          <w:sz w:val="22"/>
          <w:szCs w:val="22"/>
        </w:rPr>
      </w:pPr>
      <w:r w:rsidRPr="00DE6542">
        <w:rPr>
          <w:rFonts w:ascii="Calibri Light" w:hAnsi="Calibri Light" w:cs="Calibri Light"/>
          <w:sz w:val="22"/>
          <w:szCs w:val="22"/>
        </w:rPr>
        <w:t>Gestión de la información</w:t>
      </w:r>
    </w:p>
    <w:p w14:paraId="29DF5BDF" w14:textId="77777777" w:rsidR="00251A00" w:rsidRPr="00DE6542" w:rsidRDefault="00251A00" w:rsidP="00251A00">
      <w:pPr>
        <w:pStyle w:val="Prrafodelista"/>
        <w:numPr>
          <w:ilvl w:val="0"/>
          <w:numId w:val="17"/>
        </w:numPr>
        <w:jc w:val="both"/>
        <w:rPr>
          <w:rFonts w:ascii="Calibri Light" w:hAnsi="Calibri Light" w:cs="Calibri Light"/>
          <w:sz w:val="22"/>
          <w:szCs w:val="22"/>
        </w:rPr>
      </w:pPr>
      <w:r w:rsidRPr="00DE6542">
        <w:rPr>
          <w:rFonts w:ascii="Calibri Light" w:hAnsi="Calibri Light" w:cs="Calibri Light"/>
          <w:sz w:val="22"/>
          <w:szCs w:val="22"/>
        </w:rPr>
        <w:t>Publicación y acceso a la información</w:t>
      </w:r>
    </w:p>
    <w:p w14:paraId="135C950B" w14:textId="77777777" w:rsidR="00595C27" w:rsidRDefault="00595C27" w:rsidP="00251A00">
      <w:pPr>
        <w:jc w:val="both"/>
        <w:rPr>
          <w:rFonts w:ascii="Calibri Light" w:hAnsi="Calibri Light" w:cs="Calibri Light"/>
          <w:sz w:val="22"/>
          <w:szCs w:val="22"/>
        </w:rPr>
      </w:pPr>
    </w:p>
    <w:p w14:paraId="48A8A0C1" w14:textId="77777777" w:rsidR="00FC39C3" w:rsidRDefault="00FC39C3" w:rsidP="00251A00">
      <w:pPr>
        <w:jc w:val="both"/>
        <w:rPr>
          <w:rFonts w:ascii="Calibri Light" w:hAnsi="Calibri Light" w:cs="Calibri Light"/>
          <w:sz w:val="22"/>
          <w:szCs w:val="22"/>
        </w:rPr>
      </w:pPr>
    </w:p>
    <w:p w14:paraId="01D81422" w14:textId="170FD333" w:rsidR="00251A00" w:rsidRDefault="00251A00" w:rsidP="00251A00">
      <w:pPr>
        <w:jc w:val="both"/>
        <w:rPr>
          <w:rFonts w:ascii="Calibri Light" w:hAnsi="Calibri Light" w:cs="Calibri Light"/>
          <w:sz w:val="22"/>
          <w:szCs w:val="22"/>
        </w:rPr>
      </w:pPr>
      <w:r w:rsidRPr="00DE6542">
        <w:rPr>
          <w:rFonts w:ascii="Calibri Light" w:hAnsi="Calibri Light" w:cs="Calibri Light"/>
          <w:sz w:val="22"/>
          <w:szCs w:val="22"/>
        </w:rPr>
        <w:t>Cada uno de estos bloques agrupa procesos y componentes tecnológicos que permiten capturar, organizar, proteger y difundir información técnica clave, garantizando su trazabilidad, integridad y disponibilidad.</w:t>
      </w:r>
    </w:p>
    <w:p w14:paraId="5525FCC1" w14:textId="0605988A" w:rsidR="00067DE4" w:rsidRDefault="00067DE4" w:rsidP="00251A00">
      <w:pPr>
        <w:jc w:val="both"/>
        <w:rPr>
          <w:rFonts w:ascii="Calibri Light" w:hAnsi="Calibri Light" w:cs="Calibri Light"/>
          <w:sz w:val="22"/>
          <w:szCs w:val="22"/>
        </w:rPr>
      </w:pPr>
    </w:p>
    <w:p w14:paraId="1FB9A872" w14:textId="307FEDBD" w:rsidR="00067DE4" w:rsidRDefault="00067DE4" w:rsidP="00251A00">
      <w:pPr>
        <w:jc w:val="both"/>
        <w:rPr>
          <w:rFonts w:ascii="Calibri Light" w:hAnsi="Calibri Light" w:cs="Calibri Light"/>
          <w:sz w:val="22"/>
          <w:szCs w:val="22"/>
        </w:rPr>
      </w:pPr>
    </w:p>
    <w:p w14:paraId="36D03AB6" w14:textId="6D6923CB" w:rsidR="00067DE4" w:rsidRDefault="00067DE4" w:rsidP="00251A00">
      <w:pPr>
        <w:jc w:val="both"/>
        <w:rPr>
          <w:rFonts w:ascii="Calibri Light" w:hAnsi="Calibri Light" w:cs="Calibri Light"/>
          <w:sz w:val="22"/>
          <w:szCs w:val="22"/>
        </w:rPr>
      </w:pPr>
    </w:p>
    <w:p w14:paraId="758F0E1E" w14:textId="0C1D79FB" w:rsidR="00067DE4" w:rsidRDefault="00067DE4" w:rsidP="00251A00">
      <w:pPr>
        <w:jc w:val="both"/>
        <w:rPr>
          <w:rFonts w:ascii="Calibri Light" w:hAnsi="Calibri Light" w:cs="Calibri Light"/>
          <w:sz w:val="22"/>
          <w:szCs w:val="22"/>
        </w:rPr>
      </w:pPr>
    </w:p>
    <w:p w14:paraId="61DD4702" w14:textId="00F9F3BE" w:rsidR="00067DE4" w:rsidRDefault="00067DE4" w:rsidP="00251A00">
      <w:pPr>
        <w:jc w:val="both"/>
        <w:rPr>
          <w:rFonts w:ascii="Calibri Light" w:hAnsi="Calibri Light" w:cs="Calibri Light"/>
          <w:sz w:val="22"/>
          <w:szCs w:val="22"/>
        </w:rPr>
      </w:pPr>
    </w:p>
    <w:p w14:paraId="1008759A" w14:textId="2F94438E" w:rsidR="00067DE4" w:rsidRDefault="00067DE4" w:rsidP="00251A00">
      <w:pPr>
        <w:jc w:val="both"/>
        <w:rPr>
          <w:rFonts w:ascii="Calibri Light" w:hAnsi="Calibri Light" w:cs="Calibri Light"/>
          <w:sz w:val="22"/>
          <w:szCs w:val="22"/>
        </w:rPr>
      </w:pPr>
    </w:p>
    <w:p w14:paraId="65F05CD0" w14:textId="51257EED" w:rsidR="00067DE4" w:rsidRDefault="00067DE4" w:rsidP="00251A00">
      <w:pPr>
        <w:jc w:val="both"/>
        <w:rPr>
          <w:rFonts w:ascii="Calibri Light" w:hAnsi="Calibri Light" w:cs="Calibri Light"/>
          <w:sz w:val="22"/>
          <w:szCs w:val="22"/>
        </w:rPr>
      </w:pPr>
    </w:p>
    <w:p w14:paraId="268326B6" w14:textId="1070DB14" w:rsidR="00067DE4" w:rsidRDefault="00067DE4" w:rsidP="00251A00">
      <w:pPr>
        <w:jc w:val="both"/>
        <w:rPr>
          <w:rFonts w:ascii="Calibri Light" w:hAnsi="Calibri Light" w:cs="Calibri Light"/>
          <w:sz w:val="22"/>
          <w:szCs w:val="22"/>
        </w:rPr>
      </w:pPr>
    </w:p>
    <w:p w14:paraId="54914244" w14:textId="63A806CA" w:rsidR="00067DE4" w:rsidRDefault="00067DE4" w:rsidP="00251A00">
      <w:pPr>
        <w:jc w:val="both"/>
        <w:rPr>
          <w:rFonts w:ascii="Calibri Light" w:hAnsi="Calibri Light" w:cs="Calibri Light"/>
          <w:sz w:val="22"/>
          <w:szCs w:val="22"/>
        </w:rPr>
      </w:pPr>
    </w:p>
    <w:p w14:paraId="4019564A" w14:textId="271025BB" w:rsidR="00067DE4" w:rsidRDefault="00067DE4" w:rsidP="00251A00">
      <w:pPr>
        <w:jc w:val="both"/>
        <w:rPr>
          <w:rFonts w:ascii="Calibri Light" w:hAnsi="Calibri Light" w:cs="Calibri Light"/>
          <w:sz w:val="22"/>
          <w:szCs w:val="22"/>
        </w:rPr>
      </w:pPr>
    </w:p>
    <w:p w14:paraId="3475B581" w14:textId="77777777" w:rsidR="00067DE4" w:rsidRPr="00A6778F" w:rsidRDefault="00067DE4" w:rsidP="00251A00">
      <w:pPr>
        <w:jc w:val="both"/>
        <w:rPr>
          <w:rFonts w:ascii="Calibri Light" w:hAnsi="Calibri Light" w:cs="Calibri Light"/>
          <w:sz w:val="22"/>
          <w:szCs w:val="22"/>
        </w:rPr>
      </w:pPr>
    </w:p>
    <w:p w14:paraId="598908C8" w14:textId="39CCCC8A" w:rsidR="00251A00" w:rsidRPr="001B43BE" w:rsidRDefault="00A6778F" w:rsidP="00A6778F">
      <w:pPr>
        <w:pStyle w:val="Tablas"/>
        <w:spacing w:after="0"/>
        <w:jc w:val="left"/>
        <w:rPr>
          <w:rFonts w:asciiTheme="majorHAnsi" w:hAnsiTheme="majorHAnsi" w:cstheme="majorHAnsi"/>
        </w:rPr>
      </w:pPr>
      <w:r>
        <w:rPr>
          <w:noProof/>
        </w:rPr>
        <mc:AlternateContent>
          <mc:Choice Requires="wps">
            <w:drawing>
              <wp:anchor distT="0" distB="0" distL="114300" distR="114300" simplePos="0" relativeHeight="251682816" behindDoc="0" locked="0" layoutInCell="1" allowOverlap="1" wp14:anchorId="099166AF" wp14:editId="2676E871">
                <wp:simplePos x="0" y="0"/>
                <wp:positionH relativeFrom="column">
                  <wp:posOffset>-420153</wp:posOffset>
                </wp:positionH>
                <wp:positionV relativeFrom="paragraph">
                  <wp:posOffset>147360</wp:posOffset>
                </wp:positionV>
                <wp:extent cx="6050280" cy="167833"/>
                <wp:effectExtent l="0" t="0" r="7620" b="3810"/>
                <wp:wrapNone/>
                <wp:docPr id="1421088714" name="Cuadro de texto 1421088714"/>
                <wp:cNvGraphicFramePr/>
                <a:graphic xmlns:a="http://schemas.openxmlformats.org/drawingml/2006/main">
                  <a:graphicData uri="http://schemas.microsoft.com/office/word/2010/wordprocessingShape">
                    <wps:wsp>
                      <wps:cNvSpPr txBox="1"/>
                      <wps:spPr>
                        <a:xfrm>
                          <a:off x="0" y="0"/>
                          <a:ext cx="6050280" cy="167833"/>
                        </a:xfrm>
                        <a:prstGeom prst="rect">
                          <a:avLst/>
                        </a:prstGeom>
                        <a:solidFill>
                          <a:prstClr val="white"/>
                        </a:solidFill>
                        <a:ln>
                          <a:noFill/>
                        </a:ln>
                      </wps:spPr>
                      <wps:txbx>
                        <w:txbxContent>
                          <w:p w14:paraId="3DCD64AF" w14:textId="4C284F6D" w:rsidR="00941411" w:rsidRPr="00A6778F" w:rsidRDefault="00941411" w:rsidP="00A6778F">
                            <w:pPr>
                              <w:pStyle w:val="Descripcin"/>
                              <w:rPr>
                                <w:rFonts w:asciiTheme="majorHAnsi" w:hAnsiTheme="majorHAnsi" w:cstheme="majorHAnsi"/>
                                <w:noProof/>
                                <w:sz w:val="24"/>
                                <w:szCs w:val="24"/>
                              </w:rPr>
                            </w:pPr>
                            <w:bookmarkStart w:id="48" w:name="_Toc199757575"/>
                            <w:r w:rsidRPr="00A6778F">
                              <w:rPr>
                                <w:rFonts w:asciiTheme="majorHAnsi" w:hAnsiTheme="majorHAnsi" w:cstheme="majorHAnsi"/>
                              </w:rPr>
                              <w:t xml:space="preserve">Ilustración </w:t>
                            </w:r>
                            <w:r w:rsidRPr="00A6778F">
                              <w:rPr>
                                <w:rFonts w:asciiTheme="majorHAnsi" w:hAnsiTheme="majorHAnsi" w:cstheme="majorHAnsi"/>
                              </w:rPr>
                              <w:fldChar w:fldCharType="begin"/>
                            </w:r>
                            <w:r w:rsidRPr="00A6778F">
                              <w:rPr>
                                <w:rFonts w:asciiTheme="majorHAnsi" w:hAnsiTheme="majorHAnsi" w:cstheme="majorHAnsi"/>
                              </w:rPr>
                              <w:instrText xml:space="preserve"> SEQ Ilustración \* ARABIC </w:instrText>
                            </w:r>
                            <w:r w:rsidRPr="00A6778F">
                              <w:rPr>
                                <w:rFonts w:asciiTheme="majorHAnsi" w:hAnsiTheme="majorHAnsi" w:cstheme="majorHAnsi"/>
                              </w:rPr>
                              <w:fldChar w:fldCharType="separate"/>
                            </w:r>
                            <w:r>
                              <w:rPr>
                                <w:rFonts w:asciiTheme="majorHAnsi" w:hAnsiTheme="majorHAnsi" w:cstheme="majorHAnsi"/>
                                <w:noProof/>
                              </w:rPr>
                              <w:t>2</w:t>
                            </w:r>
                            <w:r w:rsidRPr="00A6778F">
                              <w:rPr>
                                <w:rFonts w:asciiTheme="majorHAnsi" w:hAnsiTheme="majorHAnsi" w:cstheme="majorHAnsi"/>
                              </w:rPr>
                              <w:fldChar w:fldCharType="end"/>
                            </w:r>
                            <w:r>
                              <w:rPr>
                                <w:rFonts w:asciiTheme="majorHAnsi" w:hAnsiTheme="majorHAnsi" w:cstheme="majorHAnsi"/>
                              </w:rPr>
                              <w:t xml:space="preserve">: </w:t>
                            </w:r>
                            <w:r w:rsidRPr="00A6778F">
                              <w:rPr>
                                <w:rFonts w:asciiTheme="majorHAnsi" w:hAnsiTheme="majorHAnsi" w:cstheme="majorHAnsi"/>
                              </w:rPr>
                              <w:t>Bloques Funcionales – Proyecto BIPE 4.0.</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9166AF" id="_x0000_t202" coordsize="21600,21600" o:spt="202" path="m,l,21600r21600,l21600,xe">
                <v:stroke joinstyle="miter"/>
                <v:path gradientshapeok="t" o:connecttype="rect"/>
              </v:shapetype>
              <v:shape id="Cuadro de texto 1421088714" o:spid="_x0000_s1032" type="#_x0000_t202" style="position:absolute;margin-left:-33.1pt;margin-top:11.6pt;width:476.4pt;height:13.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" stroked="f">
                <v:textbox inset="0,0,0,0">
                  <w:txbxContent>
                    <w:p w14:paraId="3DCD64AF" w14:textId="4C284F6D" w:rsidR="00941411" w:rsidRPr="00A6778F" w:rsidRDefault="00941411" w:rsidP="00A6778F">
                      <w:pPr>
                        <w:pStyle w:val="Descripcin"/>
                        <w:rPr>
                          <w:rFonts w:asciiTheme="majorHAnsi" w:hAnsiTheme="majorHAnsi" w:cstheme="majorHAnsi"/>
                          <w:noProof/>
                          <w:sz w:val="24"/>
                          <w:szCs w:val="24"/>
                        </w:rPr>
                      </w:pPr>
                      <w:bookmarkStart w:id="49" w:name="_Toc199757575"/>
                      <w:r w:rsidRPr="00A6778F">
                        <w:rPr>
                          <w:rFonts w:asciiTheme="majorHAnsi" w:hAnsiTheme="majorHAnsi" w:cstheme="majorHAnsi"/>
                        </w:rPr>
                        <w:t xml:space="preserve">Ilustración </w:t>
                      </w:r>
                      <w:r w:rsidRPr="00A6778F">
                        <w:rPr>
                          <w:rFonts w:asciiTheme="majorHAnsi" w:hAnsiTheme="majorHAnsi" w:cstheme="majorHAnsi"/>
                        </w:rPr>
                        <w:fldChar w:fldCharType="begin"/>
                      </w:r>
                      <w:r w:rsidRPr="00A6778F">
                        <w:rPr>
                          <w:rFonts w:asciiTheme="majorHAnsi" w:hAnsiTheme="majorHAnsi" w:cstheme="majorHAnsi"/>
                        </w:rPr>
                        <w:instrText xml:space="preserve"> SEQ Ilustración \* ARABIC </w:instrText>
                      </w:r>
                      <w:r w:rsidRPr="00A6778F">
                        <w:rPr>
                          <w:rFonts w:asciiTheme="majorHAnsi" w:hAnsiTheme="majorHAnsi" w:cstheme="majorHAnsi"/>
                        </w:rPr>
                        <w:fldChar w:fldCharType="separate"/>
                      </w:r>
                      <w:r>
                        <w:rPr>
                          <w:rFonts w:asciiTheme="majorHAnsi" w:hAnsiTheme="majorHAnsi" w:cstheme="majorHAnsi"/>
                          <w:noProof/>
                        </w:rPr>
                        <w:t>2</w:t>
                      </w:r>
                      <w:r w:rsidRPr="00A6778F">
                        <w:rPr>
                          <w:rFonts w:asciiTheme="majorHAnsi" w:hAnsiTheme="majorHAnsi" w:cstheme="majorHAnsi"/>
                        </w:rPr>
                        <w:fldChar w:fldCharType="end"/>
                      </w:r>
                      <w:r>
                        <w:rPr>
                          <w:rFonts w:asciiTheme="majorHAnsi" w:hAnsiTheme="majorHAnsi" w:cstheme="majorHAnsi"/>
                        </w:rPr>
                        <w:t xml:space="preserve">: </w:t>
                      </w:r>
                      <w:r w:rsidRPr="00A6778F">
                        <w:rPr>
                          <w:rFonts w:asciiTheme="majorHAnsi" w:hAnsiTheme="majorHAnsi" w:cstheme="majorHAnsi"/>
                        </w:rPr>
                        <w:t>Bloques Funcionales – Proyecto BIPE 4.0.</w:t>
                      </w:r>
                      <w:bookmarkEnd w:id="49"/>
                    </w:p>
                  </w:txbxContent>
                </v:textbox>
              </v:shape>
            </w:pict>
          </mc:Fallback>
        </mc:AlternateContent>
      </w:r>
    </w:p>
    <w:p w14:paraId="7922D5D8" w14:textId="7DA1A158" w:rsidR="00251A00" w:rsidRDefault="001B43BE" w:rsidP="00251A00">
      <w:pPr>
        <w:jc w:val="both"/>
        <w:rPr>
          <w:rFonts w:ascii="Calibri Light" w:hAnsi="Calibri Light" w:cs="Calibri Light"/>
          <w:sz w:val="22"/>
          <w:szCs w:val="22"/>
        </w:rPr>
      </w:pPr>
      <w:r>
        <w:rPr>
          <w:noProof/>
        </w:rPr>
        <w:drawing>
          <wp:anchor distT="0" distB="0" distL="114300" distR="114300" simplePos="0" relativeHeight="251662336" behindDoc="0" locked="0" layoutInCell="1" allowOverlap="1" wp14:anchorId="38C6D044" wp14:editId="78239A5F">
            <wp:simplePos x="0" y="0"/>
            <wp:positionH relativeFrom="margin">
              <wp:posOffset>-435298</wp:posOffset>
            </wp:positionH>
            <wp:positionV relativeFrom="paragraph">
              <wp:posOffset>108354</wp:posOffset>
            </wp:positionV>
            <wp:extent cx="6050337" cy="2505075"/>
            <wp:effectExtent l="0" t="0" r="762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l="2811" t="4308" r="2225" b="10258"/>
                    <a:stretch>
                      <a:fillRect/>
                    </a:stretch>
                  </pic:blipFill>
                  <pic:spPr bwMode="auto">
                    <a:xfrm>
                      <a:off x="0" y="0"/>
                      <a:ext cx="6050337"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2B39C" w14:textId="77777777" w:rsidR="00251A00" w:rsidRDefault="00251A00" w:rsidP="00251A00">
      <w:pPr>
        <w:jc w:val="both"/>
        <w:rPr>
          <w:rFonts w:ascii="Calibri Light" w:hAnsi="Calibri Light" w:cs="Calibri Light"/>
          <w:sz w:val="22"/>
          <w:szCs w:val="22"/>
        </w:rPr>
      </w:pPr>
    </w:p>
    <w:p w14:paraId="73613020" w14:textId="77777777" w:rsidR="00251A00" w:rsidRDefault="00251A00" w:rsidP="00251A00">
      <w:pPr>
        <w:jc w:val="both"/>
        <w:rPr>
          <w:rFonts w:ascii="Calibri Light" w:hAnsi="Calibri Light" w:cs="Calibri Light"/>
          <w:sz w:val="22"/>
          <w:szCs w:val="22"/>
        </w:rPr>
      </w:pPr>
    </w:p>
    <w:p w14:paraId="72802E43" w14:textId="77777777" w:rsidR="00251A00" w:rsidRDefault="00251A00" w:rsidP="00251A00">
      <w:pPr>
        <w:jc w:val="both"/>
        <w:rPr>
          <w:rFonts w:ascii="Calibri Light" w:hAnsi="Calibri Light" w:cs="Calibri Light"/>
          <w:sz w:val="22"/>
          <w:szCs w:val="22"/>
        </w:rPr>
      </w:pPr>
    </w:p>
    <w:p w14:paraId="3A7BBD3F" w14:textId="77777777" w:rsidR="00251A00" w:rsidRDefault="00251A00" w:rsidP="00251A00">
      <w:pPr>
        <w:jc w:val="both"/>
        <w:rPr>
          <w:rFonts w:ascii="Calibri Light" w:hAnsi="Calibri Light" w:cs="Calibri Light"/>
          <w:sz w:val="22"/>
          <w:szCs w:val="22"/>
        </w:rPr>
      </w:pPr>
    </w:p>
    <w:p w14:paraId="3817EBEF" w14:textId="77777777" w:rsidR="00251A00" w:rsidRDefault="00251A00" w:rsidP="00251A00">
      <w:pPr>
        <w:jc w:val="both"/>
        <w:rPr>
          <w:rFonts w:ascii="Calibri Light" w:hAnsi="Calibri Light" w:cs="Calibri Light"/>
          <w:sz w:val="22"/>
          <w:szCs w:val="22"/>
        </w:rPr>
      </w:pPr>
    </w:p>
    <w:p w14:paraId="08C305B2" w14:textId="77777777" w:rsidR="00251A00" w:rsidRDefault="00251A00" w:rsidP="00251A00">
      <w:pPr>
        <w:jc w:val="both"/>
        <w:rPr>
          <w:rFonts w:ascii="Calibri Light" w:hAnsi="Calibri Light" w:cs="Calibri Light"/>
          <w:sz w:val="22"/>
          <w:szCs w:val="22"/>
        </w:rPr>
      </w:pPr>
    </w:p>
    <w:p w14:paraId="3CBE3749" w14:textId="77777777" w:rsidR="00251A00" w:rsidRDefault="00251A00" w:rsidP="00251A00">
      <w:pPr>
        <w:jc w:val="both"/>
        <w:rPr>
          <w:rFonts w:ascii="Calibri Light" w:hAnsi="Calibri Light" w:cs="Calibri Light"/>
          <w:sz w:val="22"/>
          <w:szCs w:val="22"/>
        </w:rPr>
      </w:pPr>
    </w:p>
    <w:p w14:paraId="685BB925" w14:textId="77777777" w:rsidR="00251A00" w:rsidRDefault="00251A00" w:rsidP="00251A00">
      <w:pPr>
        <w:jc w:val="both"/>
        <w:rPr>
          <w:rFonts w:ascii="Calibri Light" w:hAnsi="Calibri Light" w:cs="Calibri Light"/>
          <w:sz w:val="22"/>
          <w:szCs w:val="22"/>
        </w:rPr>
      </w:pPr>
    </w:p>
    <w:p w14:paraId="21DAA12D" w14:textId="77777777" w:rsidR="00251A00" w:rsidRDefault="00251A00" w:rsidP="00251A00">
      <w:pPr>
        <w:jc w:val="both"/>
        <w:rPr>
          <w:rFonts w:ascii="Calibri Light" w:hAnsi="Calibri Light" w:cs="Calibri Light"/>
          <w:sz w:val="22"/>
          <w:szCs w:val="22"/>
        </w:rPr>
      </w:pPr>
    </w:p>
    <w:p w14:paraId="5B6601EE" w14:textId="77777777" w:rsidR="00251A00" w:rsidRDefault="00251A00" w:rsidP="00251A00">
      <w:pPr>
        <w:jc w:val="both"/>
        <w:rPr>
          <w:rFonts w:ascii="Calibri Light" w:hAnsi="Calibri Light" w:cs="Calibri Light"/>
          <w:sz w:val="22"/>
          <w:szCs w:val="22"/>
        </w:rPr>
      </w:pPr>
    </w:p>
    <w:p w14:paraId="7364E558" w14:textId="77777777" w:rsidR="00251A00" w:rsidRDefault="00251A00" w:rsidP="00251A00">
      <w:pPr>
        <w:jc w:val="both"/>
        <w:rPr>
          <w:rFonts w:ascii="Calibri Light" w:hAnsi="Calibri Light" w:cs="Calibri Light"/>
          <w:sz w:val="22"/>
          <w:szCs w:val="22"/>
        </w:rPr>
      </w:pPr>
    </w:p>
    <w:p w14:paraId="00BF51AA" w14:textId="77777777" w:rsidR="00251A00" w:rsidRDefault="00251A00" w:rsidP="00251A00">
      <w:pPr>
        <w:jc w:val="center"/>
        <w:rPr>
          <w:rFonts w:ascii="Calibri Light" w:hAnsi="Calibri Light" w:cs="Calibri Light"/>
          <w:sz w:val="22"/>
          <w:szCs w:val="22"/>
        </w:rPr>
      </w:pPr>
    </w:p>
    <w:p w14:paraId="46ACA16D" w14:textId="77777777" w:rsidR="00251A00" w:rsidRDefault="00251A00" w:rsidP="00251A00">
      <w:pPr>
        <w:jc w:val="center"/>
        <w:rPr>
          <w:rFonts w:ascii="Calibri Light" w:hAnsi="Calibri Light" w:cs="Calibri Light"/>
          <w:sz w:val="22"/>
          <w:szCs w:val="22"/>
        </w:rPr>
      </w:pPr>
    </w:p>
    <w:p w14:paraId="67B9B50D" w14:textId="77777777" w:rsidR="00251A00" w:rsidRDefault="00251A00" w:rsidP="00251A00">
      <w:pPr>
        <w:jc w:val="center"/>
        <w:rPr>
          <w:rFonts w:ascii="Calibri Light" w:hAnsi="Calibri Light" w:cs="Calibri Light"/>
          <w:sz w:val="22"/>
          <w:szCs w:val="22"/>
        </w:rPr>
      </w:pPr>
    </w:p>
    <w:p w14:paraId="0A5EB659" w14:textId="77777777" w:rsidR="00A6778F" w:rsidRDefault="00A6778F" w:rsidP="00251A00">
      <w:pPr>
        <w:jc w:val="center"/>
        <w:rPr>
          <w:rFonts w:ascii="Calibri Light" w:hAnsi="Calibri Light" w:cs="Calibri Light"/>
          <w:i/>
          <w:color w:val="7F7F7F"/>
          <w:sz w:val="16"/>
          <w:szCs w:val="16"/>
        </w:rPr>
      </w:pPr>
    </w:p>
    <w:p w14:paraId="5A63B2F3" w14:textId="5EC017D2" w:rsidR="00251A00" w:rsidRPr="001B43BE" w:rsidRDefault="00251A00" w:rsidP="00251A00">
      <w:pPr>
        <w:jc w:val="center"/>
        <w:rPr>
          <w:rFonts w:ascii="Calibri Light" w:hAnsi="Calibri Light" w:cs="Calibri Light"/>
          <w:i/>
          <w:sz w:val="16"/>
          <w:szCs w:val="16"/>
        </w:rPr>
      </w:pPr>
      <w:r w:rsidRPr="001B43BE">
        <w:rPr>
          <w:rFonts w:ascii="Calibri Light" w:hAnsi="Calibri Light" w:cs="Calibri Light"/>
          <w:i/>
          <w:color w:val="7F7F7F"/>
          <w:sz w:val="16"/>
          <w:szCs w:val="16"/>
        </w:rPr>
        <w:t>Fuente: DAIEH</w:t>
      </w:r>
    </w:p>
    <w:p w14:paraId="3DD4FE74" w14:textId="77777777" w:rsidR="00251A00" w:rsidRDefault="00251A00" w:rsidP="00251A00">
      <w:pPr>
        <w:jc w:val="both"/>
        <w:rPr>
          <w:rFonts w:ascii="Calibri Light" w:hAnsi="Calibri Light" w:cs="Calibri Light"/>
          <w:sz w:val="22"/>
          <w:szCs w:val="22"/>
        </w:rPr>
      </w:pPr>
    </w:p>
    <w:bookmarkEnd w:id="47"/>
    <w:p w14:paraId="2F326A61" w14:textId="1943515B" w:rsidR="00251A00" w:rsidRDefault="00251A00" w:rsidP="00251A00">
      <w:pPr>
        <w:jc w:val="both"/>
        <w:rPr>
          <w:rFonts w:ascii="Calibri Light" w:hAnsi="Calibri Light" w:cs="Calibri Light"/>
          <w:sz w:val="22"/>
          <w:szCs w:val="22"/>
        </w:rPr>
      </w:pPr>
      <w:r w:rsidRPr="00E962D9">
        <w:rPr>
          <w:rFonts w:ascii="Calibri Light" w:hAnsi="Calibri Light" w:cs="Calibri Light"/>
          <w:sz w:val="22"/>
          <w:szCs w:val="22"/>
        </w:rPr>
        <w:t>En el marco del Contrato de Préstamo No. 4989/OC-EC, suscrito el 22 de diciembre de 2020 entre la República del Ecuador y el Banco Interamericano de Desarrollo (BID)</w:t>
      </w:r>
      <w:r>
        <w:rPr>
          <w:rFonts w:ascii="Calibri Light" w:hAnsi="Calibri Light" w:cs="Calibri Light"/>
          <w:sz w:val="22"/>
          <w:szCs w:val="22"/>
        </w:rPr>
        <w:t xml:space="preserve">, </w:t>
      </w:r>
      <w:r w:rsidRPr="00E962D9">
        <w:rPr>
          <w:rFonts w:ascii="Calibri Light" w:hAnsi="Calibri Light" w:cs="Calibri Light"/>
          <w:sz w:val="22"/>
          <w:szCs w:val="22"/>
        </w:rPr>
        <w:t>durante el año 2024 se realizaron las siguientes actividades:</w:t>
      </w:r>
    </w:p>
    <w:p w14:paraId="506A5D4C" w14:textId="77777777" w:rsidR="001B43BE" w:rsidRPr="00E962D9" w:rsidRDefault="001B43BE" w:rsidP="00251A00">
      <w:pPr>
        <w:shd w:val="clear" w:color="auto" w:fill="FFFFFF"/>
        <w:jc w:val="both"/>
        <w:rPr>
          <w:rFonts w:ascii="Calibri Light" w:hAnsi="Calibri Light" w:cs="Calibri Light"/>
          <w:sz w:val="22"/>
          <w:szCs w:val="22"/>
        </w:rPr>
      </w:pPr>
    </w:p>
    <w:p w14:paraId="0C893A7C" w14:textId="77777777" w:rsidR="00251A00" w:rsidRPr="00067DE4" w:rsidRDefault="00251A00" w:rsidP="00067DE4">
      <w:pPr>
        <w:pStyle w:val="Ttulo4"/>
        <w:rPr>
          <w:i w:val="0"/>
          <w:sz w:val="22"/>
          <w:szCs w:val="22"/>
        </w:rPr>
      </w:pPr>
      <w:r w:rsidRPr="00067DE4">
        <w:rPr>
          <w:i w:val="0"/>
          <w:sz w:val="22"/>
          <w:szCs w:val="22"/>
        </w:rPr>
        <w:t>Ejecución del Proyecto</w:t>
      </w:r>
    </w:p>
    <w:p w14:paraId="079556DB" w14:textId="77777777" w:rsidR="00251A00" w:rsidRPr="00E962D9" w:rsidRDefault="00251A00" w:rsidP="00251A00">
      <w:pPr>
        <w:shd w:val="clear" w:color="auto" w:fill="FFFFFF"/>
        <w:jc w:val="both"/>
        <w:rPr>
          <w:rFonts w:ascii="Calibri Light" w:hAnsi="Calibri Light" w:cs="Calibri Light"/>
          <w:sz w:val="22"/>
          <w:szCs w:val="22"/>
        </w:rPr>
      </w:pPr>
    </w:p>
    <w:p w14:paraId="1A6D4972" w14:textId="1AE9E5F3" w:rsidR="00251A00" w:rsidRPr="0016337C" w:rsidRDefault="00251A00" w:rsidP="0016337C">
      <w:pPr>
        <w:shd w:val="clear" w:color="auto" w:fill="FFFFFF"/>
        <w:jc w:val="both"/>
        <w:rPr>
          <w:rFonts w:ascii="Calibri Light" w:hAnsi="Calibri Light" w:cs="Calibri Light"/>
          <w:sz w:val="22"/>
          <w:szCs w:val="22"/>
        </w:rPr>
      </w:pPr>
      <w:r w:rsidRPr="0016337C">
        <w:rPr>
          <w:rFonts w:ascii="Calibri Light" w:hAnsi="Calibri Light" w:cs="Calibri Light"/>
          <w:sz w:val="22"/>
          <w:szCs w:val="22"/>
        </w:rPr>
        <w:t>Entre el 18 de octubre y el 15 de noviembre de 2024, el Proyecto BIPE 4.0 avanzó significativamente con la ejecución y entrega de varios componentes clave establecidos en el Contrato Nro. 023-2024. Durante este período, se formalizó la primera entrega del levantamiento de procesos, base fundamental para la automatización futura; se ejecutó la primera fase de la mejora de la capacidad técnica y operativa, mediante procesos de capacitación especializada al personal del Ministerio de Energía y Minas; se concretó la implementación e integración inicial de la solución tecnológica (software), garantizando la interoperabilidad con plataformas existentes; y se realizó la primera entrega correspondiente a la sistematización de procesos, enfocada en la documentación estructurada, instructivos y manuales operativos. Cada uno de estos entregables fue formalizado mediante solicitudes de pago específicas, reflejando el cumplimiento progresivo de los hitos técnicos establecidos en el contrato.</w:t>
      </w:r>
    </w:p>
    <w:p w14:paraId="6DA75648" w14:textId="77777777" w:rsidR="00251A00" w:rsidRDefault="00251A00" w:rsidP="00251A00">
      <w:pPr>
        <w:pStyle w:val="Prrafodelista"/>
        <w:shd w:val="clear" w:color="auto" w:fill="FFFFFF"/>
        <w:jc w:val="both"/>
        <w:rPr>
          <w:rFonts w:ascii="Calibri Light" w:hAnsi="Calibri Light" w:cs="Calibri Light"/>
          <w:sz w:val="22"/>
          <w:szCs w:val="22"/>
        </w:rPr>
      </w:pPr>
    </w:p>
    <w:p w14:paraId="47A5E704" w14:textId="77777777" w:rsidR="00251A00" w:rsidRPr="00067DE4" w:rsidRDefault="00251A00" w:rsidP="00067DE4">
      <w:pPr>
        <w:pStyle w:val="Ttulo4"/>
        <w:rPr>
          <w:i w:val="0"/>
          <w:sz w:val="22"/>
          <w:szCs w:val="22"/>
        </w:rPr>
      </w:pPr>
      <w:bookmarkStart w:id="50" w:name="_Toc157678220"/>
      <w:bookmarkStart w:id="51" w:name="_Toc197335073"/>
      <w:r w:rsidRPr="00067DE4">
        <w:rPr>
          <w:i w:val="0"/>
          <w:sz w:val="22"/>
          <w:szCs w:val="22"/>
        </w:rPr>
        <w:t>Balanza Comercial</w:t>
      </w:r>
      <w:bookmarkEnd w:id="50"/>
      <w:bookmarkEnd w:id="51"/>
    </w:p>
    <w:p w14:paraId="429C5CCB" w14:textId="77777777" w:rsidR="00251A00" w:rsidRDefault="00251A00" w:rsidP="00251A00"/>
    <w:p w14:paraId="03A0B782" w14:textId="77777777" w:rsidR="00251A00" w:rsidRDefault="00251A00" w:rsidP="00251A00">
      <w:pPr>
        <w:jc w:val="both"/>
        <w:rPr>
          <w:rFonts w:ascii="Calibri Light" w:hAnsi="Calibri Light" w:cs="Calibri Light"/>
          <w:sz w:val="22"/>
          <w:szCs w:val="22"/>
        </w:rPr>
      </w:pPr>
      <w:r w:rsidRPr="00EB735D">
        <w:rPr>
          <w:rFonts w:ascii="Calibri Light" w:hAnsi="Calibri Light" w:cs="Calibri Light"/>
          <w:sz w:val="22"/>
          <w:szCs w:val="22"/>
        </w:rPr>
        <w:t>La balanza comercial es un</w:t>
      </w:r>
      <w:r>
        <w:rPr>
          <w:rFonts w:ascii="Calibri Light" w:hAnsi="Calibri Light" w:cs="Calibri Light"/>
          <w:sz w:val="22"/>
          <w:szCs w:val="22"/>
        </w:rPr>
        <w:t xml:space="preserve"> indicador </w:t>
      </w:r>
      <w:r w:rsidRPr="00EB735D">
        <w:rPr>
          <w:rFonts w:ascii="Calibri Light" w:hAnsi="Calibri Light" w:cs="Calibri Light"/>
          <w:sz w:val="22"/>
          <w:szCs w:val="22"/>
        </w:rPr>
        <w:t>que muestra la diferencia entre el valor de las</w:t>
      </w:r>
      <w:r>
        <w:rPr>
          <w:rFonts w:ascii="Calibri Light" w:hAnsi="Calibri Light" w:cs="Calibri Light"/>
          <w:sz w:val="22"/>
          <w:szCs w:val="22"/>
        </w:rPr>
        <w:t xml:space="preserve"> </w:t>
      </w:r>
      <w:r w:rsidRPr="00EB735D">
        <w:rPr>
          <w:rFonts w:ascii="Calibri Light" w:hAnsi="Calibri Light" w:cs="Calibri Light"/>
          <w:sz w:val="22"/>
          <w:szCs w:val="22"/>
        </w:rPr>
        <w:t xml:space="preserve">exportaciones y el valor de las importaciones </w:t>
      </w:r>
      <w:r>
        <w:rPr>
          <w:rFonts w:ascii="Calibri Light" w:hAnsi="Calibri Light" w:cs="Calibri Light"/>
          <w:sz w:val="22"/>
          <w:szCs w:val="22"/>
        </w:rPr>
        <w:t>del volumen de hidrocarburos</w:t>
      </w:r>
      <w:r w:rsidRPr="00EB735D">
        <w:rPr>
          <w:rFonts w:ascii="Calibri Light" w:hAnsi="Calibri Light" w:cs="Calibri Light"/>
          <w:sz w:val="22"/>
          <w:szCs w:val="22"/>
        </w:rPr>
        <w:t xml:space="preserve"> durante un período de tiempo específico, generalmente un año. Cuando las exportaciones superan a las importaciones, se dice que el país tiene un superávit, mientras que, si las importaciones son mayores que las exportaciones, se dice que hay un déficit.</w:t>
      </w:r>
    </w:p>
    <w:p w14:paraId="47ACAEF2" w14:textId="77777777" w:rsidR="00251A00" w:rsidRPr="00A51E6E" w:rsidRDefault="00251A00" w:rsidP="00251A00">
      <w:pPr>
        <w:pStyle w:val="Default"/>
        <w:jc w:val="both"/>
        <w:rPr>
          <w:rFonts w:ascii="Calibri Light" w:hAnsi="Calibri Light" w:cs="Times New Roman"/>
          <w:color w:val="auto"/>
          <w:sz w:val="22"/>
          <w:szCs w:val="22"/>
        </w:rPr>
      </w:pPr>
    </w:p>
    <w:p w14:paraId="46C06702" w14:textId="77777777" w:rsidR="00251A00" w:rsidRPr="00A51E6E" w:rsidRDefault="00251A00" w:rsidP="00251A00">
      <w:pPr>
        <w:jc w:val="both"/>
        <w:rPr>
          <w:rFonts w:ascii="Calibri Light" w:hAnsi="Calibri Light"/>
          <w:sz w:val="22"/>
          <w:szCs w:val="22"/>
          <w:lang w:eastAsia="es-EC"/>
        </w:rPr>
      </w:pPr>
      <w:r w:rsidRPr="00A51E6E">
        <w:rPr>
          <w:rFonts w:ascii="Calibri Light" w:hAnsi="Calibri Light"/>
          <w:sz w:val="22"/>
          <w:szCs w:val="22"/>
          <w:lang w:eastAsia="es-EC"/>
        </w:rPr>
        <w:lastRenderedPageBreak/>
        <w:t xml:space="preserve">Durante el primer trimestre del año 2024, la Balanza Comercial </w:t>
      </w:r>
      <w:proofErr w:type="spellStart"/>
      <w:r w:rsidRPr="00A51E6E">
        <w:rPr>
          <w:rFonts w:ascii="Calibri Light" w:hAnsi="Calibri Light"/>
          <w:sz w:val="22"/>
          <w:szCs w:val="22"/>
          <w:lang w:eastAsia="es-EC"/>
        </w:rPr>
        <w:t>Hidrocarburífera</w:t>
      </w:r>
      <w:proofErr w:type="spellEnd"/>
      <w:r w:rsidRPr="00A51E6E">
        <w:rPr>
          <w:rFonts w:ascii="Calibri Light" w:hAnsi="Calibri Light"/>
          <w:sz w:val="22"/>
          <w:szCs w:val="22"/>
          <w:lang w:eastAsia="es-EC"/>
        </w:rPr>
        <w:t xml:space="preserve"> presentó un resultado superior al estimado. Esto se debió principalmente a un incremento en las exportaciones de crudo, generado por un aumento en la producción de petróleo. Este aumento fue consecuencia de la ejecución de actividades previamente programadas, como la perforación y reacondicionamiento de pozos petroleros. Además, se registró una disminución de las importaciones de derivados, entre ellos la nafta Ron 95, insumo utilizado en la elaboración de gasolina Súper Premium, lo que también contribuyó al mejor desempeño de la balanza en este período.</w:t>
      </w:r>
    </w:p>
    <w:p w14:paraId="5E3CA38C" w14:textId="77777777" w:rsidR="00251A00" w:rsidRPr="00A51E6E" w:rsidRDefault="00251A00" w:rsidP="00251A00">
      <w:pPr>
        <w:jc w:val="both"/>
        <w:rPr>
          <w:rFonts w:ascii="Calibri Light" w:hAnsi="Calibri Light"/>
          <w:sz w:val="22"/>
          <w:szCs w:val="22"/>
          <w:lang w:eastAsia="es-EC"/>
        </w:rPr>
      </w:pPr>
    </w:p>
    <w:p w14:paraId="575B1A4F" w14:textId="77777777" w:rsidR="00251A00" w:rsidRPr="00A51E6E" w:rsidRDefault="00251A00" w:rsidP="00251A00">
      <w:pPr>
        <w:jc w:val="both"/>
        <w:rPr>
          <w:rFonts w:ascii="Calibri Light" w:hAnsi="Calibri Light"/>
          <w:sz w:val="22"/>
          <w:szCs w:val="22"/>
          <w:lang w:eastAsia="es-EC"/>
        </w:rPr>
      </w:pPr>
      <w:r w:rsidRPr="00A51E6E">
        <w:rPr>
          <w:rFonts w:ascii="Calibri Light" w:hAnsi="Calibri Light"/>
          <w:sz w:val="22"/>
          <w:szCs w:val="22"/>
          <w:lang w:eastAsia="es-EC"/>
        </w:rPr>
        <w:t>En el segundo trimestre, la Balanza Comercial real fue inferior a la estimada, debido a una caída en las exportaciones de crudo, particularmente durante el mes de junio. Esta reducción fue provocada por un evento de Fuerza Mayor, comunicado oficialmente por el Oleoducto de Crudos Pesados (OCP), el 17 de junio de 2024. Según este reporte, intensas lluvias en la provincia de Napo ocasionaron una crecida extraordinaria de los ríos orientales y una erosión severa del cauce del río Quijos, lo que afectó el derecho de vía del oleoducto en el punto KP 102+700, en la parroquia Gonzalo Díaz de Pineda (cantón El Chaco). Esta situación obligó a suspender temporalmente el transporte de crudo como medida preventiva para evitar daños ambientales.</w:t>
      </w:r>
    </w:p>
    <w:p w14:paraId="5D0D2A7B" w14:textId="77777777" w:rsidR="00251A00" w:rsidRPr="00A51E6E" w:rsidRDefault="00251A00" w:rsidP="00251A00">
      <w:pPr>
        <w:jc w:val="both"/>
        <w:rPr>
          <w:rFonts w:ascii="Calibri Light" w:hAnsi="Calibri Light"/>
          <w:sz w:val="22"/>
          <w:szCs w:val="22"/>
          <w:lang w:eastAsia="es-EC"/>
        </w:rPr>
      </w:pPr>
    </w:p>
    <w:p w14:paraId="5D238C18" w14:textId="77777777" w:rsidR="00251A00" w:rsidRPr="00A51E6E" w:rsidRDefault="00251A00" w:rsidP="00251A00">
      <w:pPr>
        <w:jc w:val="both"/>
        <w:rPr>
          <w:rFonts w:ascii="Calibri Light" w:hAnsi="Calibri Light"/>
          <w:sz w:val="22"/>
          <w:szCs w:val="22"/>
          <w:lang w:eastAsia="es-EC"/>
        </w:rPr>
      </w:pPr>
      <w:r w:rsidRPr="00A51E6E">
        <w:rPr>
          <w:rFonts w:ascii="Calibri Light" w:hAnsi="Calibri Light"/>
          <w:sz w:val="22"/>
          <w:szCs w:val="22"/>
          <w:lang w:eastAsia="es-EC"/>
        </w:rPr>
        <w:t xml:space="preserve">En el tercer trimestre, la Balanza Comercial volvió a ubicarse por debajo de lo estimado, debido principalmente a un aumento en las importaciones de derivados en comparación con lo proyectado. </w:t>
      </w:r>
    </w:p>
    <w:p w14:paraId="37C265A3" w14:textId="77777777" w:rsidR="00251A00" w:rsidRPr="00A51E6E" w:rsidRDefault="00251A00" w:rsidP="00251A00">
      <w:pPr>
        <w:jc w:val="both"/>
        <w:rPr>
          <w:rFonts w:ascii="Calibri Light" w:hAnsi="Calibri Light"/>
          <w:sz w:val="22"/>
          <w:szCs w:val="22"/>
          <w:lang w:eastAsia="es-EC"/>
        </w:rPr>
      </w:pPr>
    </w:p>
    <w:p w14:paraId="37C1EDCA" w14:textId="77777777" w:rsidR="00251A00" w:rsidRPr="00A51E6E" w:rsidRDefault="00251A00" w:rsidP="00251A00">
      <w:pPr>
        <w:jc w:val="both"/>
        <w:rPr>
          <w:rFonts w:ascii="Calibri Light" w:hAnsi="Calibri Light"/>
          <w:sz w:val="22"/>
          <w:szCs w:val="22"/>
          <w:lang w:eastAsia="es-EC"/>
        </w:rPr>
      </w:pPr>
      <w:r w:rsidRPr="00A51E6E">
        <w:rPr>
          <w:rFonts w:ascii="Calibri Light" w:hAnsi="Calibri Light"/>
          <w:sz w:val="22"/>
          <w:szCs w:val="22"/>
          <w:lang w:eastAsia="es-EC"/>
        </w:rPr>
        <w:t>Finalmente, en el cuarto trimestre del 2024, la Balanza Comercial presentó un resultado mucho menor al estimado. Este comportamiento se explica por una disminución general de las actividades en el sector petrolero, lo que generó una caída en la producción nacional de crudo. Además, la meta estimada para este trimestre se había establecido en función de proyecciones realizadas en el año 2022, sin considerar la realidad operativa actual. Uno de los factores clave que contribuyó a esta disminución fue el cierre del campo ITT, lo que afectó de manera significativa los niveles de producción y, por ende, las exportaciones.</w:t>
      </w:r>
    </w:p>
    <w:p w14:paraId="25CC347A" w14:textId="77777777" w:rsidR="00251A00" w:rsidRPr="00A51E6E" w:rsidRDefault="00251A00" w:rsidP="00251A00">
      <w:pPr>
        <w:jc w:val="both"/>
        <w:rPr>
          <w:rFonts w:ascii="Calibri Light" w:hAnsi="Calibri Light"/>
          <w:sz w:val="22"/>
          <w:szCs w:val="22"/>
        </w:rPr>
      </w:pPr>
    </w:p>
    <w:p w14:paraId="14854F37" w14:textId="77777777" w:rsidR="00FE7273" w:rsidRPr="00A51E6E" w:rsidRDefault="00FE7273" w:rsidP="00251A00">
      <w:pPr>
        <w:jc w:val="both"/>
        <w:rPr>
          <w:rFonts w:ascii="Calibri Light" w:hAnsi="Calibri Light"/>
          <w:sz w:val="22"/>
          <w:szCs w:val="22"/>
        </w:rPr>
      </w:pPr>
    </w:p>
    <w:p w14:paraId="4E751818" w14:textId="53E13F94" w:rsidR="00251A00" w:rsidRPr="001B43BE" w:rsidRDefault="00251A00" w:rsidP="00F716E9">
      <w:pPr>
        <w:pStyle w:val="Tablas"/>
        <w:spacing w:after="0"/>
        <w:rPr>
          <w:rFonts w:asciiTheme="majorHAnsi" w:hAnsiTheme="majorHAnsi" w:cstheme="majorHAnsi"/>
        </w:rPr>
      </w:pPr>
      <w:bookmarkStart w:id="52" w:name="_Toc197334693"/>
      <w:bookmarkStart w:id="53" w:name="_Hlk157151425"/>
      <w:bookmarkStart w:id="54" w:name="_Toc199757545"/>
      <w:r w:rsidRPr="001B43BE">
        <w:rPr>
          <w:rFonts w:asciiTheme="majorHAnsi" w:hAnsiTheme="majorHAnsi" w:cstheme="majorHAnsi"/>
        </w:rPr>
        <w:t xml:space="preserve">Figura </w:t>
      </w:r>
      <w:r w:rsidR="002026B0">
        <w:rPr>
          <w:rFonts w:asciiTheme="majorHAnsi" w:hAnsiTheme="majorHAnsi" w:cstheme="majorHAnsi"/>
        </w:rPr>
        <w:fldChar w:fldCharType="begin"/>
      </w:r>
      <w:r w:rsidR="002026B0">
        <w:rPr>
          <w:rFonts w:asciiTheme="majorHAnsi" w:hAnsiTheme="majorHAnsi" w:cstheme="majorHAnsi"/>
        </w:rPr>
        <w:instrText xml:space="preserve"> SEQ Figura \* ARABIC </w:instrText>
      </w:r>
      <w:r w:rsidR="002026B0">
        <w:rPr>
          <w:rFonts w:asciiTheme="majorHAnsi" w:hAnsiTheme="majorHAnsi" w:cstheme="majorHAnsi"/>
        </w:rPr>
        <w:fldChar w:fldCharType="separate"/>
      </w:r>
      <w:r w:rsidR="0016337C">
        <w:rPr>
          <w:rFonts w:asciiTheme="majorHAnsi" w:hAnsiTheme="majorHAnsi" w:cstheme="majorHAnsi"/>
          <w:noProof/>
        </w:rPr>
        <w:t>2</w:t>
      </w:r>
      <w:r w:rsidR="002026B0">
        <w:rPr>
          <w:rFonts w:asciiTheme="majorHAnsi" w:hAnsiTheme="majorHAnsi" w:cstheme="majorHAnsi"/>
        </w:rPr>
        <w:fldChar w:fldCharType="end"/>
      </w:r>
      <w:r w:rsidRPr="001B43BE">
        <w:rPr>
          <w:rFonts w:asciiTheme="majorHAnsi" w:hAnsiTheme="majorHAnsi" w:cstheme="majorHAnsi"/>
        </w:rPr>
        <w:t xml:space="preserve">: Balanza Comercial </w:t>
      </w:r>
      <w:proofErr w:type="spellStart"/>
      <w:r w:rsidRPr="001B43BE">
        <w:rPr>
          <w:rFonts w:asciiTheme="majorHAnsi" w:hAnsiTheme="majorHAnsi" w:cstheme="majorHAnsi"/>
        </w:rPr>
        <w:t>Hidrocarburífera</w:t>
      </w:r>
      <w:proofErr w:type="spellEnd"/>
      <w:r w:rsidRPr="001B43BE">
        <w:rPr>
          <w:rFonts w:asciiTheme="majorHAnsi" w:hAnsiTheme="majorHAnsi" w:cstheme="majorHAnsi"/>
        </w:rPr>
        <w:t>, período 2024</w:t>
      </w:r>
      <w:bookmarkEnd w:id="52"/>
      <w:bookmarkEnd w:id="54"/>
    </w:p>
    <w:bookmarkEnd w:id="53"/>
    <w:p w14:paraId="56E313C8" w14:textId="6E953FDA" w:rsidR="00251A00" w:rsidRDefault="00251A00" w:rsidP="00F716E9">
      <w:pPr>
        <w:jc w:val="center"/>
      </w:pPr>
      <w:r w:rsidRPr="00F716E9">
        <w:rPr>
          <w:noProof/>
          <w:sz w:val="18"/>
          <w:szCs w:val="18"/>
        </w:rPr>
        <w:drawing>
          <wp:inline distT="0" distB="0" distL="0" distR="0" wp14:anchorId="3E308F01" wp14:editId="173844C4">
            <wp:extent cx="4017017" cy="2288642"/>
            <wp:effectExtent l="0" t="0" r="2540" b="1651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7ACC87" w14:textId="49C33082" w:rsidR="00251A00" w:rsidRPr="001B43BE" w:rsidRDefault="00F716E9" w:rsidP="00F716E9">
      <w:pPr>
        <w:jc w:val="center"/>
        <w:rPr>
          <w:rFonts w:ascii="Calibri Light" w:hAnsi="Calibri Light" w:cs="Calibri Light"/>
          <w:i/>
          <w:color w:val="7F7F7F"/>
          <w:sz w:val="16"/>
          <w:szCs w:val="16"/>
        </w:rPr>
      </w:pPr>
      <w:r>
        <w:rPr>
          <w:rFonts w:ascii="Calibri Light" w:hAnsi="Calibri Light" w:cs="Calibri Light"/>
          <w:i/>
          <w:color w:val="7F7F7F"/>
          <w:sz w:val="16"/>
          <w:szCs w:val="16"/>
        </w:rPr>
        <w:t xml:space="preserve">                     </w:t>
      </w:r>
      <w:r w:rsidR="00251A00" w:rsidRPr="001B43BE">
        <w:rPr>
          <w:rFonts w:ascii="Calibri Light" w:hAnsi="Calibri Light" w:cs="Calibri Light"/>
          <w:i/>
          <w:color w:val="7F7F7F"/>
          <w:sz w:val="16"/>
          <w:szCs w:val="16"/>
        </w:rPr>
        <w:t xml:space="preserve">Fuentes:  EP PETROECUADOR, Dirección Económica y Comercio Internacional de Petróleo del MEM, Estimaciones de </w:t>
      </w:r>
      <w:r>
        <w:rPr>
          <w:rFonts w:ascii="Calibri Light" w:hAnsi="Calibri Light" w:cs="Calibri Light"/>
          <w:i/>
          <w:color w:val="7F7F7F"/>
          <w:sz w:val="16"/>
          <w:szCs w:val="16"/>
        </w:rPr>
        <w:t xml:space="preserve">                                             </w:t>
      </w:r>
      <w:r w:rsidR="00251A00" w:rsidRPr="001B43BE">
        <w:rPr>
          <w:rFonts w:ascii="Calibri Light" w:hAnsi="Calibri Light" w:cs="Calibri Light"/>
          <w:i/>
          <w:color w:val="7F7F7F"/>
          <w:sz w:val="16"/>
          <w:szCs w:val="16"/>
        </w:rPr>
        <w:t>Hidrocarburos de septiembre de 2022</w:t>
      </w:r>
    </w:p>
    <w:p w14:paraId="41E4AC96" w14:textId="6DEAEAA1" w:rsidR="00F716E9" w:rsidRDefault="00595C27" w:rsidP="00F716E9">
      <w:pPr>
        <w:rPr>
          <w:rFonts w:ascii="Calibri Light" w:hAnsi="Calibri Light" w:cs="Calibri Light"/>
          <w:i/>
          <w:color w:val="7F7F7F"/>
          <w:sz w:val="16"/>
          <w:szCs w:val="16"/>
        </w:rPr>
      </w:pPr>
      <w:r>
        <w:rPr>
          <w:rFonts w:ascii="Calibri Light" w:hAnsi="Calibri Light" w:cs="Calibri Light"/>
          <w:i/>
          <w:color w:val="7F7F7F"/>
          <w:sz w:val="16"/>
          <w:szCs w:val="16"/>
        </w:rPr>
        <w:t>**</w:t>
      </w:r>
      <w:r w:rsidR="00251A00" w:rsidRPr="001B43BE">
        <w:rPr>
          <w:rFonts w:ascii="Calibri Light" w:hAnsi="Calibri Light" w:cs="Calibri Light"/>
          <w:i/>
          <w:color w:val="7F7F7F"/>
          <w:sz w:val="16"/>
          <w:szCs w:val="16"/>
        </w:rPr>
        <w:t>Nota: Las metas fueron tomadas de las Estimaciones de Hidrocarburos y las proyecciones</w:t>
      </w:r>
    </w:p>
    <w:p w14:paraId="62052DF5" w14:textId="1674B955" w:rsidR="00251A00" w:rsidRPr="001B43BE" w:rsidRDefault="00251A00" w:rsidP="00F716E9">
      <w:pPr>
        <w:rPr>
          <w:rFonts w:ascii="Calibri Light" w:hAnsi="Calibri Light" w:cs="Calibri Light"/>
          <w:i/>
          <w:color w:val="7F7F7F"/>
          <w:sz w:val="16"/>
          <w:szCs w:val="16"/>
        </w:rPr>
      </w:pPr>
      <w:r w:rsidRPr="001B43BE">
        <w:rPr>
          <w:rFonts w:ascii="Calibri Light" w:hAnsi="Calibri Light" w:cs="Calibri Light"/>
          <w:i/>
          <w:color w:val="7F7F7F"/>
          <w:sz w:val="16"/>
          <w:szCs w:val="16"/>
        </w:rPr>
        <w:t xml:space="preserve"> volumétricas para el cierre del año 2024 del I, II y III trimestre con Oficio Nro.MEM-VH-2024-0054-OF, 26 de enero del 2024 para el IV Trimestre se consideró las Estimaciones de Hidrocarburos con Oficio Nro.MEM-VH-2022-0418-OF del 15 de septiembre 2022 ya que no se aceptó la actualización de la meta</w:t>
      </w:r>
    </w:p>
    <w:p w14:paraId="36E2A696" w14:textId="77777777" w:rsidR="00251A00" w:rsidRPr="00067DE4" w:rsidRDefault="00251A00" w:rsidP="00067DE4">
      <w:pPr>
        <w:pStyle w:val="Ttulo4"/>
        <w:rPr>
          <w:i w:val="0"/>
          <w:sz w:val="22"/>
          <w:szCs w:val="22"/>
        </w:rPr>
      </w:pPr>
    </w:p>
    <w:p w14:paraId="301D8842" w14:textId="71AD1FC5" w:rsidR="00251A00" w:rsidRPr="00067DE4" w:rsidRDefault="00251A00" w:rsidP="00067DE4">
      <w:pPr>
        <w:pStyle w:val="Ttulo4"/>
        <w:rPr>
          <w:i w:val="0"/>
          <w:sz w:val="22"/>
          <w:szCs w:val="22"/>
        </w:rPr>
      </w:pPr>
      <w:bookmarkStart w:id="55" w:name="_Toc157678221"/>
      <w:bookmarkStart w:id="56" w:name="_Toc197335074"/>
      <w:r w:rsidRPr="00067DE4">
        <w:rPr>
          <w:i w:val="0"/>
          <w:sz w:val="22"/>
          <w:szCs w:val="22"/>
        </w:rPr>
        <w:t xml:space="preserve">Volumen de </w:t>
      </w:r>
      <w:r w:rsidR="00E55F64" w:rsidRPr="00067DE4">
        <w:rPr>
          <w:i w:val="0"/>
          <w:sz w:val="22"/>
          <w:szCs w:val="22"/>
        </w:rPr>
        <w:t>P</w:t>
      </w:r>
      <w:r w:rsidRPr="00067DE4">
        <w:rPr>
          <w:i w:val="0"/>
          <w:sz w:val="22"/>
          <w:szCs w:val="22"/>
        </w:rPr>
        <w:t xml:space="preserve">roducción de </w:t>
      </w:r>
      <w:r w:rsidR="00E55F64" w:rsidRPr="00067DE4">
        <w:rPr>
          <w:i w:val="0"/>
          <w:sz w:val="22"/>
          <w:szCs w:val="22"/>
        </w:rPr>
        <w:t>P</w:t>
      </w:r>
      <w:r w:rsidRPr="00067DE4">
        <w:rPr>
          <w:i w:val="0"/>
          <w:sz w:val="22"/>
          <w:szCs w:val="22"/>
        </w:rPr>
        <w:t xml:space="preserve">etróleo </w:t>
      </w:r>
      <w:r w:rsidR="00E55F64" w:rsidRPr="00067DE4">
        <w:rPr>
          <w:i w:val="0"/>
          <w:sz w:val="22"/>
          <w:szCs w:val="22"/>
        </w:rPr>
        <w:t>C</w:t>
      </w:r>
      <w:r w:rsidRPr="00067DE4">
        <w:rPr>
          <w:i w:val="0"/>
          <w:sz w:val="22"/>
          <w:szCs w:val="22"/>
        </w:rPr>
        <w:t xml:space="preserve">rudo de </w:t>
      </w:r>
      <w:r w:rsidR="00E55F64" w:rsidRPr="00067DE4">
        <w:rPr>
          <w:i w:val="0"/>
          <w:sz w:val="22"/>
          <w:szCs w:val="22"/>
        </w:rPr>
        <w:t>C</w:t>
      </w:r>
      <w:r w:rsidRPr="00067DE4">
        <w:rPr>
          <w:i w:val="0"/>
          <w:sz w:val="22"/>
          <w:szCs w:val="22"/>
        </w:rPr>
        <w:t>ampo</w:t>
      </w:r>
      <w:bookmarkEnd w:id="55"/>
      <w:bookmarkEnd w:id="56"/>
    </w:p>
    <w:p w14:paraId="7801158E" w14:textId="77777777" w:rsidR="00251A00" w:rsidRPr="00067DED" w:rsidRDefault="00251A00" w:rsidP="00251A00"/>
    <w:p w14:paraId="5CA4D0A9" w14:textId="77777777" w:rsidR="00251A00" w:rsidRPr="00A51E6E" w:rsidRDefault="00251A00" w:rsidP="00251A00">
      <w:pPr>
        <w:jc w:val="both"/>
        <w:rPr>
          <w:rFonts w:ascii="Calibri Light" w:hAnsi="Calibri Light"/>
          <w:sz w:val="22"/>
          <w:szCs w:val="22"/>
          <w:lang w:eastAsia="es-EC"/>
        </w:rPr>
      </w:pPr>
      <w:r w:rsidRPr="00A51E6E">
        <w:rPr>
          <w:rFonts w:ascii="Calibri Light" w:hAnsi="Calibri Light"/>
          <w:sz w:val="22"/>
          <w:szCs w:val="22"/>
          <w:lang w:eastAsia="es-EC"/>
        </w:rPr>
        <w:t>Durante el año 2024, la producción de petróleo crudo de campo tuvo un comportamiento variable respecto a las metas establecidas. En el primer trimestre se superó la meta en 479.172 barriles, mientras que en el segundo y tercer trimestre hubo una producción por debajo de la meta en 1.069.965 y 724.617 barriles, respectivamente. Finalmente, en el cuarto trimestre se volvió a superar la meta con una diferencia positiva de 1.503.208 barriles.</w:t>
      </w:r>
    </w:p>
    <w:p w14:paraId="39E5C8C6" w14:textId="77777777" w:rsidR="00251A00" w:rsidRPr="00FD0ACE" w:rsidRDefault="00251A00" w:rsidP="00251A00">
      <w:pPr>
        <w:jc w:val="both"/>
        <w:rPr>
          <w:rFonts w:ascii="Calibri Light" w:hAnsi="Calibri Light" w:cs="Calibri Light"/>
          <w:sz w:val="22"/>
          <w:szCs w:val="22"/>
        </w:rPr>
      </w:pPr>
    </w:p>
    <w:p w14:paraId="21C58174" w14:textId="4917F2DD" w:rsidR="00FE7273" w:rsidRDefault="00251A00" w:rsidP="00251A00">
      <w:pPr>
        <w:pStyle w:val="Default"/>
        <w:jc w:val="both"/>
        <w:rPr>
          <w:rFonts w:ascii="Calibri Light" w:hAnsi="Calibri Light" w:cs="Times New Roman"/>
          <w:color w:val="auto"/>
          <w:sz w:val="22"/>
          <w:szCs w:val="22"/>
        </w:rPr>
      </w:pPr>
      <w:r w:rsidRPr="00A51E6E">
        <w:rPr>
          <w:rFonts w:ascii="Calibri Light" w:hAnsi="Calibri Light" w:cs="Times New Roman"/>
          <w:color w:val="auto"/>
          <w:sz w:val="22"/>
          <w:szCs w:val="22"/>
        </w:rPr>
        <w:t xml:space="preserve">En términos generales durante el año 2024, los resultados de producción acumulada de petróleo crudo de campo (173.949.569 barriles) se cumplieron aproximadamente en un 100% respecto a la meta prevista (173.761.770 barriles), no obstante, la producción de este año disminuye en un 0,91% comparada con el año 2023. </w:t>
      </w:r>
    </w:p>
    <w:p w14:paraId="1A0B2026" w14:textId="77777777" w:rsidR="00251A00" w:rsidRPr="00A51E6E" w:rsidRDefault="00251A00" w:rsidP="00251A00">
      <w:pPr>
        <w:pStyle w:val="Default"/>
        <w:jc w:val="both"/>
        <w:rPr>
          <w:rFonts w:ascii="Calibri Light" w:hAnsi="Calibri Light" w:cs="Times New Roman"/>
          <w:color w:val="auto"/>
        </w:rPr>
      </w:pPr>
    </w:p>
    <w:p w14:paraId="44FBF278" w14:textId="2310D330" w:rsidR="00F716E9" w:rsidRPr="00F716E9" w:rsidRDefault="00251A00" w:rsidP="00E55F64">
      <w:pPr>
        <w:pStyle w:val="Tablas"/>
        <w:spacing w:after="0"/>
        <w:rPr>
          <w:rFonts w:asciiTheme="majorHAnsi" w:hAnsiTheme="majorHAnsi" w:cstheme="majorHAnsi"/>
          <w:iCs w:val="0"/>
        </w:rPr>
      </w:pPr>
      <w:bookmarkStart w:id="57" w:name="_Toc197334694"/>
      <w:bookmarkStart w:id="58" w:name="_Toc199757546"/>
      <w:r w:rsidRPr="00F716E9">
        <w:rPr>
          <w:rFonts w:asciiTheme="majorHAnsi" w:hAnsiTheme="majorHAnsi" w:cstheme="majorHAnsi"/>
        </w:rPr>
        <w:t xml:space="preserve">Figura </w:t>
      </w:r>
      <w:r w:rsidR="002026B0">
        <w:rPr>
          <w:rFonts w:asciiTheme="majorHAnsi" w:hAnsiTheme="majorHAnsi" w:cstheme="majorHAnsi"/>
        </w:rPr>
        <w:fldChar w:fldCharType="begin"/>
      </w:r>
      <w:r w:rsidR="002026B0">
        <w:rPr>
          <w:rFonts w:asciiTheme="majorHAnsi" w:hAnsiTheme="majorHAnsi" w:cstheme="majorHAnsi"/>
        </w:rPr>
        <w:instrText xml:space="preserve"> SEQ Figura \* ARABIC </w:instrText>
      </w:r>
      <w:r w:rsidR="002026B0">
        <w:rPr>
          <w:rFonts w:asciiTheme="majorHAnsi" w:hAnsiTheme="majorHAnsi" w:cstheme="majorHAnsi"/>
        </w:rPr>
        <w:fldChar w:fldCharType="separate"/>
      </w:r>
      <w:r w:rsidR="00E55F64">
        <w:rPr>
          <w:rFonts w:asciiTheme="majorHAnsi" w:hAnsiTheme="majorHAnsi" w:cstheme="majorHAnsi"/>
          <w:noProof/>
        </w:rPr>
        <w:t>3</w:t>
      </w:r>
      <w:r w:rsidR="002026B0">
        <w:rPr>
          <w:rFonts w:asciiTheme="majorHAnsi" w:hAnsiTheme="majorHAnsi" w:cstheme="majorHAnsi"/>
        </w:rPr>
        <w:fldChar w:fldCharType="end"/>
      </w:r>
      <w:r w:rsidRPr="00F716E9">
        <w:rPr>
          <w:rFonts w:asciiTheme="majorHAnsi" w:hAnsiTheme="majorHAnsi" w:cstheme="majorHAnsi"/>
          <w:iCs w:val="0"/>
        </w:rPr>
        <w:t>: Producción de petróleo crudo de campo, período 202</w:t>
      </w:r>
      <w:bookmarkEnd w:id="57"/>
      <w:r w:rsidR="00F716E9">
        <w:rPr>
          <w:rFonts w:asciiTheme="majorHAnsi" w:hAnsiTheme="majorHAnsi" w:cstheme="majorHAnsi"/>
          <w:iCs w:val="0"/>
        </w:rPr>
        <w:t>4</w:t>
      </w:r>
      <w:bookmarkEnd w:id="58"/>
    </w:p>
    <w:p w14:paraId="36487F82" w14:textId="2B678296" w:rsidR="00251A00" w:rsidRPr="00A51E6E" w:rsidRDefault="00251A00" w:rsidP="00251A00">
      <w:pPr>
        <w:spacing w:before="240"/>
        <w:jc w:val="center"/>
        <w:rPr>
          <w:rFonts w:ascii="Calibri Light" w:hAnsi="Calibri Light" w:cs="Calibri Light"/>
          <w:sz w:val="22"/>
        </w:rPr>
      </w:pPr>
      <w:r w:rsidRPr="00636D73">
        <w:rPr>
          <w:noProof/>
        </w:rPr>
        <w:drawing>
          <wp:inline distT="0" distB="0" distL="0" distR="0" wp14:anchorId="67EAEC15" wp14:editId="435687B2">
            <wp:extent cx="4239863" cy="2071370"/>
            <wp:effectExtent l="0" t="0" r="8890" b="5080"/>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507525" w14:textId="65B60432" w:rsidR="00251A00" w:rsidRPr="00251A00" w:rsidRDefault="00F716E9" w:rsidP="00F716E9">
      <w:pPr>
        <w:jc w:val="center"/>
        <w:rPr>
          <w:rFonts w:asciiTheme="majorHAnsi" w:hAnsiTheme="majorHAnsi" w:cstheme="majorHAnsi"/>
          <w:i/>
          <w:color w:val="7F7F7F"/>
          <w:sz w:val="18"/>
          <w:szCs w:val="18"/>
        </w:rPr>
      </w:pPr>
      <w:r>
        <w:rPr>
          <w:rFonts w:asciiTheme="majorHAnsi" w:hAnsiTheme="majorHAnsi" w:cstheme="majorHAnsi"/>
          <w:i/>
          <w:color w:val="7F7F7F"/>
          <w:sz w:val="18"/>
          <w:szCs w:val="18"/>
        </w:rPr>
        <w:t xml:space="preserve">                </w:t>
      </w:r>
      <w:r w:rsidR="00251A00" w:rsidRPr="00251A00">
        <w:rPr>
          <w:rFonts w:asciiTheme="majorHAnsi" w:hAnsiTheme="majorHAnsi" w:cstheme="majorHAnsi"/>
          <w:i/>
          <w:color w:val="7F7F7F"/>
          <w:sz w:val="18"/>
          <w:szCs w:val="18"/>
        </w:rPr>
        <w:t xml:space="preserve">Fuentes:  ARC (Sistema SICOHI - actas fiscalizadas por las direcciones regionales). Las metas fueron tomadas </w:t>
      </w:r>
      <w:r>
        <w:rPr>
          <w:rFonts w:asciiTheme="majorHAnsi" w:hAnsiTheme="majorHAnsi" w:cstheme="majorHAnsi"/>
          <w:i/>
          <w:color w:val="7F7F7F"/>
          <w:sz w:val="18"/>
          <w:szCs w:val="18"/>
        </w:rPr>
        <w:t xml:space="preserve">      </w:t>
      </w:r>
      <w:r w:rsidR="00251A00" w:rsidRPr="00251A00">
        <w:rPr>
          <w:rFonts w:asciiTheme="majorHAnsi" w:hAnsiTheme="majorHAnsi" w:cstheme="majorHAnsi"/>
          <w:i/>
          <w:color w:val="7F7F7F"/>
          <w:sz w:val="18"/>
          <w:szCs w:val="18"/>
        </w:rPr>
        <w:t>de las Estimaciones de Hidrocarburos del año 2024.</w:t>
      </w:r>
    </w:p>
    <w:p w14:paraId="27AADAE5" w14:textId="5D610B5E" w:rsidR="00251A00" w:rsidRPr="00251A00" w:rsidRDefault="00F716E9" w:rsidP="00F716E9">
      <w:pPr>
        <w:jc w:val="center"/>
        <w:rPr>
          <w:rFonts w:asciiTheme="majorHAnsi" w:hAnsiTheme="majorHAnsi" w:cstheme="majorHAnsi"/>
          <w:i/>
          <w:color w:val="7F7F7F"/>
          <w:sz w:val="18"/>
          <w:szCs w:val="18"/>
        </w:rPr>
      </w:pPr>
      <w:r>
        <w:rPr>
          <w:rFonts w:asciiTheme="majorHAnsi" w:hAnsiTheme="majorHAnsi" w:cstheme="majorHAnsi"/>
          <w:i/>
          <w:color w:val="7F7F7F"/>
          <w:sz w:val="18"/>
          <w:szCs w:val="18"/>
        </w:rPr>
        <w:t xml:space="preserve">                </w:t>
      </w:r>
      <w:r w:rsidR="00251A00" w:rsidRPr="00251A00">
        <w:rPr>
          <w:rFonts w:asciiTheme="majorHAnsi" w:hAnsiTheme="majorHAnsi" w:cstheme="majorHAnsi"/>
          <w:i/>
          <w:color w:val="7F7F7F"/>
          <w:sz w:val="18"/>
          <w:szCs w:val="18"/>
        </w:rPr>
        <w:t>Nota: Metas tomadas de las Estimaciones de Hidrocarburos 2024 con Oficio Nro.MEM-VH-2024-0054-OF, 26 de enero del 2024</w:t>
      </w:r>
    </w:p>
    <w:p w14:paraId="609C3D7C" w14:textId="77777777" w:rsidR="00251A00" w:rsidRPr="00A51E6E" w:rsidRDefault="00251A00" w:rsidP="00251A00">
      <w:pPr>
        <w:jc w:val="both"/>
        <w:rPr>
          <w:rFonts w:ascii="Calibri Light" w:eastAsia="Times New Roman" w:hAnsi="Calibri Light" w:cs="Calibri Light"/>
          <w:color w:val="000000"/>
          <w:sz w:val="20"/>
          <w:szCs w:val="20"/>
          <w:lang w:eastAsia="es-ES"/>
        </w:rPr>
      </w:pPr>
      <w:r w:rsidRPr="00A51E6E">
        <w:rPr>
          <w:rFonts w:ascii="Calibri Light" w:eastAsia="Times New Roman" w:hAnsi="Calibri Light" w:cs="Calibri Light"/>
          <w:color w:val="000000"/>
          <w:sz w:val="20"/>
          <w:szCs w:val="20"/>
          <w:lang w:eastAsia="es-ES"/>
        </w:rPr>
        <w:t xml:space="preserve"> </w:t>
      </w:r>
    </w:p>
    <w:p w14:paraId="64EFA406" w14:textId="7AC753DA" w:rsidR="00251A00" w:rsidRPr="00067DE4" w:rsidRDefault="00251A00" w:rsidP="00067DE4">
      <w:pPr>
        <w:pStyle w:val="Ttulo4"/>
        <w:rPr>
          <w:i w:val="0"/>
        </w:rPr>
      </w:pPr>
      <w:bookmarkStart w:id="59" w:name="_Toc157678222"/>
      <w:bookmarkStart w:id="60" w:name="_Toc197335075"/>
      <w:r w:rsidRPr="00067DE4">
        <w:rPr>
          <w:i w:val="0"/>
        </w:rPr>
        <w:t xml:space="preserve">Volumen de exportación de petróleo </w:t>
      </w:r>
      <w:r w:rsidR="00C751F5" w:rsidRPr="00067DE4">
        <w:rPr>
          <w:i w:val="0"/>
        </w:rPr>
        <w:t>C</w:t>
      </w:r>
      <w:r w:rsidRPr="00067DE4">
        <w:rPr>
          <w:i w:val="0"/>
        </w:rPr>
        <w:t>rudo</w:t>
      </w:r>
      <w:bookmarkEnd w:id="59"/>
      <w:bookmarkEnd w:id="60"/>
    </w:p>
    <w:p w14:paraId="58745C2F" w14:textId="77777777" w:rsidR="00251A00" w:rsidRPr="00067DED" w:rsidRDefault="00251A00" w:rsidP="00251A00"/>
    <w:p w14:paraId="6E83FC79" w14:textId="69A090C0" w:rsidR="00E55F64" w:rsidRPr="00067DE4" w:rsidRDefault="00251A00" w:rsidP="00067DE4">
      <w:pPr>
        <w:pStyle w:val="Default"/>
        <w:jc w:val="both"/>
        <w:rPr>
          <w:rFonts w:ascii="Calibri Light" w:hAnsi="Calibri Light" w:cs="Times New Roman"/>
          <w:color w:val="auto"/>
          <w:sz w:val="22"/>
          <w:szCs w:val="22"/>
        </w:rPr>
      </w:pPr>
      <w:r w:rsidRPr="00A51E6E">
        <w:rPr>
          <w:rFonts w:ascii="Calibri Light" w:hAnsi="Calibri Light" w:cs="Times New Roman"/>
          <w:color w:val="auto"/>
          <w:sz w:val="22"/>
          <w:szCs w:val="22"/>
        </w:rPr>
        <w:t>Este indicador presentó un aumento del 2,95% con respecto al año 2023, conforme a la información sobre el volumen de crudo exportado proporcionado por la ARC y los cupos establecidos por el MEM. Los volúmenes exportados comprenden las exportaciones directas (se incluye pago a tarifas a compañías privadas) y las regalías, cuya totalidad registra 125.630.396 barriles, lo que representa un 111% de cumplimiento a los 112.718.385 barriles previstos como meta anual.</w:t>
      </w:r>
      <w:bookmarkStart w:id="61" w:name="_Toc197334695"/>
    </w:p>
    <w:p w14:paraId="4DCDBBA5" w14:textId="77777777" w:rsidR="00E55F64" w:rsidRDefault="00E55F64" w:rsidP="00157648">
      <w:pPr>
        <w:pStyle w:val="Tablas"/>
        <w:spacing w:after="0"/>
        <w:rPr>
          <w:rFonts w:asciiTheme="majorHAnsi" w:hAnsiTheme="majorHAnsi" w:cstheme="majorHAnsi"/>
        </w:rPr>
      </w:pPr>
    </w:p>
    <w:p w14:paraId="67E84BE1" w14:textId="4EB2AF80" w:rsidR="00251A00" w:rsidRPr="00157648" w:rsidRDefault="00251A00" w:rsidP="00157648">
      <w:pPr>
        <w:pStyle w:val="Tablas"/>
        <w:spacing w:after="0"/>
        <w:rPr>
          <w:rFonts w:asciiTheme="majorHAnsi" w:hAnsiTheme="majorHAnsi" w:cstheme="majorHAnsi"/>
        </w:rPr>
      </w:pPr>
      <w:bookmarkStart w:id="62" w:name="_Toc199757547"/>
      <w:r w:rsidRPr="00157648">
        <w:rPr>
          <w:rFonts w:asciiTheme="majorHAnsi" w:hAnsiTheme="majorHAnsi" w:cstheme="majorHAnsi"/>
        </w:rPr>
        <w:t xml:space="preserve">Figura </w:t>
      </w:r>
      <w:r w:rsidR="002026B0">
        <w:rPr>
          <w:rFonts w:asciiTheme="majorHAnsi" w:hAnsiTheme="majorHAnsi" w:cstheme="majorHAnsi"/>
        </w:rPr>
        <w:fldChar w:fldCharType="begin"/>
      </w:r>
      <w:r w:rsidR="002026B0">
        <w:rPr>
          <w:rFonts w:asciiTheme="majorHAnsi" w:hAnsiTheme="majorHAnsi" w:cstheme="majorHAnsi"/>
        </w:rPr>
        <w:instrText xml:space="preserve"> SEQ Figura \* ARABIC </w:instrText>
      </w:r>
      <w:r w:rsidR="002026B0">
        <w:rPr>
          <w:rFonts w:asciiTheme="majorHAnsi" w:hAnsiTheme="majorHAnsi" w:cstheme="majorHAnsi"/>
        </w:rPr>
        <w:fldChar w:fldCharType="separate"/>
      </w:r>
      <w:r w:rsidR="0016337C">
        <w:rPr>
          <w:rFonts w:asciiTheme="majorHAnsi" w:hAnsiTheme="majorHAnsi" w:cstheme="majorHAnsi"/>
          <w:noProof/>
        </w:rPr>
        <w:t>4</w:t>
      </w:r>
      <w:r w:rsidR="002026B0">
        <w:rPr>
          <w:rFonts w:asciiTheme="majorHAnsi" w:hAnsiTheme="majorHAnsi" w:cstheme="majorHAnsi"/>
        </w:rPr>
        <w:fldChar w:fldCharType="end"/>
      </w:r>
      <w:r w:rsidRPr="00157648">
        <w:rPr>
          <w:rFonts w:asciiTheme="majorHAnsi" w:hAnsiTheme="majorHAnsi" w:cstheme="majorHAnsi"/>
        </w:rPr>
        <w:t>: Exportaciones de crudo, período 2024</w:t>
      </w:r>
      <w:bookmarkEnd w:id="61"/>
      <w:bookmarkEnd w:id="62"/>
    </w:p>
    <w:p w14:paraId="55B3EDCD" w14:textId="6233D9B1" w:rsidR="00251A00" w:rsidRDefault="00251A00" w:rsidP="00251A00">
      <w:pPr>
        <w:jc w:val="center"/>
        <w:rPr>
          <w:noProof/>
        </w:rPr>
      </w:pPr>
      <w:r w:rsidRPr="00636D73">
        <w:rPr>
          <w:noProof/>
        </w:rPr>
        <w:lastRenderedPageBreak/>
        <w:drawing>
          <wp:inline distT="0" distB="0" distL="0" distR="0" wp14:anchorId="3A6FCFD9" wp14:editId="0D892A99">
            <wp:extent cx="4228465" cy="2258060"/>
            <wp:effectExtent l="0" t="0" r="635" b="889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4E8CFA" w14:textId="0BE62AC3" w:rsidR="00001CA3" w:rsidRPr="00067DE4" w:rsidRDefault="00F716E9" w:rsidP="00067DE4">
      <w:pPr>
        <w:jc w:val="center"/>
        <w:rPr>
          <w:rFonts w:asciiTheme="majorHAnsi" w:hAnsiTheme="majorHAnsi" w:cstheme="majorHAnsi"/>
          <w:i/>
          <w:color w:val="7F7F7F"/>
          <w:sz w:val="16"/>
          <w:szCs w:val="16"/>
        </w:rPr>
      </w:pPr>
      <w:r>
        <w:rPr>
          <w:rFonts w:asciiTheme="majorHAnsi" w:hAnsiTheme="majorHAnsi" w:cstheme="majorHAnsi"/>
          <w:i/>
          <w:color w:val="7F7F7F"/>
          <w:sz w:val="16"/>
          <w:szCs w:val="16"/>
        </w:rPr>
        <w:t xml:space="preserve">                         </w:t>
      </w:r>
      <w:r w:rsidR="00251A00" w:rsidRPr="00251A00">
        <w:rPr>
          <w:rFonts w:asciiTheme="majorHAnsi" w:hAnsiTheme="majorHAnsi" w:cstheme="majorHAnsi"/>
          <w:i/>
          <w:color w:val="7F7F7F"/>
          <w:sz w:val="16"/>
          <w:szCs w:val="16"/>
        </w:rPr>
        <w:t>Fuente:  Dirección Económica y Comercio Internacional de Petróleo del MEM (datos sujetos a revisión), Metas tomadas de las Estimaciones de Hidrocarburos 2024 con Oficio Nro.MEM-VH-2024-0054-OF, 26 de enero del 2024</w:t>
      </w:r>
    </w:p>
    <w:p w14:paraId="501FEC6F" w14:textId="4E461AAF" w:rsidR="00251A00" w:rsidRPr="00C751F5" w:rsidRDefault="006A391B" w:rsidP="00067DE4">
      <w:pPr>
        <w:pStyle w:val="Ttulo2"/>
        <w:rPr>
          <w:sz w:val="24"/>
          <w:szCs w:val="24"/>
        </w:rPr>
      </w:pPr>
      <w:bookmarkStart w:id="63" w:name="_Toc197335076"/>
      <w:bookmarkStart w:id="64" w:name="_Toc199759555"/>
      <w:r w:rsidRPr="00C751F5">
        <w:rPr>
          <w:sz w:val="24"/>
          <w:szCs w:val="24"/>
        </w:rPr>
        <w:t>Gestión de la Subsecretaría de Exploración y Explotación de Petróleo y Gas Natural</w:t>
      </w:r>
      <w:bookmarkEnd w:id="63"/>
      <w:bookmarkEnd w:id="64"/>
    </w:p>
    <w:p w14:paraId="73BE48CB" w14:textId="77777777" w:rsidR="00251A00" w:rsidRPr="009957B9" w:rsidRDefault="00251A00" w:rsidP="00251A00"/>
    <w:p w14:paraId="65FB9838" w14:textId="77777777" w:rsidR="00251A00" w:rsidRPr="00067DE4" w:rsidRDefault="00251A00" w:rsidP="00067DE4">
      <w:pPr>
        <w:pStyle w:val="Ttulo4"/>
        <w:rPr>
          <w:i w:val="0"/>
          <w:sz w:val="22"/>
          <w:szCs w:val="22"/>
        </w:rPr>
      </w:pPr>
      <w:bookmarkStart w:id="65" w:name="_Toc157095740"/>
      <w:bookmarkStart w:id="66" w:name="_Toc197335077"/>
      <w:r w:rsidRPr="00067DE4">
        <w:rPr>
          <w:i w:val="0"/>
          <w:sz w:val="22"/>
          <w:szCs w:val="22"/>
        </w:rPr>
        <w:t xml:space="preserve">Potencial Anual </w:t>
      </w:r>
      <w:proofErr w:type="spellStart"/>
      <w:r w:rsidRPr="00067DE4">
        <w:rPr>
          <w:i w:val="0"/>
          <w:sz w:val="22"/>
          <w:szCs w:val="22"/>
        </w:rPr>
        <w:t>Hidrocarburífero</w:t>
      </w:r>
      <w:proofErr w:type="spellEnd"/>
      <w:r w:rsidRPr="00067DE4">
        <w:rPr>
          <w:i w:val="0"/>
          <w:sz w:val="22"/>
          <w:szCs w:val="22"/>
        </w:rPr>
        <w:t xml:space="preserve"> del Ecuador</w:t>
      </w:r>
      <w:bookmarkEnd w:id="65"/>
      <w:bookmarkEnd w:id="66"/>
    </w:p>
    <w:p w14:paraId="54EEDEC1" w14:textId="77777777" w:rsidR="00251A00" w:rsidRPr="00A51E6E" w:rsidRDefault="00251A00" w:rsidP="00251A00">
      <w:pPr>
        <w:spacing w:before="240" w:after="240"/>
        <w:jc w:val="both"/>
        <w:rPr>
          <w:rFonts w:ascii="Calibri Light" w:hAnsi="Calibri Light" w:cs="Calibri Light"/>
          <w:sz w:val="22"/>
        </w:rPr>
      </w:pPr>
      <w:r w:rsidRPr="00A51E6E">
        <w:rPr>
          <w:rFonts w:ascii="Calibri Light" w:hAnsi="Calibri Light" w:cs="Calibri Light"/>
          <w:sz w:val="22"/>
        </w:rPr>
        <w:t>Con Resolución No. 0013 del 06 de enero de 2017, se adoptó la metodología Internacional “</w:t>
      </w:r>
      <w:proofErr w:type="spellStart"/>
      <w:r w:rsidRPr="00A51E6E">
        <w:rPr>
          <w:rFonts w:ascii="Calibri Light" w:hAnsi="Calibri Light" w:cs="Calibri Light"/>
          <w:sz w:val="22"/>
        </w:rPr>
        <w:t>Petroleum</w:t>
      </w:r>
      <w:proofErr w:type="spellEnd"/>
      <w:r w:rsidRPr="00A51E6E">
        <w:rPr>
          <w:rFonts w:ascii="Calibri Light" w:hAnsi="Calibri Light" w:cs="Calibri Light"/>
          <w:sz w:val="22"/>
        </w:rPr>
        <w:t xml:space="preserve"> </w:t>
      </w:r>
      <w:proofErr w:type="spellStart"/>
      <w:r w:rsidRPr="00A51E6E">
        <w:rPr>
          <w:rFonts w:ascii="Calibri Light" w:hAnsi="Calibri Light" w:cs="Calibri Light"/>
          <w:sz w:val="22"/>
        </w:rPr>
        <w:t>Resources</w:t>
      </w:r>
      <w:proofErr w:type="spellEnd"/>
      <w:r w:rsidRPr="00A51E6E">
        <w:rPr>
          <w:rFonts w:ascii="Calibri Light" w:hAnsi="Calibri Light" w:cs="Calibri Light"/>
          <w:sz w:val="22"/>
        </w:rPr>
        <w:t xml:space="preserve"> Management </w:t>
      </w:r>
      <w:proofErr w:type="spellStart"/>
      <w:r w:rsidRPr="00A51E6E">
        <w:rPr>
          <w:rFonts w:ascii="Calibri Light" w:hAnsi="Calibri Light" w:cs="Calibri Light"/>
          <w:sz w:val="22"/>
        </w:rPr>
        <w:t>System</w:t>
      </w:r>
      <w:proofErr w:type="spellEnd"/>
      <w:r w:rsidRPr="00A51E6E">
        <w:rPr>
          <w:rFonts w:ascii="Calibri Light" w:hAnsi="Calibri Light" w:cs="Calibri Light"/>
          <w:sz w:val="22"/>
        </w:rPr>
        <w:t xml:space="preserve">” (PRMS), para la valoración, clasificación y categorización de los volúmenes de hidrocarburos existentes en el País. Esta metodología fue aprobada por la Comisión de la </w:t>
      </w:r>
      <w:proofErr w:type="spellStart"/>
      <w:r w:rsidRPr="00A51E6E">
        <w:rPr>
          <w:rFonts w:ascii="Calibri Light" w:hAnsi="Calibri Light" w:cs="Calibri Light"/>
          <w:sz w:val="22"/>
        </w:rPr>
        <w:t>Society</w:t>
      </w:r>
      <w:proofErr w:type="spellEnd"/>
      <w:r w:rsidRPr="00A51E6E">
        <w:rPr>
          <w:rFonts w:ascii="Calibri Light" w:hAnsi="Calibri Light" w:cs="Calibri Light"/>
          <w:sz w:val="22"/>
        </w:rPr>
        <w:t xml:space="preserve"> </w:t>
      </w:r>
      <w:proofErr w:type="spellStart"/>
      <w:r w:rsidRPr="00A51E6E">
        <w:rPr>
          <w:rFonts w:ascii="Calibri Light" w:hAnsi="Calibri Light" w:cs="Calibri Light"/>
          <w:sz w:val="22"/>
        </w:rPr>
        <w:t>of</w:t>
      </w:r>
      <w:proofErr w:type="spellEnd"/>
      <w:r w:rsidRPr="00A51E6E">
        <w:rPr>
          <w:rFonts w:ascii="Calibri Light" w:hAnsi="Calibri Light" w:cs="Calibri Light"/>
          <w:sz w:val="22"/>
        </w:rPr>
        <w:t xml:space="preserve"> </w:t>
      </w:r>
      <w:proofErr w:type="spellStart"/>
      <w:r w:rsidRPr="00A51E6E">
        <w:rPr>
          <w:rFonts w:ascii="Calibri Light" w:hAnsi="Calibri Light" w:cs="Calibri Light"/>
          <w:sz w:val="22"/>
        </w:rPr>
        <w:t>Petroleum</w:t>
      </w:r>
      <w:proofErr w:type="spellEnd"/>
      <w:r w:rsidRPr="00A51E6E">
        <w:rPr>
          <w:rFonts w:ascii="Calibri Light" w:hAnsi="Calibri Light" w:cs="Calibri Light"/>
          <w:sz w:val="22"/>
        </w:rPr>
        <w:t xml:space="preserve"> </w:t>
      </w:r>
      <w:proofErr w:type="spellStart"/>
      <w:r w:rsidRPr="00A51E6E">
        <w:rPr>
          <w:rFonts w:ascii="Calibri Light" w:hAnsi="Calibri Light" w:cs="Calibri Light"/>
          <w:sz w:val="22"/>
        </w:rPr>
        <w:t>Engineers</w:t>
      </w:r>
      <w:proofErr w:type="spellEnd"/>
      <w:r w:rsidRPr="00A51E6E">
        <w:rPr>
          <w:rFonts w:ascii="Calibri Light" w:hAnsi="Calibri Light" w:cs="Calibri Light"/>
          <w:sz w:val="22"/>
        </w:rPr>
        <w:t xml:space="preserve"> (SPE) y avalada por la American </w:t>
      </w:r>
      <w:proofErr w:type="spellStart"/>
      <w:r w:rsidRPr="00A51E6E">
        <w:rPr>
          <w:rFonts w:ascii="Calibri Light" w:hAnsi="Calibri Light" w:cs="Calibri Light"/>
          <w:sz w:val="22"/>
        </w:rPr>
        <w:t>Association</w:t>
      </w:r>
      <w:proofErr w:type="spellEnd"/>
      <w:r w:rsidRPr="00A51E6E">
        <w:rPr>
          <w:rFonts w:ascii="Calibri Light" w:hAnsi="Calibri Light" w:cs="Calibri Light"/>
          <w:sz w:val="22"/>
        </w:rPr>
        <w:t xml:space="preserve"> </w:t>
      </w:r>
      <w:proofErr w:type="spellStart"/>
      <w:r w:rsidRPr="00A51E6E">
        <w:rPr>
          <w:rFonts w:ascii="Calibri Light" w:hAnsi="Calibri Light" w:cs="Calibri Light"/>
          <w:sz w:val="22"/>
        </w:rPr>
        <w:t>of</w:t>
      </w:r>
      <w:proofErr w:type="spellEnd"/>
      <w:r w:rsidRPr="00A51E6E">
        <w:rPr>
          <w:rFonts w:ascii="Calibri Light" w:hAnsi="Calibri Light" w:cs="Calibri Light"/>
          <w:sz w:val="22"/>
        </w:rPr>
        <w:t xml:space="preserve"> </w:t>
      </w:r>
      <w:proofErr w:type="spellStart"/>
      <w:r w:rsidRPr="00A51E6E">
        <w:rPr>
          <w:rFonts w:ascii="Calibri Light" w:hAnsi="Calibri Light" w:cs="Calibri Light"/>
          <w:sz w:val="22"/>
        </w:rPr>
        <w:t>Petroleum</w:t>
      </w:r>
      <w:proofErr w:type="spellEnd"/>
      <w:r w:rsidRPr="00A51E6E">
        <w:rPr>
          <w:rFonts w:ascii="Calibri Light" w:hAnsi="Calibri Light" w:cs="Calibri Light"/>
          <w:sz w:val="22"/>
        </w:rPr>
        <w:t xml:space="preserve"> </w:t>
      </w:r>
      <w:proofErr w:type="spellStart"/>
      <w:r w:rsidRPr="00A51E6E">
        <w:rPr>
          <w:rFonts w:ascii="Calibri Light" w:hAnsi="Calibri Light" w:cs="Calibri Light"/>
          <w:sz w:val="22"/>
        </w:rPr>
        <w:t>Geologists</w:t>
      </w:r>
      <w:proofErr w:type="spellEnd"/>
      <w:r w:rsidRPr="00A51E6E">
        <w:rPr>
          <w:rFonts w:ascii="Calibri Light" w:hAnsi="Calibri Light" w:cs="Calibri Light"/>
          <w:sz w:val="22"/>
        </w:rPr>
        <w:t xml:space="preserve"> (AAPG), el </w:t>
      </w:r>
      <w:proofErr w:type="spellStart"/>
      <w:r w:rsidRPr="00A51E6E">
        <w:rPr>
          <w:rFonts w:ascii="Calibri Light" w:hAnsi="Calibri Light" w:cs="Calibri Light"/>
          <w:sz w:val="22"/>
        </w:rPr>
        <w:t>World</w:t>
      </w:r>
      <w:proofErr w:type="spellEnd"/>
      <w:r w:rsidRPr="00A51E6E">
        <w:rPr>
          <w:rFonts w:ascii="Calibri Light" w:hAnsi="Calibri Light" w:cs="Calibri Light"/>
          <w:sz w:val="22"/>
        </w:rPr>
        <w:t xml:space="preserve"> </w:t>
      </w:r>
      <w:proofErr w:type="spellStart"/>
      <w:r w:rsidRPr="00A51E6E">
        <w:rPr>
          <w:rFonts w:ascii="Calibri Light" w:hAnsi="Calibri Light" w:cs="Calibri Light"/>
          <w:sz w:val="22"/>
        </w:rPr>
        <w:t>Petroleum</w:t>
      </w:r>
      <w:proofErr w:type="spellEnd"/>
      <w:r w:rsidRPr="00A51E6E">
        <w:rPr>
          <w:rFonts w:ascii="Calibri Light" w:hAnsi="Calibri Light" w:cs="Calibri Light"/>
          <w:sz w:val="22"/>
        </w:rPr>
        <w:t xml:space="preserve"> Council (WPC), la </w:t>
      </w:r>
      <w:proofErr w:type="spellStart"/>
      <w:r w:rsidRPr="00A51E6E">
        <w:rPr>
          <w:rFonts w:ascii="Calibri Light" w:hAnsi="Calibri Light" w:cs="Calibri Light"/>
          <w:sz w:val="22"/>
        </w:rPr>
        <w:t>Society</w:t>
      </w:r>
      <w:proofErr w:type="spellEnd"/>
      <w:r w:rsidRPr="00A51E6E">
        <w:rPr>
          <w:rFonts w:ascii="Calibri Light" w:hAnsi="Calibri Light" w:cs="Calibri Light"/>
          <w:sz w:val="22"/>
        </w:rPr>
        <w:t xml:space="preserve"> </w:t>
      </w:r>
      <w:proofErr w:type="spellStart"/>
      <w:r w:rsidRPr="00A51E6E">
        <w:rPr>
          <w:rFonts w:ascii="Calibri Light" w:hAnsi="Calibri Light" w:cs="Calibri Light"/>
          <w:sz w:val="22"/>
        </w:rPr>
        <w:t>of</w:t>
      </w:r>
      <w:proofErr w:type="spellEnd"/>
      <w:r w:rsidRPr="00A51E6E">
        <w:rPr>
          <w:rFonts w:ascii="Calibri Light" w:hAnsi="Calibri Light" w:cs="Calibri Light"/>
          <w:sz w:val="22"/>
        </w:rPr>
        <w:t xml:space="preserve"> </w:t>
      </w:r>
      <w:proofErr w:type="spellStart"/>
      <w:r w:rsidRPr="00A51E6E">
        <w:rPr>
          <w:rFonts w:ascii="Calibri Light" w:hAnsi="Calibri Light" w:cs="Calibri Light"/>
          <w:sz w:val="22"/>
        </w:rPr>
        <w:t>Petroleum</w:t>
      </w:r>
      <w:proofErr w:type="spellEnd"/>
      <w:r w:rsidRPr="00A51E6E">
        <w:rPr>
          <w:rFonts w:ascii="Calibri Light" w:hAnsi="Calibri Light" w:cs="Calibri Light"/>
          <w:sz w:val="22"/>
        </w:rPr>
        <w:t xml:space="preserve"> </w:t>
      </w:r>
      <w:proofErr w:type="spellStart"/>
      <w:r w:rsidRPr="00A51E6E">
        <w:rPr>
          <w:rFonts w:ascii="Calibri Light" w:hAnsi="Calibri Light" w:cs="Calibri Light"/>
          <w:sz w:val="22"/>
        </w:rPr>
        <w:t>Evaluation</w:t>
      </w:r>
      <w:proofErr w:type="spellEnd"/>
      <w:r w:rsidRPr="00A51E6E">
        <w:rPr>
          <w:rFonts w:ascii="Calibri Light" w:hAnsi="Calibri Light" w:cs="Calibri Light"/>
          <w:sz w:val="22"/>
        </w:rPr>
        <w:t xml:space="preserve"> </w:t>
      </w:r>
      <w:proofErr w:type="spellStart"/>
      <w:r w:rsidRPr="00A51E6E">
        <w:rPr>
          <w:rFonts w:ascii="Calibri Light" w:hAnsi="Calibri Light" w:cs="Calibri Light"/>
          <w:sz w:val="22"/>
        </w:rPr>
        <w:t>Engineers</w:t>
      </w:r>
      <w:proofErr w:type="spellEnd"/>
      <w:r w:rsidRPr="00A51E6E">
        <w:rPr>
          <w:rFonts w:ascii="Calibri Light" w:hAnsi="Calibri Light" w:cs="Calibri Light"/>
          <w:sz w:val="22"/>
        </w:rPr>
        <w:t xml:space="preserve"> (SPEE). El Informe Anual del Potencial </w:t>
      </w:r>
      <w:proofErr w:type="spellStart"/>
      <w:r w:rsidRPr="00A51E6E">
        <w:rPr>
          <w:rFonts w:ascii="Calibri Light" w:hAnsi="Calibri Light" w:cs="Calibri Light"/>
          <w:sz w:val="22"/>
        </w:rPr>
        <w:t>Hidrocarburífero</w:t>
      </w:r>
      <w:proofErr w:type="spellEnd"/>
      <w:r w:rsidRPr="00A51E6E">
        <w:rPr>
          <w:rFonts w:ascii="Calibri Light" w:hAnsi="Calibri Light" w:cs="Calibri Light"/>
          <w:sz w:val="22"/>
        </w:rPr>
        <w:t xml:space="preserve"> del Ecuador, contiene las cifras estimadas de los volúmenes de Reservas y Recursos </w:t>
      </w:r>
      <w:proofErr w:type="spellStart"/>
      <w:r w:rsidRPr="00A51E6E">
        <w:rPr>
          <w:rFonts w:ascii="Calibri Light" w:hAnsi="Calibri Light" w:cs="Calibri Light"/>
          <w:sz w:val="22"/>
        </w:rPr>
        <w:t>Hidrocarburíferos</w:t>
      </w:r>
      <w:proofErr w:type="spellEnd"/>
      <w:r w:rsidRPr="00A51E6E">
        <w:rPr>
          <w:rFonts w:ascii="Calibri Light" w:hAnsi="Calibri Light" w:cs="Calibri Light"/>
          <w:sz w:val="22"/>
        </w:rPr>
        <w:t xml:space="preserve"> que han sido estudiados, descubiertos o desarrollados hasta el 31 de diciembre de cada año y que fueron presentadas por la Empresa Pública, Empresas Privadas demás de la entregada por la Dirección de Patrimonio y Promoción de Hidrocarburos (MEM).</w:t>
      </w:r>
    </w:p>
    <w:p w14:paraId="21D35DDE" w14:textId="502C4B87" w:rsidR="000B73AA" w:rsidRPr="00A51E6E" w:rsidRDefault="00251A00" w:rsidP="00251A00">
      <w:pPr>
        <w:spacing w:before="240" w:after="240"/>
        <w:jc w:val="both"/>
        <w:rPr>
          <w:rFonts w:ascii="Calibri Light" w:hAnsi="Calibri Light" w:cs="Calibri Light"/>
          <w:sz w:val="22"/>
        </w:rPr>
      </w:pPr>
      <w:r w:rsidRPr="00A51E6E">
        <w:rPr>
          <w:rFonts w:ascii="Calibri Light" w:hAnsi="Calibri Light" w:cs="Calibri Light"/>
          <w:sz w:val="22"/>
        </w:rPr>
        <w:t>En la Figura 5, se presenta el resumen de las cifras estimadas de Reservas y Recursos del país, con cierre al 31 de diciembre de 202</w:t>
      </w:r>
      <w:r w:rsidR="009D39DF">
        <w:rPr>
          <w:rFonts w:ascii="Calibri Light" w:hAnsi="Calibri Light" w:cs="Calibri Light"/>
          <w:sz w:val="22"/>
        </w:rPr>
        <w:t>4</w:t>
      </w:r>
    </w:p>
    <w:p w14:paraId="3F9C3BBB" w14:textId="0E3DEE97" w:rsidR="00341041" w:rsidRPr="00157648" w:rsidRDefault="00341041" w:rsidP="00157648">
      <w:pPr>
        <w:pStyle w:val="Tablas"/>
        <w:spacing w:after="0"/>
        <w:rPr>
          <w:rFonts w:asciiTheme="majorHAnsi" w:hAnsiTheme="majorHAnsi" w:cstheme="majorHAnsi"/>
          <w:iCs w:val="0"/>
        </w:rPr>
      </w:pPr>
      <w:bookmarkStart w:id="67" w:name="_Toc199757548"/>
      <w:r w:rsidRPr="00157648">
        <w:rPr>
          <w:rFonts w:asciiTheme="majorHAnsi" w:hAnsiTheme="majorHAnsi" w:cstheme="majorHAnsi"/>
          <w:iCs w:val="0"/>
        </w:rPr>
        <w:t xml:space="preserve">Figura </w:t>
      </w:r>
      <w:r w:rsidR="002026B0">
        <w:rPr>
          <w:rFonts w:asciiTheme="majorHAnsi" w:hAnsiTheme="majorHAnsi" w:cstheme="majorHAnsi"/>
          <w:iCs w:val="0"/>
        </w:rPr>
        <w:fldChar w:fldCharType="begin"/>
      </w:r>
      <w:r w:rsidR="002026B0">
        <w:rPr>
          <w:rFonts w:asciiTheme="majorHAnsi" w:hAnsiTheme="majorHAnsi" w:cstheme="majorHAnsi"/>
          <w:iCs w:val="0"/>
        </w:rPr>
        <w:instrText xml:space="preserve"> SEQ Figura \* ARABIC </w:instrText>
      </w:r>
      <w:r w:rsidR="002026B0">
        <w:rPr>
          <w:rFonts w:asciiTheme="majorHAnsi" w:hAnsiTheme="majorHAnsi" w:cstheme="majorHAnsi"/>
          <w:iCs w:val="0"/>
        </w:rPr>
        <w:fldChar w:fldCharType="separate"/>
      </w:r>
      <w:r w:rsidR="0016337C">
        <w:rPr>
          <w:rFonts w:asciiTheme="majorHAnsi" w:hAnsiTheme="majorHAnsi" w:cstheme="majorHAnsi"/>
          <w:iCs w:val="0"/>
          <w:noProof/>
        </w:rPr>
        <w:t>5</w:t>
      </w:r>
      <w:r w:rsidR="002026B0">
        <w:rPr>
          <w:rFonts w:asciiTheme="majorHAnsi" w:hAnsiTheme="majorHAnsi" w:cstheme="majorHAnsi"/>
          <w:iCs w:val="0"/>
        </w:rPr>
        <w:fldChar w:fldCharType="end"/>
      </w:r>
      <w:r w:rsidRPr="00157648">
        <w:rPr>
          <w:rFonts w:asciiTheme="majorHAnsi" w:hAnsiTheme="majorHAnsi" w:cstheme="majorHAnsi"/>
          <w:iCs w:val="0"/>
        </w:rPr>
        <w:t xml:space="preserve">: Potencial </w:t>
      </w:r>
      <w:proofErr w:type="spellStart"/>
      <w:r w:rsidRPr="00157648">
        <w:rPr>
          <w:rFonts w:asciiTheme="majorHAnsi" w:hAnsiTheme="majorHAnsi" w:cstheme="majorHAnsi"/>
          <w:iCs w:val="0"/>
        </w:rPr>
        <w:t>Hidrocarburífero</w:t>
      </w:r>
      <w:proofErr w:type="spellEnd"/>
      <w:r w:rsidRPr="00157648">
        <w:rPr>
          <w:rFonts w:asciiTheme="majorHAnsi" w:hAnsiTheme="majorHAnsi" w:cstheme="majorHAnsi"/>
          <w:iCs w:val="0"/>
        </w:rPr>
        <w:t xml:space="preserve"> del Ecuador – Cifras estimadas con cierre al 31 de diciembre de 2024</w:t>
      </w:r>
      <w:bookmarkEnd w:id="67"/>
    </w:p>
    <w:p w14:paraId="67AC5092" w14:textId="2BBD8EF1" w:rsidR="00341041" w:rsidRPr="00A51E6E" w:rsidRDefault="00341041" w:rsidP="00341041">
      <w:pPr>
        <w:pStyle w:val="Descripcin"/>
        <w:rPr>
          <w:rFonts w:ascii="Calibri Light" w:hAnsi="Calibri Light" w:cs="Calibri Light"/>
          <w:sz w:val="22"/>
        </w:rPr>
      </w:pPr>
      <w:r w:rsidRPr="00636D73">
        <w:rPr>
          <w:noProof/>
        </w:rPr>
        <w:drawing>
          <wp:inline distT="0" distB="0" distL="0" distR="0" wp14:anchorId="6C19C445" wp14:editId="2AE19929">
            <wp:extent cx="4711065" cy="2051685"/>
            <wp:effectExtent l="38100" t="38100" r="89535" b="100965"/>
            <wp:docPr id="1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89BD07F" w14:textId="77777777" w:rsidR="00341041" w:rsidRPr="00157648" w:rsidRDefault="00341041" w:rsidP="00341041">
      <w:pPr>
        <w:pStyle w:val="Descripcin"/>
        <w:rPr>
          <w:rFonts w:ascii="Calibri Light" w:hAnsi="Calibri Light" w:cs="Calibri Light"/>
          <w:iCs w:val="0"/>
          <w:color w:val="7F7F7F"/>
          <w:sz w:val="20"/>
          <w:szCs w:val="24"/>
        </w:rPr>
      </w:pPr>
      <w:r w:rsidRPr="00157648">
        <w:rPr>
          <w:rFonts w:ascii="Calibri Light" w:hAnsi="Calibri Light" w:cs="Calibri Light"/>
          <w:iCs w:val="0"/>
          <w:color w:val="7F7F7F"/>
          <w:sz w:val="20"/>
          <w:szCs w:val="24"/>
        </w:rPr>
        <w:t xml:space="preserve">Fuente: Informe del Potencial </w:t>
      </w:r>
      <w:proofErr w:type="spellStart"/>
      <w:r w:rsidRPr="00157648">
        <w:rPr>
          <w:rFonts w:ascii="Calibri Light" w:hAnsi="Calibri Light" w:cs="Calibri Light"/>
          <w:iCs w:val="0"/>
          <w:color w:val="7F7F7F"/>
          <w:sz w:val="20"/>
          <w:szCs w:val="24"/>
        </w:rPr>
        <w:t>Hidrocarburífero</w:t>
      </w:r>
      <w:proofErr w:type="spellEnd"/>
      <w:r w:rsidRPr="00157648">
        <w:rPr>
          <w:rFonts w:ascii="Calibri Light" w:hAnsi="Calibri Light" w:cs="Calibri Light"/>
          <w:iCs w:val="0"/>
          <w:color w:val="7F7F7F"/>
          <w:sz w:val="20"/>
          <w:szCs w:val="24"/>
        </w:rPr>
        <w:t xml:space="preserve"> del Ecuador al 31 de diciembre de 2024</w:t>
      </w:r>
    </w:p>
    <w:p w14:paraId="6C9A81B5" w14:textId="77777777" w:rsidR="00341041" w:rsidRPr="00F12A37" w:rsidRDefault="00341041" w:rsidP="00341041"/>
    <w:p w14:paraId="7E6EFA55" w14:textId="77777777" w:rsidR="00341041" w:rsidRPr="00A51E6E" w:rsidRDefault="00341041" w:rsidP="00341041">
      <w:pPr>
        <w:jc w:val="both"/>
        <w:rPr>
          <w:rFonts w:ascii="Calibri Light" w:hAnsi="Calibri Light" w:cs="Calibri Light"/>
          <w:sz w:val="22"/>
        </w:rPr>
      </w:pPr>
      <w:r w:rsidRPr="00A51E6E">
        <w:rPr>
          <w:rFonts w:ascii="Calibri Light" w:hAnsi="Calibri Light" w:cs="Calibri Light"/>
          <w:sz w:val="22"/>
        </w:rPr>
        <w:t>La Producción Acumulada es la histórica del país, desde inicio de la explotación petrolera. Las Reservas 3P es la suma de las reservas probadas, probables y posibles de los campos en producción y no producción.</w:t>
      </w:r>
    </w:p>
    <w:p w14:paraId="02867935" w14:textId="77777777" w:rsidR="00341041" w:rsidRPr="00A51E6E" w:rsidRDefault="00341041" w:rsidP="00341041">
      <w:pPr>
        <w:jc w:val="both"/>
        <w:rPr>
          <w:rFonts w:ascii="Calibri Light" w:hAnsi="Calibri Light" w:cs="Calibri Light"/>
          <w:sz w:val="22"/>
        </w:rPr>
      </w:pPr>
    </w:p>
    <w:p w14:paraId="7BE49023" w14:textId="77777777" w:rsidR="00341041" w:rsidRPr="00A51E6E" w:rsidRDefault="00341041" w:rsidP="00341041">
      <w:pPr>
        <w:jc w:val="both"/>
        <w:rPr>
          <w:rFonts w:ascii="Calibri Light" w:hAnsi="Calibri Light" w:cs="Calibri Light"/>
          <w:sz w:val="22"/>
        </w:rPr>
      </w:pPr>
      <w:r w:rsidRPr="00A51E6E">
        <w:rPr>
          <w:rFonts w:ascii="Calibri Light" w:hAnsi="Calibri Light" w:cs="Calibri Light"/>
          <w:sz w:val="22"/>
        </w:rPr>
        <w:t>Los Recursos Contingentes, son aquellas cantidades de petróleo estimadas, a partir de una fecha dada, a ser potencialmente recuperables de acumulaciones conocidas, pero el/los proyecto(s) aplicados aún no se consideren suficientemente maduros para el desarrollo comercial debido a una o más contingencias.</w:t>
      </w:r>
    </w:p>
    <w:p w14:paraId="0A7A7D2A" w14:textId="77777777" w:rsidR="00341041" w:rsidRPr="00A51E6E" w:rsidRDefault="00341041" w:rsidP="00341041">
      <w:pPr>
        <w:jc w:val="both"/>
        <w:rPr>
          <w:rFonts w:ascii="Calibri Light" w:hAnsi="Calibri Light" w:cs="Calibri Light"/>
          <w:sz w:val="22"/>
        </w:rPr>
      </w:pPr>
    </w:p>
    <w:p w14:paraId="182074C6" w14:textId="77777777" w:rsidR="00341041" w:rsidRPr="00A51E6E" w:rsidRDefault="00341041" w:rsidP="00341041">
      <w:pPr>
        <w:jc w:val="both"/>
        <w:rPr>
          <w:rFonts w:ascii="Calibri Light" w:hAnsi="Calibri Light" w:cs="Calibri Light"/>
          <w:sz w:val="22"/>
        </w:rPr>
      </w:pPr>
      <w:r w:rsidRPr="00A51E6E">
        <w:rPr>
          <w:rFonts w:ascii="Calibri Light" w:hAnsi="Calibri Light" w:cs="Calibri Light"/>
          <w:sz w:val="22"/>
        </w:rPr>
        <w:t>Recursos Prospectivos, son esas cantidades de petróleo estimados, a fecha dada, de ser potencialmente recuperables de acumulaciones no descubiertas a través de la aplicación de proyectos futuros de desarrollo.</w:t>
      </w:r>
    </w:p>
    <w:p w14:paraId="29DCFAA8" w14:textId="77777777" w:rsidR="00FE7273" w:rsidRDefault="00FE7273" w:rsidP="006A391B">
      <w:pPr>
        <w:pStyle w:val="Ttulo3"/>
        <w:rPr>
          <w:rFonts w:asciiTheme="minorHAnsi" w:eastAsiaTheme="minorHAnsi" w:hAnsiTheme="minorHAnsi" w:cstheme="minorBidi"/>
          <w:color w:val="auto"/>
        </w:rPr>
      </w:pPr>
      <w:bookmarkStart w:id="68" w:name="_Toc157095741"/>
      <w:bookmarkStart w:id="69" w:name="_Toc197335078"/>
    </w:p>
    <w:p w14:paraId="2DACA58E" w14:textId="2167E586" w:rsidR="00341041" w:rsidRPr="00067DE4" w:rsidRDefault="00341041" w:rsidP="00067DE4">
      <w:pPr>
        <w:pStyle w:val="Ttulo4"/>
        <w:rPr>
          <w:i w:val="0"/>
          <w:sz w:val="22"/>
          <w:szCs w:val="22"/>
        </w:rPr>
      </w:pPr>
      <w:r w:rsidRPr="00067DE4">
        <w:rPr>
          <w:i w:val="0"/>
          <w:sz w:val="22"/>
          <w:szCs w:val="22"/>
        </w:rPr>
        <w:t>Proyectos de Recuperación Secundaria</w:t>
      </w:r>
      <w:bookmarkEnd w:id="68"/>
      <w:bookmarkEnd w:id="69"/>
    </w:p>
    <w:p w14:paraId="53580563" w14:textId="77777777" w:rsidR="00341041" w:rsidRDefault="00341041" w:rsidP="00341041"/>
    <w:p w14:paraId="72D387C5" w14:textId="77777777" w:rsidR="00341041" w:rsidRPr="00A51E6E" w:rsidRDefault="00341041" w:rsidP="00341041">
      <w:pPr>
        <w:jc w:val="both"/>
        <w:rPr>
          <w:rFonts w:ascii="Calibri Light" w:hAnsi="Calibri Light" w:cs="Calibri Light"/>
          <w:sz w:val="22"/>
        </w:rPr>
      </w:pPr>
      <w:r w:rsidRPr="00A51E6E">
        <w:rPr>
          <w:rFonts w:ascii="Calibri Light" w:hAnsi="Calibri Light" w:cs="Calibri Light"/>
          <w:sz w:val="22"/>
        </w:rPr>
        <w:t xml:space="preserve">Durante el año 2024, se ha continuado con la ejecución de los proyectos de recuperación secundaria, tanto en la Empresa Pública (Bloques: Auca, Edén </w:t>
      </w:r>
      <w:proofErr w:type="spellStart"/>
      <w:r w:rsidRPr="00A51E6E">
        <w:rPr>
          <w:rFonts w:ascii="Calibri Light" w:hAnsi="Calibri Light" w:cs="Calibri Light"/>
          <w:sz w:val="22"/>
        </w:rPr>
        <w:t>Yuturi</w:t>
      </w:r>
      <w:proofErr w:type="spellEnd"/>
      <w:r w:rsidRPr="00A51E6E">
        <w:rPr>
          <w:rFonts w:ascii="Calibri Light" w:hAnsi="Calibri Light" w:cs="Calibri Light"/>
          <w:sz w:val="22"/>
        </w:rPr>
        <w:t xml:space="preserve">, </w:t>
      </w:r>
      <w:proofErr w:type="spellStart"/>
      <w:r w:rsidRPr="00A51E6E">
        <w:rPr>
          <w:rFonts w:ascii="Calibri Light" w:hAnsi="Calibri Light" w:cs="Calibri Light"/>
          <w:sz w:val="22"/>
        </w:rPr>
        <w:t>Indillana</w:t>
      </w:r>
      <w:proofErr w:type="spellEnd"/>
      <w:r w:rsidRPr="00A51E6E">
        <w:rPr>
          <w:rFonts w:ascii="Calibri Light" w:hAnsi="Calibri Light" w:cs="Calibri Light"/>
          <w:sz w:val="22"/>
        </w:rPr>
        <w:t>, Lago Agrio, Libertador, Oso-</w:t>
      </w:r>
      <w:proofErr w:type="spellStart"/>
      <w:r w:rsidRPr="00A51E6E">
        <w:rPr>
          <w:rFonts w:ascii="Calibri Light" w:hAnsi="Calibri Light" w:cs="Calibri Light"/>
          <w:sz w:val="22"/>
        </w:rPr>
        <w:t>Yuralpa</w:t>
      </w:r>
      <w:proofErr w:type="spellEnd"/>
      <w:r w:rsidRPr="00A51E6E">
        <w:rPr>
          <w:rFonts w:ascii="Calibri Light" w:hAnsi="Calibri Light" w:cs="Calibri Light"/>
          <w:sz w:val="22"/>
        </w:rPr>
        <w:t>, Sacha, Shushufindi y 16) como en las Compañías Privadas (</w:t>
      </w:r>
      <w:proofErr w:type="spellStart"/>
      <w:r w:rsidRPr="00A51E6E">
        <w:rPr>
          <w:rFonts w:ascii="Calibri Light" w:hAnsi="Calibri Light" w:cs="Calibri Light"/>
          <w:sz w:val="22"/>
        </w:rPr>
        <w:t>Enap</w:t>
      </w:r>
      <w:proofErr w:type="spellEnd"/>
      <w:r w:rsidRPr="00A51E6E">
        <w:rPr>
          <w:rFonts w:ascii="Calibri Light" w:hAnsi="Calibri Light" w:cs="Calibri Light"/>
          <w:sz w:val="22"/>
        </w:rPr>
        <w:t xml:space="preserve"> </w:t>
      </w:r>
      <w:proofErr w:type="spellStart"/>
      <w:r w:rsidRPr="00A51E6E">
        <w:rPr>
          <w:rFonts w:ascii="Calibri Light" w:hAnsi="Calibri Light" w:cs="Calibri Light"/>
          <w:sz w:val="22"/>
        </w:rPr>
        <w:t>Sipetrol</w:t>
      </w:r>
      <w:proofErr w:type="spellEnd"/>
      <w:r w:rsidRPr="00A51E6E">
        <w:rPr>
          <w:rFonts w:ascii="Calibri Light" w:hAnsi="Calibri Light" w:cs="Calibri Light"/>
          <w:sz w:val="22"/>
        </w:rPr>
        <w:t xml:space="preserve"> (46 y 47), Andes </w:t>
      </w:r>
      <w:proofErr w:type="spellStart"/>
      <w:r w:rsidRPr="00A51E6E">
        <w:rPr>
          <w:rFonts w:ascii="Calibri Light" w:hAnsi="Calibri Light" w:cs="Calibri Light"/>
          <w:sz w:val="22"/>
        </w:rPr>
        <w:t>Petroleum</w:t>
      </w:r>
      <w:proofErr w:type="spellEnd"/>
      <w:r w:rsidRPr="00A51E6E">
        <w:rPr>
          <w:rFonts w:ascii="Calibri Light" w:hAnsi="Calibri Light" w:cs="Calibri Light"/>
          <w:sz w:val="22"/>
        </w:rPr>
        <w:t xml:space="preserve"> Ecuador Ltd. (62), </w:t>
      </w:r>
      <w:proofErr w:type="spellStart"/>
      <w:r w:rsidRPr="00A51E6E">
        <w:rPr>
          <w:rFonts w:ascii="Calibri Light" w:hAnsi="Calibri Light" w:cs="Calibri Light"/>
          <w:sz w:val="22"/>
        </w:rPr>
        <w:t>OrionOil</w:t>
      </w:r>
      <w:proofErr w:type="spellEnd"/>
      <w:r w:rsidRPr="00A51E6E">
        <w:rPr>
          <w:rFonts w:ascii="Calibri Light" w:hAnsi="Calibri Light" w:cs="Calibri Light"/>
          <w:sz w:val="22"/>
        </w:rPr>
        <w:t xml:space="preserve"> ER (54), </w:t>
      </w:r>
      <w:proofErr w:type="spellStart"/>
      <w:r w:rsidRPr="00A51E6E">
        <w:rPr>
          <w:rFonts w:ascii="Calibri Light" w:hAnsi="Calibri Light" w:cs="Calibri Light"/>
          <w:sz w:val="22"/>
        </w:rPr>
        <w:t>Petrobell</w:t>
      </w:r>
      <w:proofErr w:type="spellEnd"/>
      <w:r w:rsidRPr="00A51E6E">
        <w:rPr>
          <w:rFonts w:ascii="Calibri Light" w:hAnsi="Calibri Light" w:cs="Calibri Light"/>
          <w:sz w:val="22"/>
        </w:rPr>
        <w:t xml:space="preserve"> Ecuador S.A. (66), PCR Ecuador S.A. (65), </w:t>
      </w:r>
      <w:proofErr w:type="spellStart"/>
      <w:r w:rsidRPr="00A51E6E">
        <w:rPr>
          <w:rFonts w:ascii="Calibri Light" w:hAnsi="Calibri Light" w:cs="Calibri Light"/>
          <w:sz w:val="22"/>
        </w:rPr>
        <w:t>PetroOriental</w:t>
      </w:r>
      <w:proofErr w:type="spellEnd"/>
      <w:r w:rsidRPr="00A51E6E">
        <w:rPr>
          <w:rFonts w:ascii="Calibri Light" w:hAnsi="Calibri Light" w:cs="Calibri Light"/>
          <w:sz w:val="22"/>
        </w:rPr>
        <w:t xml:space="preserve"> S.A. (14 y 17)), proyectos que han permitido mantener la presión de reservorio y mejorar el factor de recobro. </w:t>
      </w:r>
    </w:p>
    <w:p w14:paraId="7E89A58C" w14:textId="77777777" w:rsidR="009D39DF" w:rsidRPr="00F12A37" w:rsidRDefault="009D39DF" w:rsidP="00341041"/>
    <w:p w14:paraId="5575B25A" w14:textId="77777777" w:rsidR="00341041" w:rsidRPr="00067DE4" w:rsidRDefault="00341041" w:rsidP="00067DE4">
      <w:pPr>
        <w:pStyle w:val="Ttulo4"/>
        <w:rPr>
          <w:i w:val="0"/>
          <w:sz w:val="22"/>
          <w:szCs w:val="22"/>
        </w:rPr>
      </w:pPr>
      <w:bookmarkStart w:id="70" w:name="_Toc157095742"/>
      <w:bookmarkStart w:id="71" w:name="_Toc197335079"/>
      <w:r w:rsidRPr="00067DE4">
        <w:rPr>
          <w:i w:val="0"/>
          <w:sz w:val="22"/>
          <w:szCs w:val="22"/>
        </w:rPr>
        <w:t>Pozos Perforados en 202</w:t>
      </w:r>
      <w:bookmarkEnd w:id="70"/>
      <w:r w:rsidRPr="00067DE4">
        <w:rPr>
          <w:i w:val="0"/>
          <w:sz w:val="22"/>
          <w:szCs w:val="22"/>
        </w:rPr>
        <w:t>4</w:t>
      </w:r>
      <w:bookmarkEnd w:id="71"/>
    </w:p>
    <w:p w14:paraId="1F480016" w14:textId="77777777" w:rsidR="00341041" w:rsidRPr="00067DED" w:rsidRDefault="00341041" w:rsidP="00341041"/>
    <w:p w14:paraId="28381A38" w14:textId="77777777" w:rsidR="00341041" w:rsidRPr="00A51E6E" w:rsidRDefault="00341041" w:rsidP="00341041">
      <w:pPr>
        <w:jc w:val="both"/>
        <w:rPr>
          <w:rFonts w:ascii="Calibri Light" w:hAnsi="Calibri Light" w:cs="Calibri Light"/>
          <w:b/>
          <w:sz w:val="22"/>
        </w:rPr>
      </w:pPr>
      <w:bookmarkStart w:id="72" w:name="_Toc157095743"/>
      <w:r w:rsidRPr="00A51E6E">
        <w:rPr>
          <w:rFonts w:ascii="Calibri Light" w:hAnsi="Calibri Light" w:cs="Calibri Light"/>
          <w:sz w:val="22"/>
        </w:rPr>
        <w:t xml:space="preserve">De acuerdo a cifras de la Agencia de Regulación y Control de Hidrocarburos (ARCH), durante el año 2024 se perforó un total de 122 pozos, de los cuales, 70 pozos fueron perforados por la Empresa Pública y 52 por las Compañías Privadas. </w:t>
      </w:r>
    </w:p>
    <w:p w14:paraId="0B52A21A" w14:textId="77777777" w:rsidR="00341041" w:rsidRPr="00157648" w:rsidRDefault="00341041" w:rsidP="00341041">
      <w:pPr>
        <w:jc w:val="both"/>
        <w:rPr>
          <w:rFonts w:ascii="Calibri Light" w:hAnsi="Calibri Light" w:cs="Calibri Light"/>
          <w:b/>
          <w:i/>
          <w:sz w:val="22"/>
        </w:rPr>
      </w:pPr>
    </w:p>
    <w:p w14:paraId="282ED155" w14:textId="5A1D3025" w:rsidR="00341041" w:rsidRPr="00157648" w:rsidRDefault="00341041" w:rsidP="00157648">
      <w:pPr>
        <w:pStyle w:val="Descripcin"/>
        <w:ind w:left="384"/>
        <w:rPr>
          <w:rFonts w:asciiTheme="majorHAnsi" w:eastAsia="Calibri" w:hAnsiTheme="majorHAnsi" w:cstheme="majorHAnsi"/>
          <w:i w:val="0"/>
          <w:iCs w:val="0"/>
          <w:color w:val="44546A"/>
        </w:rPr>
      </w:pPr>
      <w:bookmarkStart w:id="73" w:name="_Toc157034005"/>
      <w:bookmarkStart w:id="74" w:name="_Toc157036382"/>
      <w:bookmarkStart w:id="75" w:name="_Toc197334697"/>
      <w:bookmarkStart w:id="76" w:name="_Toc195695401"/>
      <w:bookmarkStart w:id="77" w:name="_Toc199757549"/>
      <w:r w:rsidRPr="00157648">
        <w:rPr>
          <w:rStyle w:val="TablasCar"/>
          <w:rFonts w:asciiTheme="majorHAnsi" w:hAnsiTheme="majorHAnsi" w:cstheme="majorHAnsi"/>
          <w:i/>
        </w:rPr>
        <w:t xml:space="preserve">Figura </w:t>
      </w:r>
      <w:r w:rsidR="002026B0">
        <w:rPr>
          <w:rStyle w:val="TablasCar"/>
          <w:rFonts w:asciiTheme="majorHAnsi" w:hAnsiTheme="majorHAnsi" w:cstheme="majorHAnsi"/>
          <w:i/>
        </w:rPr>
        <w:fldChar w:fldCharType="begin"/>
      </w:r>
      <w:r w:rsidR="002026B0">
        <w:rPr>
          <w:rStyle w:val="TablasCar"/>
          <w:rFonts w:asciiTheme="majorHAnsi" w:hAnsiTheme="majorHAnsi" w:cstheme="majorHAnsi"/>
          <w:i/>
        </w:rPr>
        <w:instrText xml:space="preserve"> SEQ Figura \* ARABIC </w:instrText>
      </w:r>
      <w:r w:rsidR="002026B0">
        <w:rPr>
          <w:rStyle w:val="TablasCar"/>
          <w:rFonts w:asciiTheme="majorHAnsi" w:hAnsiTheme="majorHAnsi" w:cstheme="majorHAnsi"/>
          <w:i/>
        </w:rPr>
        <w:fldChar w:fldCharType="separate"/>
      </w:r>
      <w:r w:rsidR="0016337C">
        <w:rPr>
          <w:rStyle w:val="TablasCar"/>
          <w:rFonts w:asciiTheme="majorHAnsi" w:hAnsiTheme="majorHAnsi" w:cstheme="majorHAnsi"/>
          <w:i/>
          <w:noProof/>
        </w:rPr>
        <w:t>6</w:t>
      </w:r>
      <w:r w:rsidR="002026B0">
        <w:rPr>
          <w:rStyle w:val="TablasCar"/>
          <w:rFonts w:asciiTheme="majorHAnsi" w:hAnsiTheme="majorHAnsi" w:cstheme="majorHAnsi"/>
          <w:i/>
        </w:rPr>
        <w:fldChar w:fldCharType="end"/>
      </w:r>
      <w:r w:rsidRPr="00157648">
        <w:rPr>
          <w:rStyle w:val="TablasCar"/>
          <w:rFonts w:asciiTheme="majorHAnsi" w:hAnsiTheme="majorHAnsi" w:cstheme="majorHAnsi"/>
          <w:i/>
        </w:rPr>
        <w:t>: Total Pozos Perforados año 2024</w:t>
      </w:r>
      <w:bookmarkEnd w:id="73"/>
      <w:bookmarkEnd w:id="74"/>
      <w:bookmarkEnd w:id="75"/>
      <w:bookmarkEnd w:id="77"/>
    </w:p>
    <w:p w14:paraId="27217E7A" w14:textId="57B9DF46" w:rsidR="00341041" w:rsidRPr="00860BD4" w:rsidRDefault="00341041" w:rsidP="00341041">
      <w:pPr>
        <w:pStyle w:val="Descripcin"/>
        <w:ind w:left="384"/>
      </w:pPr>
      <w:r w:rsidRPr="00636D73">
        <w:rPr>
          <w:noProof/>
        </w:rPr>
        <w:drawing>
          <wp:inline distT="0" distB="0" distL="0" distR="0" wp14:anchorId="338B8460" wp14:editId="7A23F502">
            <wp:extent cx="4362450" cy="1733550"/>
            <wp:effectExtent l="57150" t="19050" r="57150" b="95250"/>
            <wp:docPr id="1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76"/>
    </w:p>
    <w:p w14:paraId="4AFDC491" w14:textId="77777777" w:rsidR="00341041" w:rsidRPr="000A1AE7" w:rsidRDefault="00341041" w:rsidP="00341041">
      <w:pPr>
        <w:pStyle w:val="Descripcin"/>
        <w:ind w:left="384"/>
        <w:rPr>
          <w:rFonts w:ascii="Calibri Light" w:hAnsi="Calibri Light" w:cs="Calibri Light"/>
          <w:iCs w:val="0"/>
          <w:color w:val="7F7F7F"/>
        </w:rPr>
      </w:pPr>
      <w:r w:rsidRPr="000A1AE7">
        <w:rPr>
          <w:rFonts w:ascii="Calibri Light" w:hAnsi="Calibri Light" w:cs="Calibri Light"/>
          <w:iCs w:val="0"/>
          <w:color w:val="7F7F7F"/>
        </w:rPr>
        <w:t>Fuente: Agencia de Regulación y Control de Hidrocarburos - Histórico de Perforación</w:t>
      </w:r>
    </w:p>
    <w:p w14:paraId="046ADC00" w14:textId="77777777" w:rsidR="00341041" w:rsidRPr="00D277C9" w:rsidRDefault="00341041" w:rsidP="00341041"/>
    <w:p w14:paraId="25CD9ABD" w14:textId="730A1BBA" w:rsidR="00E55F64" w:rsidRPr="00A51E6E" w:rsidRDefault="00341041" w:rsidP="00341041">
      <w:pPr>
        <w:pStyle w:val="Prrafodelista"/>
        <w:ind w:left="0"/>
        <w:jc w:val="both"/>
        <w:rPr>
          <w:rFonts w:ascii="Calibri Light" w:hAnsi="Calibri Light" w:cs="Calibri Light"/>
          <w:sz w:val="22"/>
        </w:rPr>
      </w:pPr>
      <w:r w:rsidRPr="00A51E6E">
        <w:rPr>
          <w:rFonts w:ascii="Calibri Light" w:hAnsi="Calibri Light" w:cs="Calibri Light"/>
          <w:sz w:val="22"/>
        </w:rPr>
        <w:t xml:space="preserve">Durante el año 2024, se perforó un total de diecisiete (17) pozos, en los Bloques que forman parte de la Ronda </w:t>
      </w:r>
      <w:proofErr w:type="spellStart"/>
      <w:r w:rsidRPr="00A51E6E">
        <w:rPr>
          <w:rFonts w:ascii="Calibri Light" w:hAnsi="Calibri Light" w:cs="Calibri Light"/>
          <w:sz w:val="22"/>
        </w:rPr>
        <w:t>Intracampos</w:t>
      </w:r>
      <w:proofErr w:type="spellEnd"/>
      <w:r w:rsidRPr="00A51E6E">
        <w:rPr>
          <w:rFonts w:ascii="Calibri Light" w:hAnsi="Calibri Light" w:cs="Calibri Light"/>
          <w:sz w:val="22"/>
        </w:rPr>
        <w:t xml:space="preserve"> I, distribuidos en catorce (14) pozos Exploratorios y tres (3) pozos de Avanzada.</w:t>
      </w:r>
    </w:p>
    <w:p w14:paraId="51B4FC16" w14:textId="77777777" w:rsidR="00341041" w:rsidRPr="00157648" w:rsidRDefault="00341041" w:rsidP="00341041">
      <w:pPr>
        <w:pStyle w:val="Prrafodelista"/>
        <w:ind w:left="0"/>
        <w:jc w:val="both"/>
        <w:rPr>
          <w:rFonts w:asciiTheme="majorHAnsi" w:hAnsiTheme="majorHAnsi" w:cstheme="majorHAnsi"/>
          <w:sz w:val="22"/>
        </w:rPr>
      </w:pPr>
    </w:p>
    <w:p w14:paraId="2737BAE6" w14:textId="0361CF12" w:rsidR="00341041" w:rsidRPr="0016337C" w:rsidRDefault="00341041" w:rsidP="00157648">
      <w:pPr>
        <w:pStyle w:val="Tablas"/>
        <w:spacing w:after="0"/>
        <w:rPr>
          <w:rFonts w:asciiTheme="majorHAnsi" w:hAnsiTheme="majorHAnsi" w:cstheme="majorHAnsi"/>
        </w:rPr>
      </w:pPr>
      <w:bookmarkStart w:id="78" w:name="_Toc197334698"/>
      <w:bookmarkStart w:id="79" w:name="_Toc199757550"/>
      <w:r w:rsidRPr="0016337C">
        <w:rPr>
          <w:rStyle w:val="TablasCar"/>
          <w:rFonts w:asciiTheme="majorHAnsi" w:hAnsiTheme="majorHAnsi" w:cstheme="majorHAnsi"/>
          <w:i/>
        </w:rPr>
        <w:t xml:space="preserve">Figura </w:t>
      </w:r>
      <w:r w:rsidR="002026B0" w:rsidRPr="0016337C">
        <w:rPr>
          <w:rStyle w:val="TablasCar"/>
          <w:rFonts w:asciiTheme="majorHAnsi" w:hAnsiTheme="majorHAnsi" w:cstheme="majorHAnsi"/>
          <w:i/>
        </w:rPr>
        <w:fldChar w:fldCharType="begin"/>
      </w:r>
      <w:r w:rsidR="002026B0" w:rsidRPr="0016337C">
        <w:rPr>
          <w:rStyle w:val="TablasCar"/>
          <w:rFonts w:asciiTheme="majorHAnsi" w:hAnsiTheme="majorHAnsi" w:cstheme="majorHAnsi"/>
          <w:i/>
        </w:rPr>
        <w:instrText xml:space="preserve"> SEQ Figura \* ARABIC </w:instrText>
      </w:r>
      <w:r w:rsidR="002026B0" w:rsidRPr="0016337C">
        <w:rPr>
          <w:rStyle w:val="TablasCar"/>
          <w:rFonts w:asciiTheme="majorHAnsi" w:hAnsiTheme="majorHAnsi" w:cstheme="majorHAnsi"/>
          <w:i/>
        </w:rPr>
        <w:fldChar w:fldCharType="separate"/>
      </w:r>
      <w:r w:rsidR="0016337C">
        <w:rPr>
          <w:rStyle w:val="TablasCar"/>
          <w:rFonts w:asciiTheme="majorHAnsi" w:hAnsiTheme="majorHAnsi" w:cstheme="majorHAnsi"/>
          <w:i/>
          <w:noProof/>
        </w:rPr>
        <w:t>7</w:t>
      </w:r>
      <w:r w:rsidR="002026B0" w:rsidRPr="0016337C">
        <w:rPr>
          <w:rStyle w:val="TablasCar"/>
          <w:rFonts w:asciiTheme="majorHAnsi" w:hAnsiTheme="majorHAnsi" w:cstheme="majorHAnsi"/>
          <w:i/>
        </w:rPr>
        <w:fldChar w:fldCharType="end"/>
      </w:r>
      <w:r w:rsidRPr="0016337C">
        <w:rPr>
          <w:rStyle w:val="TablasCar"/>
          <w:rFonts w:asciiTheme="majorHAnsi" w:hAnsiTheme="majorHAnsi" w:cstheme="majorHAnsi"/>
          <w:i/>
        </w:rPr>
        <w:t>:</w:t>
      </w:r>
      <w:r w:rsidRPr="0016337C">
        <w:rPr>
          <w:rStyle w:val="TablasCar"/>
          <w:rFonts w:asciiTheme="majorHAnsi" w:hAnsiTheme="majorHAnsi" w:cstheme="majorHAnsi"/>
        </w:rPr>
        <w:t xml:space="preserve"> </w:t>
      </w:r>
      <w:r w:rsidRPr="0016337C">
        <w:rPr>
          <w:rFonts w:asciiTheme="majorHAnsi" w:hAnsiTheme="majorHAnsi" w:cstheme="majorHAnsi"/>
        </w:rPr>
        <w:t xml:space="preserve"> Total Pozos Perforados Ronda </w:t>
      </w:r>
      <w:proofErr w:type="spellStart"/>
      <w:r w:rsidRPr="0016337C">
        <w:rPr>
          <w:rFonts w:asciiTheme="majorHAnsi" w:hAnsiTheme="majorHAnsi" w:cstheme="majorHAnsi"/>
        </w:rPr>
        <w:t>Intracampos</w:t>
      </w:r>
      <w:proofErr w:type="spellEnd"/>
      <w:r w:rsidRPr="0016337C">
        <w:rPr>
          <w:rFonts w:asciiTheme="majorHAnsi" w:hAnsiTheme="majorHAnsi" w:cstheme="majorHAnsi"/>
        </w:rPr>
        <w:t xml:space="preserve"> </w:t>
      </w:r>
      <w:r w:rsidR="0016337C">
        <w:rPr>
          <w:rFonts w:asciiTheme="majorHAnsi" w:hAnsiTheme="majorHAnsi" w:cstheme="majorHAnsi"/>
        </w:rPr>
        <w:t>I</w:t>
      </w:r>
      <w:r w:rsidRPr="0016337C">
        <w:rPr>
          <w:rFonts w:asciiTheme="majorHAnsi" w:hAnsiTheme="majorHAnsi" w:cstheme="majorHAnsi"/>
        </w:rPr>
        <w:t>2024</w:t>
      </w:r>
      <w:bookmarkEnd w:id="78"/>
      <w:bookmarkEnd w:id="79"/>
    </w:p>
    <w:p w14:paraId="2009DA68" w14:textId="7852B981" w:rsidR="00341041" w:rsidRPr="00A51E6E" w:rsidRDefault="00341041" w:rsidP="00341041">
      <w:pPr>
        <w:pStyle w:val="Prrafodelista"/>
        <w:ind w:left="386"/>
        <w:jc w:val="center"/>
        <w:rPr>
          <w:rFonts w:ascii="Calibri Light" w:hAnsi="Calibri Light" w:cs="Calibri Light"/>
          <w:sz w:val="22"/>
        </w:rPr>
      </w:pPr>
      <w:r w:rsidRPr="00157648">
        <w:rPr>
          <w:rFonts w:asciiTheme="majorHAnsi" w:hAnsiTheme="majorHAnsi" w:cstheme="majorHAnsi"/>
          <w:noProof/>
          <w:sz w:val="18"/>
          <w:szCs w:val="18"/>
        </w:rPr>
        <w:lastRenderedPageBreak/>
        <w:drawing>
          <wp:inline distT="0" distB="0" distL="0" distR="0" wp14:anchorId="0A6233B7" wp14:editId="41487A23">
            <wp:extent cx="4216400" cy="2203450"/>
            <wp:effectExtent l="57150" t="19050" r="50800" b="101600"/>
            <wp:docPr id="1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B798C6" w14:textId="5BB60D7D" w:rsidR="009D39DF" w:rsidRPr="00E55F64" w:rsidRDefault="00341041" w:rsidP="00E55F64">
      <w:pPr>
        <w:pStyle w:val="Descripcin"/>
        <w:ind w:left="386"/>
        <w:rPr>
          <w:rFonts w:ascii="Calibri Light" w:hAnsi="Calibri Light" w:cs="Calibri Light"/>
          <w:iCs w:val="0"/>
          <w:color w:val="7F7F7F"/>
        </w:rPr>
      </w:pPr>
      <w:r w:rsidRPr="00157648">
        <w:rPr>
          <w:rFonts w:ascii="Calibri Light" w:hAnsi="Calibri Light" w:cs="Calibri Light"/>
          <w:iCs w:val="0"/>
          <w:color w:val="7F7F7F"/>
        </w:rPr>
        <w:t>Fuente: Agencia de Regulación y Control de Hidrocarburos - Histórico de Perforación</w:t>
      </w:r>
    </w:p>
    <w:p w14:paraId="51520E19" w14:textId="77777777" w:rsidR="009D39DF" w:rsidRPr="009D39DF" w:rsidRDefault="009D39DF" w:rsidP="003A269C"/>
    <w:p w14:paraId="3AD3054C" w14:textId="77777777" w:rsidR="00341041" w:rsidRPr="00067DE4" w:rsidRDefault="00341041" w:rsidP="00067DE4">
      <w:pPr>
        <w:pStyle w:val="Ttulo4"/>
        <w:rPr>
          <w:i w:val="0"/>
          <w:sz w:val="22"/>
          <w:szCs w:val="22"/>
        </w:rPr>
      </w:pPr>
      <w:bookmarkStart w:id="80" w:name="_Toc197335080"/>
      <w:r w:rsidRPr="00067DE4">
        <w:rPr>
          <w:i w:val="0"/>
          <w:sz w:val="22"/>
          <w:szCs w:val="22"/>
        </w:rPr>
        <w:t>Producción Nacional 202</w:t>
      </w:r>
      <w:bookmarkEnd w:id="72"/>
      <w:r w:rsidRPr="00067DE4">
        <w:rPr>
          <w:i w:val="0"/>
          <w:sz w:val="22"/>
          <w:szCs w:val="22"/>
        </w:rPr>
        <w:t>4</w:t>
      </w:r>
      <w:bookmarkEnd w:id="80"/>
    </w:p>
    <w:p w14:paraId="4C7EFC3E" w14:textId="77777777" w:rsidR="00341041" w:rsidRDefault="00341041" w:rsidP="00341041"/>
    <w:p w14:paraId="3E9FA2E0" w14:textId="77777777" w:rsidR="00341041" w:rsidRPr="00A51E6E" w:rsidRDefault="00341041" w:rsidP="00341041">
      <w:pPr>
        <w:jc w:val="both"/>
        <w:rPr>
          <w:rFonts w:ascii="Calibri Light" w:hAnsi="Calibri Light" w:cs="Calibri Light"/>
          <w:sz w:val="22"/>
        </w:rPr>
      </w:pPr>
      <w:r w:rsidRPr="00A51E6E">
        <w:rPr>
          <w:rFonts w:ascii="Calibri Light" w:hAnsi="Calibri Light" w:cs="Calibri Light"/>
          <w:sz w:val="22"/>
        </w:rPr>
        <w:t xml:space="preserve">Según cifras de la Agencia de Regulación y Control de Hidrocarburos (ARCH), la producción nacional de petróleo promedio del 2024 fue de 475.272 BPPD. La producción Nacional registrada en el año 2024, fue de 173.949.569 </w:t>
      </w:r>
      <w:proofErr w:type="spellStart"/>
      <w:r w:rsidRPr="00A51E6E">
        <w:rPr>
          <w:rFonts w:ascii="Calibri Light" w:hAnsi="Calibri Light" w:cs="Calibri Light"/>
          <w:sz w:val="22"/>
        </w:rPr>
        <w:t>Bls</w:t>
      </w:r>
      <w:proofErr w:type="spellEnd"/>
      <w:r w:rsidRPr="00A51E6E">
        <w:rPr>
          <w:rFonts w:ascii="Calibri Light" w:hAnsi="Calibri Light" w:cs="Calibri Light"/>
          <w:sz w:val="22"/>
        </w:rPr>
        <w:t xml:space="preserve">, de los cuales, 139.649.455 </w:t>
      </w:r>
      <w:proofErr w:type="spellStart"/>
      <w:r w:rsidRPr="00A51E6E">
        <w:rPr>
          <w:rFonts w:ascii="Calibri Light" w:hAnsi="Calibri Light" w:cs="Calibri Light"/>
          <w:sz w:val="22"/>
        </w:rPr>
        <w:t>Bls</w:t>
      </w:r>
      <w:proofErr w:type="spellEnd"/>
      <w:r w:rsidRPr="00A51E6E">
        <w:rPr>
          <w:rFonts w:ascii="Calibri Light" w:hAnsi="Calibri Light" w:cs="Calibri Light"/>
          <w:sz w:val="22"/>
        </w:rPr>
        <w:t xml:space="preserve">, corresponden a la Empresa Pública y 34.300.114 </w:t>
      </w:r>
      <w:proofErr w:type="spellStart"/>
      <w:r w:rsidRPr="00A51E6E">
        <w:rPr>
          <w:rFonts w:ascii="Calibri Light" w:hAnsi="Calibri Light" w:cs="Calibri Light"/>
          <w:sz w:val="22"/>
        </w:rPr>
        <w:t>Bls</w:t>
      </w:r>
      <w:proofErr w:type="spellEnd"/>
      <w:r w:rsidRPr="00A51E6E">
        <w:rPr>
          <w:rFonts w:ascii="Calibri Light" w:hAnsi="Calibri Light" w:cs="Calibri Light"/>
          <w:sz w:val="22"/>
        </w:rPr>
        <w:t xml:space="preserve"> a las Empresas Privadas.</w:t>
      </w:r>
    </w:p>
    <w:p w14:paraId="0D3848BD" w14:textId="77777777" w:rsidR="00341041" w:rsidRPr="00A51E6E" w:rsidRDefault="00341041" w:rsidP="00341041">
      <w:pPr>
        <w:jc w:val="both"/>
        <w:rPr>
          <w:rFonts w:ascii="Calibri Light" w:hAnsi="Calibri Light" w:cs="Calibri Light"/>
          <w:sz w:val="22"/>
        </w:rPr>
      </w:pPr>
    </w:p>
    <w:p w14:paraId="434B3A93" w14:textId="77777777" w:rsidR="00341041" w:rsidRPr="00A51E6E" w:rsidRDefault="00341041" w:rsidP="00341041">
      <w:pPr>
        <w:jc w:val="both"/>
        <w:rPr>
          <w:rFonts w:ascii="Calibri Light" w:hAnsi="Calibri Light" w:cs="Calibri Light"/>
          <w:sz w:val="22"/>
        </w:rPr>
      </w:pPr>
      <w:r w:rsidRPr="00A51E6E">
        <w:rPr>
          <w:rFonts w:ascii="Calibri Light" w:hAnsi="Calibri Light" w:cs="Calibri Light"/>
          <w:sz w:val="22"/>
        </w:rPr>
        <w:t>En lo que se refiere a Gas Natural, se produjo durante el año 2024 un total de 1.243.131,70 BEPD.</w:t>
      </w:r>
    </w:p>
    <w:p w14:paraId="3812F0EB" w14:textId="77777777" w:rsidR="00341041" w:rsidRPr="00A51E6E" w:rsidRDefault="00341041" w:rsidP="00341041">
      <w:pPr>
        <w:jc w:val="both"/>
        <w:rPr>
          <w:rFonts w:ascii="Calibri Light" w:hAnsi="Calibri Light" w:cs="Calibri Light"/>
          <w:sz w:val="22"/>
        </w:rPr>
      </w:pPr>
      <w:r w:rsidRPr="00A51E6E">
        <w:rPr>
          <w:rFonts w:ascii="Calibri Light" w:hAnsi="Calibri Light" w:cs="Calibri Light"/>
          <w:sz w:val="22"/>
        </w:rPr>
        <w:t>Así pues, en el año 2024 se tuvo una producción equivalente de 175.192.701 BEPD, lo cual, nos da un volumen de producción diaria de hidrocarburos de 478.669 BEPD.</w:t>
      </w:r>
    </w:p>
    <w:p w14:paraId="49B14734" w14:textId="77777777" w:rsidR="00341041" w:rsidRPr="00A51E6E" w:rsidRDefault="00341041" w:rsidP="00341041">
      <w:pPr>
        <w:jc w:val="both"/>
        <w:rPr>
          <w:rFonts w:ascii="Calibri Light" w:hAnsi="Calibri Light" w:cs="Calibri Light"/>
          <w:sz w:val="22"/>
        </w:rPr>
      </w:pPr>
      <w:r w:rsidRPr="00A51E6E">
        <w:rPr>
          <w:rFonts w:ascii="Calibri Light" w:hAnsi="Calibri Light" w:cs="Calibri Light"/>
          <w:sz w:val="22"/>
        </w:rPr>
        <w:t>La producción nacional del año 2024, se vio afectada debido a:</w:t>
      </w:r>
    </w:p>
    <w:p w14:paraId="31057BF2" w14:textId="77777777" w:rsidR="00341041" w:rsidRPr="00A51E6E" w:rsidRDefault="00341041" w:rsidP="00341041">
      <w:pPr>
        <w:jc w:val="both"/>
        <w:rPr>
          <w:rFonts w:ascii="Calibri Light" w:hAnsi="Calibri Light" w:cs="Calibri Light"/>
          <w:sz w:val="22"/>
        </w:rPr>
      </w:pPr>
    </w:p>
    <w:p w14:paraId="3A70B587" w14:textId="56BA9682" w:rsidR="00341041" w:rsidRDefault="00341041" w:rsidP="0016337C">
      <w:pPr>
        <w:jc w:val="both"/>
        <w:rPr>
          <w:rFonts w:ascii="Calibri Light" w:hAnsi="Calibri Light" w:cs="Calibri Light"/>
          <w:sz w:val="22"/>
        </w:rPr>
      </w:pPr>
      <w:r w:rsidRPr="0016337C">
        <w:rPr>
          <w:rFonts w:ascii="Calibri Light" w:hAnsi="Calibri Light" w:cs="Calibri Light"/>
          <w:b/>
          <w:sz w:val="22"/>
          <w:u w:val="single"/>
        </w:rPr>
        <w:t>Evento de Fuerza Mayor:</w:t>
      </w:r>
      <w:r w:rsidRPr="0016337C">
        <w:rPr>
          <w:rFonts w:ascii="Calibri Light" w:hAnsi="Calibri Light" w:cs="Calibri Light"/>
          <w:b/>
          <w:i/>
          <w:sz w:val="22"/>
        </w:rPr>
        <w:t xml:space="preserve"> </w:t>
      </w:r>
      <w:r w:rsidRPr="0016337C">
        <w:rPr>
          <w:rFonts w:ascii="Calibri Light" w:hAnsi="Calibri Light" w:cs="Calibri Light"/>
          <w:sz w:val="22"/>
        </w:rPr>
        <w:t xml:space="preserve"> Evento suscitado debido a la crecida extraordinaria de los ríos orientales y erosión del cauce del Río Quijos, que afectó al derecho de vía del Oleoducto de Crudos Pesados, en el punto </w:t>
      </w:r>
      <w:proofErr w:type="spellStart"/>
      <w:r w:rsidRPr="0016337C">
        <w:rPr>
          <w:rFonts w:ascii="Calibri Light" w:hAnsi="Calibri Light" w:cs="Calibri Light"/>
          <w:sz w:val="22"/>
        </w:rPr>
        <w:t>Kp</w:t>
      </w:r>
      <w:proofErr w:type="spellEnd"/>
      <w:r w:rsidRPr="0016337C">
        <w:rPr>
          <w:rFonts w:ascii="Calibri Light" w:hAnsi="Calibri Light" w:cs="Calibri Light"/>
          <w:sz w:val="22"/>
        </w:rPr>
        <w:t xml:space="preserve"> 102+700 (Parroquia Gonzalo Díaz de Pineda, Cantón El Chaco). Suspendiendo el bombeo de crudo el día 17 de junio de 2024, hasta el 03 de julio de 2024 (segundo trimestre 2024); las pérdidas de producción registradas debido a este evento, fueron de aproximadamente 1.197.385 </w:t>
      </w:r>
      <w:proofErr w:type="spellStart"/>
      <w:r w:rsidRPr="0016337C">
        <w:rPr>
          <w:rFonts w:ascii="Calibri Light" w:hAnsi="Calibri Light" w:cs="Calibri Light"/>
          <w:sz w:val="22"/>
        </w:rPr>
        <w:t>Bls</w:t>
      </w:r>
      <w:proofErr w:type="spellEnd"/>
      <w:r w:rsidRPr="0016337C">
        <w:rPr>
          <w:rFonts w:ascii="Calibri Light" w:hAnsi="Calibri Light" w:cs="Calibri Light"/>
          <w:sz w:val="22"/>
        </w:rPr>
        <w:t xml:space="preserve"> de petróleo, de los cuales 1.039.897 </w:t>
      </w:r>
      <w:proofErr w:type="spellStart"/>
      <w:r w:rsidRPr="0016337C">
        <w:rPr>
          <w:rFonts w:ascii="Calibri Light" w:hAnsi="Calibri Light" w:cs="Calibri Light"/>
          <w:sz w:val="22"/>
        </w:rPr>
        <w:t>Bls</w:t>
      </w:r>
      <w:proofErr w:type="spellEnd"/>
      <w:r w:rsidRPr="0016337C">
        <w:rPr>
          <w:rFonts w:ascii="Calibri Light" w:hAnsi="Calibri Light" w:cs="Calibri Light"/>
          <w:sz w:val="22"/>
        </w:rPr>
        <w:t xml:space="preserve">, corresponden a la Empresa Pública y 157.488 </w:t>
      </w:r>
      <w:proofErr w:type="spellStart"/>
      <w:r w:rsidRPr="0016337C">
        <w:rPr>
          <w:rFonts w:ascii="Calibri Light" w:hAnsi="Calibri Light" w:cs="Calibri Light"/>
          <w:sz w:val="22"/>
        </w:rPr>
        <w:t>Bls</w:t>
      </w:r>
      <w:proofErr w:type="spellEnd"/>
      <w:r w:rsidRPr="0016337C">
        <w:rPr>
          <w:rFonts w:ascii="Calibri Light" w:hAnsi="Calibri Light" w:cs="Calibri Light"/>
          <w:sz w:val="22"/>
        </w:rPr>
        <w:t xml:space="preserve"> a la Operadora Privada.</w:t>
      </w:r>
    </w:p>
    <w:p w14:paraId="4F2CD384" w14:textId="77777777" w:rsidR="0016337C" w:rsidRPr="0016337C" w:rsidRDefault="0016337C" w:rsidP="0016337C">
      <w:pPr>
        <w:jc w:val="both"/>
        <w:rPr>
          <w:rFonts w:ascii="Calibri Light" w:hAnsi="Calibri Light" w:cs="Calibri Light"/>
          <w:sz w:val="22"/>
        </w:rPr>
      </w:pPr>
    </w:p>
    <w:p w14:paraId="10F0C1E1" w14:textId="70D4C9CA" w:rsidR="00341041" w:rsidRPr="0016337C" w:rsidRDefault="00341041" w:rsidP="0016337C">
      <w:pPr>
        <w:jc w:val="both"/>
        <w:rPr>
          <w:rFonts w:ascii="Calibri Light" w:hAnsi="Calibri Light" w:cs="Calibri Light"/>
          <w:sz w:val="22"/>
        </w:rPr>
      </w:pPr>
      <w:r w:rsidRPr="0016337C">
        <w:rPr>
          <w:rFonts w:ascii="Calibri Light" w:hAnsi="Calibri Light" w:cs="Calibri Light"/>
          <w:b/>
          <w:sz w:val="22"/>
          <w:u w:val="single"/>
        </w:rPr>
        <w:t>Causas Varias:</w:t>
      </w:r>
      <w:r w:rsidRPr="0016337C">
        <w:rPr>
          <w:rFonts w:ascii="Calibri Light" w:hAnsi="Calibri Light" w:cs="Calibri Light"/>
          <w:b/>
          <w:sz w:val="22"/>
        </w:rPr>
        <w:t xml:space="preserve">  </w:t>
      </w:r>
      <w:r w:rsidRPr="0016337C">
        <w:rPr>
          <w:rFonts w:ascii="Calibri Light" w:hAnsi="Calibri Light" w:cs="Calibri Light"/>
          <w:sz w:val="22"/>
        </w:rPr>
        <w:t xml:space="preserve">Algunas causas, se suscitaron durante las operaciones de producción del año 2024, como son: Agentes externos (robo, sabotaje, etc.), fallas de generación y transmisión eléctrica, declinación natural de los reservorios y mantenimientos planificados/no planificados, que conllevó a las pérdidas aproximadas de 2.497.857 </w:t>
      </w:r>
      <w:proofErr w:type="spellStart"/>
      <w:r w:rsidRPr="0016337C">
        <w:rPr>
          <w:rFonts w:ascii="Calibri Light" w:hAnsi="Calibri Light" w:cs="Calibri Light"/>
          <w:sz w:val="22"/>
        </w:rPr>
        <w:t>Bls</w:t>
      </w:r>
      <w:proofErr w:type="spellEnd"/>
      <w:r w:rsidRPr="0016337C">
        <w:rPr>
          <w:rFonts w:ascii="Calibri Light" w:hAnsi="Calibri Light" w:cs="Calibri Light"/>
          <w:sz w:val="22"/>
        </w:rPr>
        <w:t xml:space="preserve"> de petróleo.</w:t>
      </w:r>
    </w:p>
    <w:p w14:paraId="7F4A934D" w14:textId="77777777" w:rsidR="00341041" w:rsidRPr="00A51E6E" w:rsidRDefault="00341041" w:rsidP="00341041">
      <w:pPr>
        <w:jc w:val="both"/>
        <w:rPr>
          <w:rFonts w:ascii="Calibri Light" w:hAnsi="Calibri Light" w:cs="Calibri Light"/>
          <w:sz w:val="22"/>
        </w:rPr>
      </w:pPr>
    </w:p>
    <w:p w14:paraId="6B01E483" w14:textId="77777777" w:rsidR="00341041" w:rsidRPr="00A51E6E" w:rsidRDefault="00341041" w:rsidP="00341041">
      <w:pPr>
        <w:jc w:val="both"/>
        <w:rPr>
          <w:rFonts w:ascii="Calibri Light" w:hAnsi="Calibri Light" w:cs="Calibri Light"/>
          <w:sz w:val="22"/>
        </w:rPr>
      </w:pPr>
      <w:r w:rsidRPr="00A51E6E">
        <w:rPr>
          <w:rFonts w:ascii="Calibri Light" w:hAnsi="Calibri Light" w:cs="Calibri Light"/>
          <w:sz w:val="22"/>
        </w:rPr>
        <w:t>A continuación, se presenta la producción nacional real a diciembre de 2024.</w:t>
      </w:r>
    </w:p>
    <w:p w14:paraId="42A85307" w14:textId="77777777" w:rsidR="00341041" w:rsidRPr="00A51E6E" w:rsidRDefault="00341041" w:rsidP="00341041">
      <w:pPr>
        <w:rPr>
          <w:i/>
          <w:iCs/>
          <w:color w:val="44546A"/>
          <w:sz w:val="18"/>
          <w:szCs w:val="18"/>
        </w:rPr>
      </w:pPr>
      <w:bookmarkStart w:id="81" w:name="_Toc157034006"/>
      <w:bookmarkStart w:id="82" w:name="_Toc157036383"/>
    </w:p>
    <w:p w14:paraId="4E85FA80" w14:textId="773D82F0" w:rsidR="00341041" w:rsidRPr="00157648" w:rsidRDefault="00341041" w:rsidP="00157648">
      <w:pPr>
        <w:pStyle w:val="Tablas"/>
        <w:spacing w:after="0"/>
        <w:rPr>
          <w:rFonts w:asciiTheme="majorHAnsi" w:hAnsiTheme="majorHAnsi" w:cstheme="majorHAnsi"/>
        </w:rPr>
      </w:pPr>
      <w:bookmarkStart w:id="83" w:name="_Toc195695402"/>
      <w:bookmarkStart w:id="84" w:name="_Toc197334699"/>
      <w:bookmarkStart w:id="85" w:name="_Toc199757551"/>
      <w:r w:rsidRPr="00157648">
        <w:rPr>
          <w:rFonts w:asciiTheme="majorHAnsi" w:hAnsiTheme="majorHAnsi" w:cstheme="majorHAnsi"/>
        </w:rPr>
        <w:t xml:space="preserve">Figura </w:t>
      </w:r>
      <w:r w:rsidR="002026B0">
        <w:rPr>
          <w:rFonts w:asciiTheme="majorHAnsi" w:hAnsiTheme="majorHAnsi" w:cstheme="majorHAnsi"/>
        </w:rPr>
        <w:fldChar w:fldCharType="begin"/>
      </w:r>
      <w:r w:rsidR="002026B0">
        <w:rPr>
          <w:rFonts w:asciiTheme="majorHAnsi" w:hAnsiTheme="majorHAnsi" w:cstheme="majorHAnsi"/>
        </w:rPr>
        <w:instrText xml:space="preserve"> SEQ Figura \* ARABIC </w:instrText>
      </w:r>
      <w:r w:rsidR="002026B0">
        <w:rPr>
          <w:rFonts w:asciiTheme="majorHAnsi" w:hAnsiTheme="majorHAnsi" w:cstheme="majorHAnsi"/>
        </w:rPr>
        <w:fldChar w:fldCharType="separate"/>
      </w:r>
      <w:r w:rsidR="0016337C">
        <w:rPr>
          <w:rFonts w:asciiTheme="majorHAnsi" w:hAnsiTheme="majorHAnsi" w:cstheme="majorHAnsi"/>
          <w:noProof/>
        </w:rPr>
        <w:t>8</w:t>
      </w:r>
      <w:r w:rsidR="002026B0">
        <w:rPr>
          <w:rFonts w:asciiTheme="majorHAnsi" w:hAnsiTheme="majorHAnsi" w:cstheme="majorHAnsi"/>
        </w:rPr>
        <w:fldChar w:fldCharType="end"/>
      </w:r>
      <w:r w:rsidRPr="00157648">
        <w:rPr>
          <w:rFonts w:asciiTheme="majorHAnsi" w:hAnsiTheme="majorHAnsi" w:cstheme="majorHAnsi"/>
        </w:rPr>
        <w:t>: Producción Nacional Empresa Pública y Empresas Privadas año 202</w:t>
      </w:r>
      <w:bookmarkEnd w:id="81"/>
      <w:bookmarkEnd w:id="82"/>
      <w:bookmarkEnd w:id="83"/>
      <w:r w:rsidRPr="00157648">
        <w:rPr>
          <w:rFonts w:asciiTheme="majorHAnsi" w:hAnsiTheme="majorHAnsi" w:cstheme="majorHAnsi"/>
        </w:rPr>
        <w:t>4</w:t>
      </w:r>
      <w:bookmarkEnd w:id="84"/>
      <w:bookmarkEnd w:id="85"/>
    </w:p>
    <w:p w14:paraId="04E7DADE" w14:textId="787E1CB6" w:rsidR="00341041" w:rsidRPr="00A51E6E" w:rsidRDefault="00341041" w:rsidP="00341041">
      <w:pPr>
        <w:jc w:val="center"/>
        <w:rPr>
          <w:rFonts w:ascii="Calibri Light" w:hAnsi="Calibri Light" w:cs="Calibri Light"/>
          <w:sz w:val="22"/>
        </w:rPr>
      </w:pPr>
      <w:r w:rsidRPr="00636D73">
        <w:rPr>
          <w:noProof/>
        </w:rPr>
        <w:lastRenderedPageBreak/>
        <w:drawing>
          <wp:inline distT="0" distB="0" distL="0" distR="0" wp14:anchorId="7466A8FA" wp14:editId="48CA6688">
            <wp:extent cx="4751408" cy="2424896"/>
            <wp:effectExtent l="38100" t="38100" r="87630" b="90170"/>
            <wp:docPr id="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C42C5F" w14:textId="77777777" w:rsidR="00341041" w:rsidRPr="00157648" w:rsidRDefault="00341041" w:rsidP="00341041">
      <w:pPr>
        <w:jc w:val="center"/>
        <w:rPr>
          <w:rFonts w:ascii="Calibri Light" w:hAnsi="Calibri Light" w:cs="Calibri Light"/>
          <w:i/>
          <w:color w:val="7F7F7F"/>
          <w:sz w:val="16"/>
          <w:szCs w:val="16"/>
        </w:rPr>
      </w:pPr>
      <w:r w:rsidRPr="00157648">
        <w:rPr>
          <w:rFonts w:ascii="Calibri Light" w:hAnsi="Calibri Light" w:cs="Calibri Light"/>
          <w:i/>
          <w:color w:val="7F7F7F"/>
          <w:sz w:val="16"/>
          <w:szCs w:val="16"/>
        </w:rPr>
        <w:t>Fuente: Base de Datos DISCOVERER - ARCERNNR</w:t>
      </w:r>
    </w:p>
    <w:p w14:paraId="3213A8B8" w14:textId="77777777" w:rsidR="00341041" w:rsidRPr="00067DED" w:rsidRDefault="00341041" w:rsidP="00341041"/>
    <w:p w14:paraId="373C7462" w14:textId="23C23AA9" w:rsidR="00341041" w:rsidRPr="00067DE4" w:rsidRDefault="00341041" w:rsidP="00067DE4">
      <w:pPr>
        <w:pStyle w:val="Ttulo4"/>
        <w:rPr>
          <w:i w:val="0"/>
          <w:sz w:val="22"/>
          <w:szCs w:val="22"/>
        </w:rPr>
      </w:pPr>
      <w:bookmarkStart w:id="86" w:name="_Toc157095744"/>
      <w:bookmarkStart w:id="87" w:name="_Toc197335081"/>
      <w:r w:rsidRPr="00067DE4">
        <w:rPr>
          <w:i w:val="0"/>
          <w:sz w:val="22"/>
          <w:szCs w:val="22"/>
        </w:rPr>
        <w:t>Planes y Programas Técnicos Aprobados – 202</w:t>
      </w:r>
      <w:bookmarkEnd w:id="86"/>
      <w:bookmarkEnd w:id="87"/>
      <w:r w:rsidR="00A912D5" w:rsidRPr="00067DE4">
        <w:rPr>
          <w:i w:val="0"/>
          <w:sz w:val="22"/>
          <w:szCs w:val="22"/>
        </w:rPr>
        <w:t>4</w:t>
      </w:r>
    </w:p>
    <w:p w14:paraId="2549AFC4" w14:textId="77777777" w:rsidR="00341041" w:rsidRPr="00067DED" w:rsidRDefault="00341041" w:rsidP="00341041"/>
    <w:p w14:paraId="16E8B5B7" w14:textId="77777777" w:rsidR="00341041" w:rsidRPr="00A51E6E" w:rsidRDefault="00341041" w:rsidP="00341041">
      <w:pPr>
        <w:jc w:val="both"/>
        <w:rPr>
          <w:rFonts w:ascii="Calibri Light" w:hAnsi="Calibri Light" w:cs="Calibri Light"/>
          <w:sz w:val="22"/>
        </w:rPr>
      </w:pPr>
      <w:r w:rsidRPr="00A51E6E">
        <w:rPr>
          <w:rFonts w:ascii="Calibri Light" w:hAnsi="Calibri Light" w:cs="Calibri Light"/>
          <w:sz w:val="22"/>
        </w:rPr>
        <w:t xml:space="preserve">La Subsecretaría de Exploración y Explotación de Petróleo y Gas Natural, durante el año 2024 aprobó tanto a la Empresa Pública como a las Compañías Privadas, un total de 2.477 planes y programas técnicos, cuyo objetivo fue alcanzar los niveles de producción oficializados en los Estimados </w:t>
      </w:r>
      <w:proofErr w:type="spellStart"/>
      <w:r w:rsidRPr="00A51E6E">
        <w:rPr>
          <w:rFonts w:ascii="Calibri Light" w:hAnsi="Calibri Light" w:cs="Calibri Light"/>
          <w:sz w:val="22"/>
        </w:rPr>
        <w:t>Hidrocarburíferos</w:t>
      </w:r>
      <w:proofErr w:type="spellEnd"/>
      <w:r w:rsidRPr="00A51E6E">
        <w:rPr>
          <w:rFonts w:ascii="Calibri Light" w:hAnsi="Calibri Light" w:cs="Calibri Light"/>
          <w:sz w:val="22"/>
        </w:rPr>
        <w:t xml:space="preserve">. </w:t>
      </w:r>
    </w:p>
    <w:p w14:paraId="788FFA34" w14:textId="77777777" w:rsidR="00341041" w:rsidRPr="00A51E6E" w:rsidRDefault="00341041" w:rsidP="00341041">
      <w:pPr>
        <w:jc w:val="both"/>
        <w:rPr>
          <w:rFonts w:ascii="Calibri Light" w:hAnsi="Calibri Light" w:cs="Calibri Light"/>
          <w:sz w:val="22"/>
        </w:rPr>
      </w:pPr>
    </w:p>
    <w:p w14:paraId="56237C96" w14:textId="2F2CD9D5" w:rsidR="00341041" w:rsidRPr="00A51E6E" w:rsidRDefault="00341041" w:rsidP="00341041">
      <w:pPr>
        <w:jc w:val="both"/>
        <w:rPr>
          <w:rFonts w:ascii="Calibri Light" w:hAnsi="Calibri Light" w:cs="Calibri Light"/>
          <w:sz w:val="22"/>
        </w:rPr>
      </w:pPr>
      <w:r w:rsidRPr="00A51E6E">
        <w:rPr>
          <w:rFonts w:ascii="Calibri Light" w:hAnsi="Calibri Light" w:cs="Calibri Light"/>
          <w:sz w:val="22"/>
        </w:rPr>
        <w:t>Dentro de las principales actividades que fueron aprobadas tanto a la Empresa Pública (EP PETROECUADOR), así como, las Compañías Privadas que mantienen Contratos de Prestación de Servicios y Contratos de Participación con el Estado ecuatoriano, se encuentran: perforación de pozos, reacondicionamientos CAPEX –OPEX, Proyectos Piloto de Recuperación Secundaria, Construcción y Ampliación de Facilidades de Producción, así como también, Fijación de Tasas de Producción, Cambios de Zona, entre otras, como se puede observar en la Figura</w:t>
      </w:r>
      <w:r w:rsidR="00F7193D">
        <w:rPr>
          <w:rFonts w:ascii="Calibri Light" w:hAnsi="Calibri Light" w:cs="Calibri Light"/>
          <w:sz w:val="22"/>
        </w:rPr>
        <w:t>.</w:t>
      </w:r>
    </w:p>
    <w:p w14:paraId="45671A31" w14:textId="77777777" w:rsidR="00E55F64" w:rsidRDefault="00E55F64" w:rsidP="00157648">
      <w:pPr>
        <w:pStyle w:val="Tablas"/>
        <w:spacing w:after="0"/>
        <w:rPr>
          <w:rFonts w:asciiTheme="majorHAnsi" w:hAnsiTheme="majorHAnsi" w:cstheme="majorHAnsi"/>
        </w:rPr>
      </w:pPr>
      <w:bookmarkStart w:id="88" w:name="_Toc157034007"/>
      <w:bookmarkStart w:id="89" w:name="_Toc157036384"/>
      <w:bookmarkStart w:id="90" w:name="_Toc195695403"/>
      <w:bookmarkStart w:id="91" w:name="_Toc197334700"/>
    </w:p>
    <w:p w14:paraId="2A6F76F7" w14:textId="4F819228" w:rsidR="00341041" w:rsidRPr="00157648" w:rsidRDefault="00341041" w:rsidP="00157648">
      <w:pPr>
        <w:pStyle w:val="Tablas"/>
        <w:spacing w:after="0"/>
        <w:rPr>
          <w:rFonts w:asciiTheme="majorHAnsi" w:hAnsiTheme="majorHAnsi" w:cstheme="majorHAnsi"/>
          <w:sz w:val="22"/>
        </w:rPr>
      </w:pPr>
      <w:bookmarkStart w:id="92" w:name="_Toc199757552"/>
      <w:r w:rsidRPr="00157648">
        <w:rPr>
          <w:rFonts w:asciiTheme="majorHAnsi" w:hAnsiTheme="majorHAnsi" w:cstheme="majorHAnsi"/>
        </w:rPr>
        <w:t xml:space="preserve">Figura </w:t>
      </w:r>
      <w:r w:rsidR="002026B0">
        <w:rPr>
          <w:rFonts w:asciiTheme="majorHAnsi" w:hAnsiTheme="majorHAnsi" w:cstheme="majorHAnsi"/>
        </w:rPr>
        <w:fldChar w:fldCharType="begin"/>
      </w:r>
      <w:r w:rsidR="002026B0">
        <w:rPr>
          <w:rFonts w:asciiTheme="majorHAnsi" w:hAnsiTheme="majorHAnsi" w:cstheme="majorHAnsi"/>
        </w:rPr>
        <w:instrText xml:space="preserve"> SEQ Figura \* ARABIC </w:instrText>
      </w:r>
      <w:r w:rsidR="002026B0">
        <w:rPr>
          <w:rFonts w:asciiTheme="majorHAnsi" w:hAnsiTheme="majorHAnsi" w:cstheme="majorHAnsi"/>
        </w:rPr>
        <w:fldChar w:fldCharType="separate"/>
      </w:r>
      <w:r w:rsidR="003A5515">
        <w:rPr>
          <w:rFonts w:asciiTheme="majorHAnsi" w:hAnsiTheme="majorHAnsi" w:cstheme="majorHAnsi"/>
          <w:noProof/>
        </w:rPr>
        <w:t>9</w:t>
      </w:r>
      <w:r w:rsidR="002026B0">
        <w:rPr>
          <w:rFonts w:asciiTheme="majorHAnsi" w:hAnsiTheme="majorHAnsi" w:cstheme="majorHAnsi"/>
        </w:rPr>
        <w:fldChar w:fldCharType="end"/>
      </w:r>
      <w:r w:rsidRPr="00157648">
        <w:rPr>
          <w:rFonts w:asciiTheme="majorHAnsi" w:hAnsiTheme="majorHAnsi" w:cstheme="majorHAnsi"/>
        </w:rPr>
        <w:t>: Trámites Atendidos año 202</w:t>
      </w:r>
      <w:bookmarkEnd w:id="88"/>
      <w:r w:rsidRPr="00157648">
        <w:rPr>
          <w:rFonts w:asciiTheme="majorHAnsi" w:hAnsiTheme="majorHAnsi" w:cstheme="majorHAnsi"/>
        </w:rPr>
        <w:t>4 - SEEPGN</w:t>
      </w:r>
      <w:bookmarkEnd w:id="89"/>
      <w:bookmarkEnd w:id="90"/>
      <w:bookmarkEnd w:id="91"/>
      <w:bookmarkEnd w:id="92"/>
    </w:p>
    <w:p w14:paraId="11339E80" w14:textId="15CF28E3" w:rsidR="00341041" w:rsidRPr="00A51E6E" w:rsidRDefault="00341041" w:rsidP="00341041">
      <w:pPr>
        <w:ind w:left="708" w:hanging="708"/>
        <w:jc w:val="center"/>
        <w:rPr>
          <w:rFonts w:ascii="Calibri Light" w:hAnsi="Calibri Light" w:cs="Calibri Light"/>
          <w:b/>
          <w:sz w:val="22"/>
        </w:rPr>
      </w:pPr>
      <w:r w:rsidRPr="00636D73">
        <w:rPr>
          <w:noProof/>
        </w:rPr>
        <w:drawing>
          <wp:inline distT="0" distB="0" distL="0" distR="0" wp14:anchorId="216D7330" wp14:editId="7F540C1C">
            <wp:extent cx="4591050" cy="2216150"/>
            <wp:effectExtent l="38100" t="38100" r="95250" b="88900"/>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5453E5" w14:textId="77777777" w:rsidR="00341041" w:rsidRPr="00157648" w:rsidRDefault="00341041" w:rsidP="00341041">
      <w:pPr>
        <w:pStyle w:val="Descripcin"/>
        <w:rPr>
          <w:rFonts w:ascii="Calibri Light" w:hAnsi="Calibri Light" w:cs="Calibri Light"/>
          <w:iCs w:val="0"/>
          <w:color w:val="7F7F7F"/>
        </w:rPr>
      </w:pPr>
      <w:r w:rsidRPr="00157648">
        <w:rPr>
          <w:rFonts w:ascii="Calibri Light" w:hAnsi="Calibri Light" w:cs="Calibri Light"/>
          <w:iCs w:val="0"/>
          <w:color w:val="7F7F7F"/>
        </w:rPr>
        <w:t>Fuente: MEM – Aprobaciones SEEPGN</w:t>
      </w:r>
    </w:p>
    <w:p w14:paraId="3B22954F" w14:textId="77777777" w:rsidR="00251A00" w:rsidRPr="00251A00" w:rsidRDefault="00251A00" w:rsidP="00251A00"/>
    <w:p w14:paraId="2504E711" w14:textId="77777777" w:rsidR="00341041" w:rsidRPr="00C751F5" w:rsidRDefault="00341041" w:rsidP="00C751F5">
      <w:pPr>
        <w:pStyle w:val="Ttulo2"/>
        <w:rPr>
          <w:sz w:val="24"/>
          <w:szCs w:val="24"/>
        </w:rPr>
      </w:pPr>
      <w:bookmarkStart w:id="93" w:name="_Toc196468175"/>
      <w:bookmarkStart w:id="94" w:name="_Toc197335085"/>
      <w:bookmarkStart w:id="95" w:name="_Toc199759556"/>
      <w:r w:rsidRPr="00C751F5">
        <w:rPr>
          <w:sz w:val="24"/>
          <w:szCs w:val="24"/>
        </w:rPr>
        <w:t>G</w:t>
      </w:r>
      <w:r w:rsidRPr="00C751F5">
        <w:rPr>
          <w:rStyle w:val="Ttulo2Car"/>
          <w:sz w:val="24"/>
          <w:szCs w:val="24"/>
        </w:rPr>
        <w:t>estión Técnica Patrimonio y Promoción de Hidrocarburos</w:t>
      </w:r>
      <w:bookmarkEnd w:id="93"/>
      <w:bookmarkEnd w:id="94"/>
      <w:bookmarkEnd w:id="95"/>
    </w:p>
    <w:p w14:paraId="48214939" w14:textId="77777777" w:rsidR="00341041" w:rsidRPr="00A51E6E" w:rsidRDefault="00341041" w:rsidP="00341041">
      <w:pPr>
        <w:rPr>
          <w:rFonts w:ascii="Calibri Light" w:hAnsi="Calibri Light" w:cs="Calibri Light"/>
          <w:sz w:val="22"/>
        </w:rPr>
      </w:pPr>
    </w:p>
    <w:p w14:paraId="4002E593" w14:textId="77777777" w:rsidR="00341041" w:rsidRPr="00A51E6E" w:rsidRDefault="00341041" w:rsidP="00341041">
      <w:pPr>
        <w:pStyle w:val="Ttulo4"/>
        <w:rPr>
          <w:rFonts w:eastAsia="Calibri" w:cs="Calibri Light"/>
          <w:i w:val="0"/>
          <w:iCs w:val="0"/>
          <w:color w:val="auto"/>
          <w:sz w:val="22"/>
          <w:szCs w:val="22"/>
        </w:rPr>
      </w:pPr>
      <w:r w:rsidRPr="00A51E6E">
        <w:rPr>
          <w:rFonts w:eastAsia="Calibri" w:cs="Calibri Light"/>
          <w:i w:val="0"/>
          <w:iCs w:val="0"/>
          <w:color w:val="auto"/>
          <w:sz w:val="22"/>
          <w:szCs w:val="22"/>
        </w:rPr>
        <w:t>Se realizó el Análisis Técnico de los siguientes Proyectos:</w:t>
      </w:r>
    </w:p>
    <w:p w14:paraId="4A2E1863" w14:textId="77777777" w:rsidR="00341041" w:rsidRPr="00A51E6E" w:rsidRDefault="00341041" w:rsidP="00341041">
      <w:pPr>
        <w:rPr>
          <w:rFonts w:ascii="Calibri Light" w:hAnsi="Calibri Light" w:cs="Calibri Light"/>
          <w:sz w:val="22"/>
        </w:rPr>
      </w:pPr>
    </w:p>
    <w:p w14:paraId="656A5B97" w14:textId="22A8C96F" w:rsidR="00341041" w:rsidRPr="00067DE4" w:rsidRDefault="00341041" w:rsidP="00067DE4">
      <w:pPr>
        <w:pStyle w:val="Ttulo4"/>
        <w:rPr>
          <w:i w:val="0"/>
          <w:sz w:val="22"/>
          <w:szCs w:val="22"/>
        </w:rPr>
      </w:pPr>
      <w:r w:rsidRPr="00067DE4">
        <w:rPr>
          <w:i w:val="0"/>
          <w:sz w:val="22"/>
          <w:szCs w:val="22"/>
        </w:rPr>
        <w:lastRenderedPageBreak/>
        <w:t xml:space="preserve">Ronda </w:t>
      </w:r>
      <w:proofErr w:type="spellStart"/>
      <w:r w:rsidRPr="00067DE4">
        <w:rPr>
          <w:i w:val="0"/>
          <w:sz w:val="22"/>
          <w:szCs w:val="22"/>
        </w:rPr>
        <w:t>Intracampos</w:t>
      </w:r>
      <w:proofErr w:type="spellEnd"/>
    </w:p>
    <w:p w14:paraId="3C489097" w14:textId="77777777" w:rsidR="00341041" w:rsidRPr="00A51E6E" w:rsidRDefault="00341041" w:rsidP="00341041">
      <w:pPr>
        <w:ind w:left="360"/>
        <w:jc w:val="both"/>
        <w:rPr>
          <w:rFonts w:ascii="Calibri Light" w:hAnsi="Calibri Light" w:cs="Calibri Light"/>
          <w:sz w:val="22"/>
          <w:szCs w:val="22"/>
          <w:highlight w:val="green"/>
        </w:rPr>
      </w:pPr>
    </w:p>
    <w:p w14:paraId="46DFB770" w14:textId="77777777" w:rsidR="00341041" w:rsidRPr="00A51E6E" w:rsidRDefault="00341041" w:rsidP="00341041">
      <w:pPr>
        <w:jc w:val="both"/>
        <w:rPr>
          <w:rFonts w:ascii="Calibri Light" w:hAnsi="Calibri Light" w:cs="Calibri Light"/>
          <w:sz w:val="22"/>
          <w:szCs w:val="22"/>
        </w:rPr>
      </w:pPr>
      <w:bookmarkStart w:id="96" w:name="_Hlk195627304"/>
      <w:r w:rsidRPr="00A51E6E">
        <w:rPr>
          <w:rFonts w:ascii="Calibri Light" w:hAnsi="Calibri Light" w:cs="Calibri Light"/>
          <w:sz w:val="22"/>
          <w:szCs w:val="22"/>
        </w:rPr>
        <w:t xml:space="preserve">La Dirección de Patrimonio y Promoción de Hidrocarburos analizó el proceso de licitación dirigido a empresas estatales de la comunidad internacional y a compañías asociadas en consorcios para los bloques </w:t>
      </w:r>
      <w:proofErr w:type="spellStart"/>
      <w:r w:rsidRPr="00A51E6E">
        <w:rPr>
          <w:rFonts w:ascii="Calibri Light" w:hAnsi="Calibri Light" w:cs="Calibri Light"/>
          <w:sz w:val="22"/>
          <w:szCs w:val="22"/>
        </w:rPr>
        <w:t>Lumbaqui</w:t>
      </w:r>
      <w:proofErr w:type="spellEnd"/>
      <w:r w:rsidRPr="00A51E6E">
        <w:rPr>
          <w:rFonts w:ascii="Calibri Light" w:hAnsi="Calibri Light" w:cs="Calibri Light"/>
          <w:sz w:val="22"/>
          <w:szCs w:val="22"/>
        </w:rPr>
        <w:t xml:space="preserve"> (#11), </w:t>
      </w:r>
      <w:proofErr w:type="spellStart"/>
      <w:r w:rsidRPr="00A51E6E">
        <w:rPr>
          <w:rFonts w:ascii="Calibri Light" w:hAnsi="Calibri Light" w:cs="Calibri Light"/>
          <w:sz w:val="22"/>
          <w:szCs w:val="22"/>
        </w:rPr>
        <w:t>Tetete</w:t>
      </w:r>
      <w:proofErr w:type="spellEnd"/>
      <w:r w:rsidRPr="00A51E6E">
        <w:rPr>
          <w:rFonts w:ascii="Calibri Light" w:hAnsi="Calibri Light" w:cs="Calibri Light"/>
          <w:sz w:val="22"/>
          <w:szCs w:val="22"/>
        </w:rPr>
        <w:t xml:space="preserve"> Sur (#95) y </w:t>
      </w:r>
      <w:proofErr w:type="spellStart"/>
      <w:r w:rsidRPr="00A51E6E">
        <w:rPr>
          <w:rFonts w:ascii="Calibri Light" w:hAnsi="Calibri Light" w:cs="Calibri Light"/>
          <w:sz w:val="22"/>
          <w:szCs w:val="22"/>
        </w:rPr>
        <w:t>Pañayacu</w:t>
      </w:r>
      <w:proofErr w:type="spellEnd"/>
      <w:r w:rsidRPr="00A51E6E">
        <w:rPr>
          <w:rFonts w:ascii="Calibri Light" w:hAnsi="Calibri Light" w:cs="Calibri Light"/>
          <w:sz w:val="22"/>
          <w:szCs w:val="22"/>
        </w:rPr>
        <w:t xml:space="preserve"> Norte (#98). Estos bloques corresponden a áreas que no recibieron ofertas en las Rondas Licitatorias </w:t>
      </w:r>
      <w:proofErr w:type="spellStart"/>
      <w:r w:rsidRPr="00A51E6E">
        <w:rPr>
          <w:rFonts w:ascii="Calibri Light" w:hAnsi="Calibri Light" w:cs="Calibri Light"/>
          <w:sz w:val="22"/>
          <w:szCs w:val="22"/>
        </w:rPr>
        <w:t>Intracampos</w:t>
      </w:r>
      <w:proofErr w:type="spellEnd"/>
      <w:r w:rsidRPr="00A51E6E">
        <w:rPr>
          <w:rFonts w:ascii="Calibri Light" w:hAnsi="Calibri Light" w:cs="Calibri Light"/>
          <w:sz w:val="22"/>
          <w:szCs w:val="22"/>
        </w:rPr>
        <w:t xml:space="preserve"> I e </w:t>
      </w:r>
      <w:proofErr w:type="spellStart"/>
      <w:r w:rsidRPr="00A51E6E">
        <w:rPr>
          <w:rFonts w:ascii="Calibri Light" w:hAnsi="Calibri Light" w:cs="Calibri Light"/>
          <w:sz w:val="22"/>
          <w:szCs w:val="22"/>
        </w:rPr>
        <w:t>Intracampos</w:t>
      </w:r>
      <w:proofErr w:type="spellEnd"/>
      <w:r w:rsidRPr="00A51E6E">
        <w:rPr>
          <w:rFonts w:ascii="Calibri Light" w:hAnsi="Calibri Light" w:cs="Calibri Light"/>
          <w:sz w:val="22"/>
          <w:szCs w:val="22"/>
        </w:rPr>
        <w:t xml:space="preserve"> II.</w:t>
      </w:r>
    </w:p>
    <w:p w14:paraId="0F8D2193" w14:textId="77777777" w:rsidR="00341041" w:rsidRPr="00A51E6E" w:rsidRDefault="00341041" w:rsidP="00341041">
      <w:pPr>
        <w:jc w:val="both"/>
        <w:rPr>
          <w:rFonts w:ascii="Calibri Light" w:hAnsi="Calibri Light" w:cs="Calibri Light"/>
          <w:sz w:val="22"/>
          <w:szCs w:val="22"/>
        </w:rPr>
      </w:pPr>
    </w:p>
    <w:p w14:paraId="344DCEBB" w14:textId="77777777" w:rsidR="00341041" w:rsidRPr="00A51E6E" w:rsidRDefault="00341041" w:rsidP="00341041">
      <w:pPr>
        <w:jc w:val="both"/>
        <w:rPr>
          <w:rFonts w:ascii="Calibri Light" w:hAnsi="Calibri Light" w:cs="Calibri Light"/>
          <w:sz w:val="22"/>
          <w:szCs w:val="22"/>
          <w:highlight w:val="green"/>
        </w:rPr>
      </w:pPr>
      <w:r w:rsidRPr="00A51E6E">
        <w:rPr>
          <w:rFonts w:ascii="Calibri Light" w:hAnsi="Calibri Light" w:cs="Calibri Light"/>
          <w:sz w:val="22"/>
          <w:szCs w:val="22"/>
        </w:rPr>
        <w:t>Entre las principales actividades realizadas dentro del proyecto se destacan:</w:t>
      </w:r>
    </w:p>
    <w:bookmarkEnd w:id="96"/>
    <w:p w14:paraId="2800BCF8" w14:textId="77777777" w:rsidR="00341041" w:rsidRPr="00A51E6E" w:rsidRDefault="00341041" w:rsidP="00341041">
      <w:pPr>
        <w:jc w:val="both"/>
        <w:rPr>
          <w:rFonts w:ascii="Calibri Light" w:hAnsi="Calibri Light" w:cs="Calibri Light"/>
          <w:sz w:val="22"/>
          <w:szCs w:val="22"/>
          <w:highlight w:val="yellow"/>
        </w:rPr>
      </w:pPr>
    </w:p>
    <w:p w14:paraId="3F5E3230" w14:textId="77777777" w:rsidR="00341041" w:rsidRPr="00A51E6E" w:rsidRDefault="00341041" w:rsidP="00341041">
      <w:pPr>
        <w:pStyle w:val="Prrafodelista"/>
        <w:numPr>
          <w:ilvl w:val="0"/>
          <w:numId w:val="26"/>
        </w:numPr>
        <w:jc w:val="both"/>
        <w:rPr>
          <w:rFonts w:ascii="Calibri Light" w:hAnsi="Calibri Light" w:cs="Calibri Light"/>
          <w:sz w:val="22"/>
          <w:szCs w:val="22"/>
        </w:rPr>
      </w:pPr>
      <w:r w:rsidRPr="00A51E6E">
        <w:rPr>
          <w:rFonts w:ascii="Calibri Light" w:hAnsi="Calibri Light" w:cs="Calibri Light"/>
          <w:sz w:val="22"/>
          <w:szCs w:val="22"/>
        </w:rPr>
        <w:t xml:space="preserve">Presentación a las empresas del potencial </w:t>
      </w:r>
      <w:proofErr w:type="spellStart"/>
      <w:r w:rsidRPr="00A51E6E">
        <w:rPr>
          <w:rFonts w:ascii="Calibri Light" w:hAnsi="Calibri Light" w:cs="Calibri Light"/>
          <w:sz w:val="22"/>
          <w:szCs w:val="22"/>
        </w:rPr>
        <w:t>hidrocarburífero</w:t>
      </w:r>
      <w:proofErr w:type="spellEnd"/>
      <w:r w:rsidRPr="00A51E6E">
        <w:rPr>
          <w:rFonts w:ascii="Calibri Light" w:hAnsi="Calibri Light" w:cs="Calibri Light"/>
          <w:sz w:val="22"/>
          <w:szCs w:val="22"/>
        </w:rPr>
        <w:t xml:space="preserve"> existente en los bloques </w:t>
      </w:r>
      <w:proofErr w:type="spellStart"/>
      <w:r w:rsidRPr="00A51E6E">
        <w:rPr>
          <w:rFonts w:ascii="Calibri Light" w:hAnsi="Calibri Light" w:cs="Calibri Light"/>
          <w:sz w:val="22"/>
          <w:szCs w:val="22"/>
        </w:rPr>
        <w:t>Lumbaqui</w:t>
      </w:r>
      <w:proofErr w:type="spellEnd"/>
      <w:r w:rsidRPr="00A51E6E">
        <w:rPr>
          <w:rFonts w:ascii="Calibri Light" w:hAnsi="Calibri Light" w:cs="Calibri Light"/>
          <w:sz w:val="22"/>
          <w:szCs w:val="22"/>
        </w:rPr>
        <w:t xml:space="preserve">, </w:t>
      </w:r>
      <w:proofErr w:type="spellStart"/>
      <w:r w:rsidRPr="00A51E6E">
        <w:rPr>
          <w:rFonts w:ascii="Calibri Light" w:hAnsi="Calibri Light" w:cs="Calibri Light"/>
          <w:sz w:val="22"/>
          <w:szCs w:val="22"/>
        </w:rPr>
        <w:t>Tetete</w:t>
      </w:r>
      <w:proofErr w:type="spellEnd"/>
      <w:r w:rsidRPr="00A51E6E">
        <w:rPr>
          <w:rFonts w:ascii="Calibri Light" w:hAnsi="Calibri Light" w:cs="Calibri Light"/>
          <w:sz w:val="22"/>
          <w:szCs w:val="22"/>
        </w:rPr>
        <w:t xml:space="preserve"> Sur y </w:t>
      </w:r>
      <w:proofErr w:type="spellStart"/>
      <w:r w:rsidRPr="00A51E6E">
        <w:rPr>
          <w:rFonts w:ascii="Calibri Light" w:hAnsi="Calibri Light" w:cs="Calibri Light"/>
          <w:sz w:val="22"/>
          <w:szCs w:val="22"/>
        </w:rPr>
        <w:t>Pañayacu</w:t>
      </w:r>
      <w:proofErr w:type="spellEnd"/>
      <w:r w:rsidRPr="00A51E6E">
        <w:rPr>
          <w:rFonts w:ascii="Calibri Light" w:hAnsi="Calibri Light" w:cs="Calibri Light"/>
          <w:sz w:val="22"/>
          <w:szCs w:val="22"/>
        </w:rPr>
        <w:t xml:space="preserve"> Norte.</w:t>
      </w:r>
    </w:p>
    <w:p w14:paraId="1BB828D7" w14:textId="77777777" w:rsidR="00341041" w:rsidRPr="00A51E6E" w:rsidRDefault="00341041" w:rsidP="00341041">
      <w:pPr>
        <w:pStyle w:val="Prrafodelista"/>
        <w:numPr>
          <w:ilvl w:val="0"/>
          <w:numId w:val="26"/>
        </w:numPr>
        <w:jc w:val="both"/>
        <w:rPr>
          <w:rFonts w:ascii="Calibri Light" w:hAnsi="Calibri Light" w:cs="Calibri Light"/>
          <w:sz w:val="22"/>
          <w:szCs w:val="22"/>
        </w:rPr>
      </w:pPr>
      <w:r w:rsidRPr="00A51E6E">
        <w:rPr>
          <w:rFonts w:ascii="Calibri Light" w:hAnsi="Calibri Light" w:cs="Calibri Light"/>
          <w:sz w:val="22"/>
          <w:szCs w:val="22"/>
        </w:rPr>
        <w:t xml:space="preserve">Visita técnica al Bloque </w:t>
      </w:r>
      <w:proofErr w:type="spellStart"/>
      <w:r w:rsidRPr="00A51E6E">
        <w:rPr>
          <w:rFonts w:ascii="Calibri Light" w:hAnsi="Calibri Light" w:cs="Calibri Light"/>
          <w:sz w:val="22"/>
          <w:szCs w:val="22"/>
        </w:rPr>
        <w:t>Lumbaqui</w:t>
      </w:r>
      <w:proofErr w:type="spellEnd"/>
      <w:r w:rsidRPr="00A51E6E">
        <w:rPr>
          <w:rFonts w:ascii="Calibri Light" w:hAnsi="Calibri Light" w:cs="Calibri Light"/>
          <w:sz w:val="22"/>
          <w:szCs w:val="22"/>
        </w:rPr>
        <w:t>, llevada a cabo los días miércoles 12 y jueves 13 de febrero de 2025, con la participación de 25 representantes pertenecientes a 9 empresas privadas en asociación con empresas estatales.</w:t>
      </w:r>
    </w:p>
    <w:p w14:paraId="02FDFF43" w14:textId="2FA85928" w:rsidR="00FE7273" w:rsidRPr="00067DE4" w:rsidRDefault="00341041" w:rsidP="00FE7273">
      <w:pPr>
        <w:pStyle w:val="Prrafodelista"/>
        <w:numPr>
          <w:ilvl w:val="0"/>
          <w:numId w:val="26"/>
        </w:numPr>
        <w:jc w:val="both"/>
        <w:rPr>
          <w:rFonts w:ascii="Calibri Light" w:hAnsi="Calibri Light" w:cs="Calibri Light"/>
          <w:sz w:val="22"/>
          <w:szCs w:val="22"/>
        </w:rPr>
      </w:pPr>
      <w:r w:rsidRPr="00A51E6E">
        <w:rPr>
          <w:rFonts w:ascii="Calibri Light" w:hAnsi="Calibri Light" w:cs="Calibri Light"/>
          <w:sz w:val="22"/>
          <w:szCs w:val="22"/>
        </w:rPr>
        <w:t xml:space="preserve">Envío de documentación técnica, así como atención a preguntas y respuestas relacionadas con el proceso de la Ronda </w:t>
      </w:r>
      <w:proofErr w:type="spellStart"/>
      <w:r w:rsidRPr="00A51E6E">
        <w:rPr>
          <w:rFonts w:ascii="Calibri Light" w:hAnsi="Calibri Light" w:cs="Calibri Light"/>
          <w:sz w:val="22"/>
          <w:szCs w:val="22"/>
        </w:rPr>
        <w:t>Intracampos</w:t>
      </w:r>
      <w:proofErr w:type="spellEnd"/>
      <w:r w:rsidRPr="00A51E6E">
        <w:rPr>
          <w:rFonts w:ascii="Calibri Light" w:hAnsi="Calibri Light" w:cs="Calibri Light"/>
          <w:sz w:val="22"/>
          <w:szCs w:val="22"/>
        </w:rPr>
        <w:t>.</w:t>
      </w:r>
    </w:p>
    <w:p w14:paraId="491F9C10" w14:textId="77777777" w:rsidR="00157648" w:rsidRPr="00A51E6E" w:rsidRDefault="00157648" w:rsidP="00341041">
      <w:pPr>
        <w:jc w:val="both"/>
        <w:rPr>
          <w:rFonts w:ascii="Calibri Light" w:hAnsi="Calibri Light" w:cs="Calibri Light"/>
          <w:sz w:val="22"/>
          <w:szCs w:val="22"/>
        </w:rPr>
      </w:pPr>
    </w:p>
    <w:p w14:paraId="646EBC54" w14:textId="4FF8D898" w:rsidR="00341041" w:rsidRPr="00067DE4" w:rsidRDefault="00341041" w:rsidP="00067DE4">
      <w:pPr>
        <w:pStyle w:val="Ttulo4"/>
        <w:rPr>
          <w:i w:val="0"/>
          <w:sz w:val="22"/>
          <w:szCs w:val="22"/>
        </w:rPr>
      </w:pPr>
      <w:r>
        <w:t xml:space="preserve"> </w:t>
      </w:r>
      <w:r w:rsidRPr="00067DE4">
        <w:rPr>
          <w:i w:val="0"/>
          <w:sz w:val="22"/>
          <w:szCs w:val="22"/>
        </w:rPr>
        <w:t>Ronda Bloques 16 &amp; 67</w:t>
      </w:r>
    </w:p>
    <w:p w14:paraId="073BCE6B" w14:textId="77777777" w:rsidR="00341041" w:rsidRPr="00A51E6E" w:rsidRDefault="00341041" w:rsidP="00341041">
      <w:pPr>
        <w:jc w:val="both"/>
        <w:rPr>
          <w:rFonts w:ascii="Calibri Light" w:hAnsi="Calibri Light" w:cs="Calibri Light"/>
          <w:sz w:val="22"/>
          <w:szCs w:val="22"/>
          <w:highlight w:val="green"/>
        </w:rPr>
      </w:pPr>
    </w:p>
    <w:p w14:paraId="1C6A8191" w14:textId="77777777" w:rsidR="00341041" w:rsidRPr="00A51E6E" w:rsidRDefault="00341041" w:rsidP="00341041">
      <w:pPr>
        <w:jc w:val="both"/>
        <w:rPr>
          <w:rFonts w:ascii="Calibri Light" w:hAnsi="Calibri Light" w:cs="Calibri Light"/>
          <w:sz w:val="22"/>
          <w:szCs w:val="22"/>
        </w:rPr>
      </w:pPr>
      <w:r w:rsidRPr="00A51E6E">
        <w:rPr>
          <w:rFonts w:ascii="Calibri Light" w:hAnsi="Calibri Light" w:cs="Calibri Light"/>
          <w:sz w:val="22"/>
          <w:szCs w:val="22"/>
        </w:rPr>
        <w:t>La Dirección de Patrimonio y Promoción de Hidrocarburos, en coordinación con otras Direcciones y Subsecretarías del Viceministerio de Hidrocarburos y con EP PETROECUADOR, evaluó las posibilidades de una eventual licitación de los Bloques 16 y 67.</w:t>
      </w:r>
    </w:p>
    <w:p w14:paraId="3CF94EF9" w14:textId="77777777" w:rsidR="00341041" w:rsidRPr="00A51E6E" w:rsidRDefault="00341041" w:rsidP="00341041">
      <w:pPr>
        <w:jc w:val="both"/>
        <w:rPr>
          <w:rFonts w:ascii="Calibri Light" w:hAnsi="Calibri Light" w:cs="Calibri Light"/>
          <w:sz w:val="22"/>
          <w:szCs w:val="22"/>
        </w:rPr>
      </w:pPr>
      <w:r w:rsidRPr="00A51E6E">
        <w:rPr>
          <w:rFonts w:ascii="Calibri Light" w:hAnsi="Calibri Light" w:cs="Calibri Light"/>
          <w:sz w:val="22"/>
          <w:szCs w:val="22"/>
        </w:rPr>
        <w:t>En este análisis se revisaron los siguientes aspectos:</w:t>
      </w:r>
    </w:p>
    <w:p w14:paraId="4357823F" w14:textId="77777777" w:rsidR="00341041" w:rsidRPr="00A51E6E" w:rsidRDefault="00341041" w:rsidP="00341041">
      <w:pPr>
        <w:jc w:val="both"/>
        <w:rPr>
          <w:rFonts w:ascii="Calibri Light" w:hAnsi="Calibri Light" w:cs="Calibri Light"/>
          <w:sz w:val="22"/>
          <w:szCs w:val="22"/>
        </w:rPr>
      </w:pPr>
    </w:p>
    <w:p w14:paraId="0F2C71EC" w14:textId="77777777" w:rsidR="00341041" w:rsidRPr="00A51E6E" w:rsidRDefault="00341041" w:rsidP="00341041">
      <w:pPr>
        <w:pStyle w:val="Prrafodelista"/>
        <w:numPr>
          <w:ilvl w:val="0"/>
          <w:numId w:val="28"/>
        </w:numPr>
        <w:jc w:val="both"/>
        <w:rPr>
          <w:rFonts w:ascii="Calibri Light" w:hAnsi="Calibri Light" w:cs="Calibri Light"/>
          <w:sz w:val="22"/>
          <w:szCs w:val="22"/>
        </w:rPr>
      </w:pPr>
      <w:r w:rsidRPr="00A51E6E">
        <w:rPr>
          <w:rFonts w:ascii="Calibri Light" w:hAnsi="Calibri Light" w:cs="Calibri Light"/>
          <w:sz w:val="22"/>
          <w:szCs w:val="22"/>
        </w:rPr>
        <w:t>Reservas actuales de hidrocarburos.</w:t>
      </w:r>
    </w:p>
    <w:p w14:paraId="371B25B4" w14:textId="77777777" w:rsidR="00341041" w:rsidRPr="00A51E6E" w:rsidRDefault="00341041" w:rsidP="00341041">
      <w:pPr>
        <w:pStyle w:val="Prrafodelista"/>
        <w:numPr>
          <w:ilvl w:val="0"/>
          <w:numId w:val="28"/>
        </w:numPr>
        <w:jc w:val="both"/>
        <w:rPr>
          <w:rFonts w:ascii="Calibri Light" w:hAnsi="Calibri Light" w:cs="Calibri Light"/>
          <w:sz w:val="22"/>
          <w:szCs w:val="22"/>
        </w:rPr>
      </w:pPr>
      <w:r w:rsidRPr="00A51E6E">
        <w:rPr>
          <w:rFonts w:ascii="Calibri Light" w:hAnsi="Calibri Light" w:cs="Calibri Light"/>
          <w:sz w:val="22"/>
          <w:szCs w:val="22"/>
        </w:rPr>
        <w:t>Infraestructura existente en los bloques.</w:t>
      </w:r>
    </w:p>
    <w:p w14:paraId="2782425C" w14:textId="77777777" w:rsidR="00341041" w:rsidRPr="00A51E6E" w:rsidRDefault="00341041" w:rsidP="00341041">
      <w:pPr>
        <w:pStyle w:val="Prrafodelista"/>
        <w:numPr>
          <w:ilvl w:val="0"/>
          <w:numId w:val="28"/>
        </w:numPr>
        <w:jc w:val="both"/>
        <w:rPr>
          <w:rFonts w:ascii="Calibri Light" w:hAnsi="Calibri Light" w:cs="Calibri Light"/>
          <w:sz w:val="22"/>
          <w:szCs w:val="22"/>
        </w:rPr>
      </w:pPr>
      <w:r w:rsidRPr="00A51E6E">
        <w:rPr>
          <w:rFonts w:ascii="Calibri Light" w:hAnsi="Calibri Light" w:cs="Calibri Light"/>
          <w:sz w:val="22"/>
          <w:szCs w:val="22"/>
        </w:rPr>
        <w:t>Requerimientos mínimos de exploración adicional.</w:t>
      </w:r>
    </w:p>
    <w:p w14:paraId="4B388057" w14:textId="77777777" w:rsidR="00341041" w:rsidRPr="00A51E6E" w:rsidRDefault="00341041" w:rsidP="00341041">
      <w:pPr>
        <w:pStyle w:val="Prrafodelista"/>
        <w:numPr>
          <w:ilvl w:val="0"/>
          <w:numId w:val="28"/>
        </w:numPr>
        <w:jc w:val="both"/>
        <w:rPr>
          <w:rFonts w:ascii="Calibri Light" w:hAnsi="Calibri Light" w:cs="Calibri Light"/>
          <w:sz w:val="22"/>
          <w:szCs w:val="22"/>
        </w:rPr>
      </w:pPr>
      <w:r w:rsidRPr="00A51E6E">
        <w:rPr>
          <w:rFonts w:ascii="Calibri Light" w:hAnsi="Calibri Light" w:cs="Calibri Light"/>
          <w:sz w:val="22"/>
          <w:szCs w:val="22"/>
        </w:rPr>
        <w:t>Escenarios del Plan de Desarrollo: Caso Alto, Caso Medio y Caso Bajo.</w:t>
      </w:r>
    </w:p>
    <w:p w14:paraId="51A056EE" w14:textId="77777777" w:rsidR="00341041" w:rsidRPr="00A51E6E" w:rsidRDefault="00341041" w:rsidP="00341041">
      <w:pPr>
        <w:pStyle w:val="Prrafodelista"/>
        <w:numPr>
          <w:ilvl w:val="0"/>
          <w:numId w:val="28"/>
        </w:numPr>
        <w:jc w:val="both"/>
        <w:rPr>
          <w:rFonts w:ascii="Calibri Light" w:hAnsi="Calibri Light" w:cs="Calibri Light"/>
          <w:sz w:val="22"/>
          <w:szCs w:val="22"/>
        </w:rPr>
      </w:pPr>
      <w:r w:rsidRPr="00A51E6E">
        <w:rPr>
          <w:rFonts w:ascii="Calibri Light" w:hAnsi="Calibri Light" w:cs="Calibri Light"/>
          <w:sz w:val="22"/>
          <w:szCs w:val="22"/>
        </w:rPr>
        <w:t>Licencias ambientales vigentes y actividades permitidas.</w:t>
      </w:r>
    </w:p>
    <w:p w14:paraId="0F33D3B0" w14:textId="77777777" w:rsidR="00341041" w:rsidRPr="00A51E6E" w:rsidRDefault="00341041" w:rsidP="00341041">
      <w:pPr>
        <w:pStyle w:val="Prrafodelista"/>
        <w:numPr>
          <w:ilvl w:val="0"/>
          <w:numId w:val="28"/>
        </w:numPr>
        <w:jc w:val="both"/>
        <w:rPr>
          <w:rFonts w:ascii="Calibri Light" w:eastAsia="Times New Roman" w:hAnsi="Calibri Light"/>
          <w:i/>
          <w:iCs/>
          <w:color w:val="2F5496"/>
          <w:sz w:val="22"/>
          <w:szCs w:val="22"/>
        </w:rPr>
      </w:pPr>
      <w:r w:rsidRPr="00A51E6E">
        <w:rPr>
          <w:rFonts w:ascii="Calibri Light" w:hAnsi="Calibri Light" w:cs="Calibri Light"/>
          <w:sz w:val="22"/>
          <w:szCs w:val="22"/>
        </w:rPr>
        <w:t>Modelo económico ajustado a cada uno de los casos evaluados.</w:t>
      </w:r>
    </w:p>
    <w:p w14:paraId="524CB7A4" w14:textId="77777777" w:rsidR="00341041" w:rsidRPr="00A51E6E" w:rsidRDefault="00341041" w:rsidP="00341041">
      <w:pPr>
        <w:jc w:val="both"/>
        <w:rPr>
          <w:rFonts w:ascii="Calibri Light" w:hAnsi="Calibri Light" w:cs="Calibri Light"/>
          <w:b/>
          <w:sz w:val="22"/>
          <w:szCs w:val="22"/>
          <w:highlight w:val="yellow"/>
        </w:rPr>
      </w:pPr>
    </w:p>
    <w:p w14:paraId="642DEAF6" w14:textId="6BBAFDB6" w:rsidR="00341041" w:rsidRPr="00067DE4" w:rsidRDefault="00341041" w:rsidP="00067DE4">
      <w:pPr>
        <w:pStyle w:val="Ttulo4"/>
        <w:rPr>
          <w:i w:val="0"/>
          <w:sz w:val="22"/>
          <w:szCs w:val="22"/>
        </w:rPr>
      </w:pPr>
      <w:r>
        <w:t xml:space="preserve"> </w:t>
      </w:r>
      <w:r w:rsidRPr="00067DE4">
        <w:rPr>
          <w:i w:val="0"/>
          <w:sz w:val="22"/>
          <w:szCs w:val="22"/>
        </w:rPr>
        <w:t>Actualización de Proyectos</w:t>
      </w:r>
    </w:p>
    <w:p w14:paraId="509BDE25" w14:textId="77777777" w:rsidR="00341041" w:rsidRPr="00A51E6E" w:rsidRDefault="00341041" w:rsidP="00341041">
      <w:pPr>
        <w:jc w:val="both"/>
        <w:rPr>
          <w:rFonts w:ascii="Calibri Light" w:hAnsi="Calibri Light" w:cs="Calibri Light"/>
          <w:sz w:val="22"/>
          <w:highlight w:val="green"/>
        </w:rPr>
      </w:pPr>
    </w:p>
    <w:p w14:paraId="06A6182C" w14:textId="77777777" w:rsidR="00341041" w:rsidRPr="00A51E6E" w:rsidRDefault="00341041" w:rsidP="00341041">
      <w:pPr>
        <w:rPr>
          <w:rFonts w:ascii="Calibri Light" w:hAnsi="Calibri Light" w:cs="Calibri Light"/>
          <w:sz w:val="22"/>
        </w:rPr>
      </w:pPr>
      <w:r w:rsidRPr="00A51E6E">
        <w:rPr>
          <w:rFonts w:ascii="Calibri Light" w:hAnsi="Calibri Light" w:cs="Calibri Light"/>
          <w:sz w:val="22"/>
        </w:rPr>
        <w:t>La Dirección de Patrimonio y Promoción de Hidrocarburos actualizó los siguientes proyectos:</w:t>
      </w:r>
    </w:p>
    <w:p w14:paraId="2CFA0496" w14:textId="77777777" w:rsidR="00341041" w:rsidRPr="00A51E6E" w:rsidRDefault="00341041" w:rsidP="00341041">
      <w:pPr>
        <w:rPr>
          <w:rFonts w:ascii="Calibri Light" w:hAnsi="Calibri Light" w:cs="Calibri Light"/>
          <w:sz w:val="22"/>
        </w:rPr>
      </w:pPr>
    </w:p>
    <w:p w14:paraId="0E8EB59A" w14:textId="77777777" w:rsidR="00341041" w:rsidRPr="00A51E6E" w:rsidRDefault="00341041" w:rsidP="00341041">
      <w:pPr>
        <w:pStyle w:val="Prrafodelista"/>
        <w:numPr>
          <w:ilvl w:val="0"/>
          <w:numId w:val="27"/>
        </w:numPr>
        <w:rPr>
          <w:rFonts w:ascii="Calibri Light" w:hAnsi="Calibri Light" w:cs="Calibri Light"/>
          <w:sz w:val="22"/>
        </w:rPr>
      </w:pPr>
      <w:r w:rsidRPr="00A51E6E">
        <w:rPr>
          <w:rFonts w:ascii="Calibri Light" w:hAnsi="Calibri Light" w:cs="Calibri Light"/>
          <w:sz w:val="22"/>
        </w:rPr>
        <w:t>Ronda de Optimización y Exploración.</w:t>
      </w:r>
    </w:p>
    <w:p w14:paraId="13D996E3" w14:textId="77777777" w:rsidR="00341041" w:rsidRPr="00A51E6E" w:rsidRDefault="00341041" w:rsidP="00341041">
      <w:pPr>
        <w:pStyle w:val="Prrafodelista"/>
        <w:numPr>
          <w:ilvl w:val="0"/>
          <w:numId w:val="27"/>
        </w:numPr>
        <w:rPr>
          <w:rFonts w:ascii="Calibri Light" w:hAnsi="Calibri Light" w:cs="Calibri Light"/>
          <w:sz w:val="22"/>
        </w:rPr>
      </w:pPr>
      <w:r w:rsidRPr="00A51E6E">
        <w:rPr>
          <w:rFonts w:ascii="Calibri Light" w:hAnsi="Calibri Light" w:cs="Calibri Light"/>
          <w:sz w:val="22"/>
        </w:rPr>
        <w:t>Ronda de Bloques Offshore.</w:t>
      </w:r>
    </w:p>
    <w:p w14:paraId="1D7E2FF3" w14:textId="77777777" w:rsidR="00341041" w:rsidRPr="00A51E6E" w:rsidRDefault="00341041" w:rsidP="00341041">
      <w:pPr>
        <w:rPr>
          <w:rFonts w:ascii="Calibri Light" w:hAnsi="Calibri Light" w:cs="Calibri Light"/>
          <w:sz w:val="22"/>
        </w:rPr>
      </w:pPr>
    </w:p>
    <w:p w14:paraId="0D023A92" w14:textId="77777777" w:rsidR="00341041" w:rsidRPr="00A51E6E" w:rsidRDefault="00341041" w:rsidP="00341041">
      <w:pPr>
        <w:jc w:val="both"/>
        <w:rPr>
          <w:rFonts w:ascii="Calibri Light" w:hAnsi="Calibri Light" w:cs="Calibri Light"/>
          <w:sz w:val="22"/>
        </w:rPr>
      </w:pPr>
      <w:r w:rsidRPr="00A51E6E">
        <w:rPr>
          <w:rFonts w:ascii="Calibri Light" w:hAnsi="Calibri Light" w:cs="Calibri Light"/>
          <w:sz w:val="22"/>
        </w:rPr>
        <w:t>En el marco de la Ronda de Optimización y Exploración, se rediseñaron 14 bloques con miras a una futura licitación.</w:t>
      </w:r>
    </w:p>
    <w:p w14:paraId="298DBCD8" w14:textId="77777777" w:rsidR="00341041" w:rsidRPr="00A51E6E" w:rsidRDefault="00341041" w:rsidP="00341041">
      <w:pPr>
        <w:rPr>
          <w:rFonts w:ascii="Calibri Light" w:hAnsi="Calibri Light" w:cs="Calibri Light"/>
          <w:sz w:val="22"/>
        </w:rPr>
      </w:pPr>
    </w:p>
    <w:p w14:paraId="3D928116" w14:textId="77777777" w:rsidR="00341041" w:rsidRPr="00A51E6E" w:rsidRDefault="00341041" w:rsidP="00341041">
      <w:pPr>
        <w:jc w:val="both"/>
        <w:rPr>
          <w:rFonts w:ascii="Calibri Light" w:hAnsi="Calibri Light" w:cs="Calibri Light"/>
          <w:sz w:val="22"/>
        </w:rPr>
      </w:pPr>
      <w:r w:rsidRPr="00A51E6E">
        <w:rPr>
          <w:rFonts w:ascii="Calibri Light" w:hAnsi="Calibri Light" w:cs="Calibri Light"/>
          <w:sz w:val="22"/>
        </w:rPr>
        <w:t xml:space="preserve">Respecto a la Ronda de Bloques Offshore, se incorporaron 7 bloques ubicados en las provincias de Manabí y Esmeraldas. Además, se ha trabajado en conjunto con empresas internacionales para evaluar y definir el potencial </w:t>
      </w:r>
      <w:proofErr w:type="spellStart"/>
      <w:r w:rsidRPr="00A51E6E">
        <w:rPr>
          <w:rFonts w:ascii="Calibri Light" w:hAnsi="Calibri Light" w:cs="Calibri Light"/>
          <w:sz w:val="22"/>
        </w:rPr>
        <w:t>hidrocarburífero</w:t>
      </w:r>
      <w:proofErr w:type="spellEnd"/>
      <w:r w:rsidRPr="00A51E6E">
        <w:rPr>
          <w:rFonts w:ascii="Calibri Light" w:hAnsi="Calibri Light" w:cs="Calibri Light"/>
          <w:sz w:val="22"/>
        </w:rPr>
        <w:t xml:space="preserve"> de la zona del Golfo de Guayaquil, así como de las cuencas marítimas de Manabí y Esmeraldas.</w:t>
      </w:r>
    </w:p>
    <w:p w14:paraId="386F01EF" w14:textId="77777777" w:rsidR="00341041" w:rsidRPr="00A51E6E" w:rsidRDefault="00341041" w:rsidP="00341041">
      <w:pPr>
        <w:jc w:val="both"/>
        <w:rPr>
          <w:rFonts w:ascii="Calibri Light" w:hAnsi="Calibri Light" w:cs="Calibri Light"/>
          <w:sz w:val="22"/>
          <w:highlight w:val="yellow"/>
        </w:rPr>
      </w:pPr>
    </w:p>
    <w:p w14:paraId="15A9F89B" w14:textId="1CC4D7ED" w:rsidR="00341041" w:rsidRPr="00067DE4" w:rsidRDefault="00341041" w:rsidP="00067DE4">
      <w:pPr>
        <w:pStyle w:val="Ttulo4"/>
        <w:rPr>
          <w:i w:val="0"/>
          <w:sz w:val="22"/>
          <w:szCs w:val="22"/>
        </w:rPr>
      </w:pPr>
      <w:r w:rsidRPr="00067DE4">
        <w:rPr>
          <w:i w:val="0"/>
          <w:sz w:val="22"/>
          <w:szCs w:val="22"/>
        </w:rPr>
        <w:t>Promoción de Proyectos de Hidrocarburos</w:t>
      </w:r>
    </w:p>
    <w:p w14:paraId="34B3106D" w14:textId="77777777" w:rsidR="00341041" w:rsidRPr="00A51E6E" w:rsidRDefault="00341041" w:rsidP="00341041">
      <w:pPr>
        <w:rPr>
          <w:rFonts w:ascii="Calibri Light" w:hAnsi="Calibri Light" w:cs="Calibri Light"/>
          <w:sz w:val="22"/>
        </w:rPr>
      </w:pPr>
    </w:p>
    <w:p w14:paraId="5489EF53" w14:textId="77777777" w:rsidR="00341041" w:rsidRPr="00A51E6E" w:rsidRDefault="00341041" w:rsidP="00341041">
      <w:pPr>
        <w:pStyle w:val="Prrafodelista"/>
        <w:numPr>
          <w:ilvl w:val="0"/>
          <w:numId w:val="24"/>
        </w:numPr>
        <w:ind w:left="284" w:hanging="283"/>
        <w:jc w:val="both"/>
        <w:rPr>
          <w:rFonts w:ascii="Calibri Light" w:hAnsi="Calibri Light" w:cs="Calibri Light"/>
          <w:sz w:val="22"/>
        </w:rPr>
      </w:pPr>
      <w:r w:rsidRPr="00A51E6E">
        <w:rPr>
          <w:rFonts w:ascii="Calibri Light" w:hAnsi="Calibri Light" w:cs="Calibri Light"/>
          <w:sz w:val="22"/>
        </w:rPr>
        <w:lastRenderedPageBreak/>
        <w:t xml:space="preserve">Participación en el XIX Encuentro de Energía y Petróleo – ENAEP 2024, en el mes de noviembre, donde se expuso futuros proyectos de evaluación de potencial </w:t>
      </w:r>
      <w:proofErr w:type="spellStart"/>
      <w:r w:rsidRPr="00A51E6E">
        <w:rPr>
          <w:rFonts w:ascii="Calibri Light" w:hAnsi="Calibri Light" w:cs="Calibri Light"/>
          <w:sz w:val="22"/>
        </w:rPr>
        <w:t>hidrocarburífero</w:t>
      </w:r>
      <w:proofErr w:type="spellEnd"/>
      <w:r w:rsidRPr="00A51E6E">
        <w:rPr>
          <w:rFonts w:ascii="Calibri Light" w:hAnsi="Calibri Light" w:cs="Calibri Light"/>
          <w:sz w:val="22"/>
        </w:rPr>
        <w:t>.</w:t>
      </w:r>
    </w:p>
    <w:p w14:paraId="4AAF392A" w14:textId="77777777" w:rsidR="00341041" w:rsidRPr="00A51E6E" w:rsidRDefault="00341041" w:rsidP="00341041">
      <w:pPr>
        <w:pStyle w:val="Prrafodelista"/>
        <w:numPr>
          <w:ilvl w:val="0"/>
          <w:numId w:val="25"/>
        </w:numPr>
        <w:autoSpaceDE w:val="0"/>
        <w:autoSpaceDN w:val="0"/>
        <w:adjustRightInd w:val="0"/>
        <w:spacing w:before="100" w:beforeAutospacing="1" w:after="100" w:afterAutospacing="1"/>
        <w:ind w:left="284" w:hanging="284"/>
        <w:jc w:val="both"/>
        <w:rPr>
          <w:rFonts w:ascii="Calibri Light" w:hAnsi="Calibri Light" w:cs="Calibri Light"/>
          <w:sz w:val="22"/>
        </w:rPr>
      </w:pPr>
      <w:r w:rsidRPr="00A51E6E">
        <w:rPr>
          <w:rFonts w:ascii="Calibri Light" w:hAnsi="Calibri Light" w:cs="Calibri Light"/>
          <w:sz w:val="22"/>
        </w:rPr>
        <w:t xml:space="preserve">Atención a inversionistas mediante reuniones físicas y virtuales como resultado de la promoción internacional de los proyectos de inversión </w:t>
      </w:r>
      <w:proofErr w:type="spellStart"/>
      <w:r w:rsidRPr="00A51E6E">
        <w:rPr>
          <w:rFonts w:ascii="Calibri Light" w:hAnsi="Calibri Light" w:cs="Calibri Light"/>
          <w:sz w:val="22"/>
        </w:rPr>
        <w:t>hidrocarburífera</w:t>
      </w:r>
      <w:proofErr w:type="spellEnd"/>
      <w:r w:rsidRPr="00A51E6E">
        <w:rPr>
          <w:rFonts w:ascii="Calibri Light" w:hAnsi="Calibri Light" w:cs="Calibri Light"/>
          <w:sz w:val="22"/>
        </w:rPr>
        <w:t>.</w:t>
      </w:r>
    </w:p>
    <w:p w14:paraId="3F30DD52" w14:textId="77777777" w:rsidR="00341041" w:rsidRPr="00A51E6E" w:rsidRDefault="00341041" w:rsidP="00341041">
      <w:pPr>
        <w:numPr>
          <w:ilvl w:val="0"/>
          <w:numId w:val="25"/>
        </w:numPr>
        <w:autoSpaceDE w:val="0"/>
        <w:autoSpaceDN w:val="0"/>
        <w:adjustRightInd w:val="0"/>
        <w:spacing w:before="100" w:beforeAutospacing="1" w:after="100" w:afterAutospacing="1"/>
        <w:ind w:left="284" w:hanging="284"/>
        <w:jc w:val="both"/>
        <w:rPr>
          <w:rFonts w:ascii="Calibri Light" w:hAnsi="Calibri Light" w:cs="Calibri Light"/>
          <w:sz w:val="22"/>
        </w:rPr>
      </w:pPr>
      <w:r w:rsidRPr="00A51E6E">
        <w:rPr>
          <w:rFonts w:ascii="Calibri Light" w:hAnsi="Calibri Light" w:cs="Calibri Light"/>
          <w:sz w:val="22"/>
        </w:rPr>
        <w:t xml:space="preserve">Se elaboró el Portafolio de Proyectos de Inversión del Sector </w:t>
      </w:r>
      <w:proofErr w:type="spellStart"/>
      <w:r w:rsidRPr="00A51E6E">
        <w:rPr>
          <w:rFonts w:ascii="Calibri Light" w:hAnsi="Calibri Light" w:cs="Calibri Light"/>
          <w:sz w:val="22"/>
        </w:rPr>
        <w:t>Hidrocarburífero</w:t>
      </w:r>
      <w:proofErr w:type="spellEnd"/>
      <w:r w:rsidRPr="00A51E6E">
        <w:rPr>
          <w:rFonts w:ascii="Calibri Light" w:hAnsi="Calibri Light" w:cs="Calibri Light"/>
          <w:sz w:val="22"/>
        </w:rPr>
        <w:t>.</w:t>
      </w:r>
    </w:p>
    <w:p w14:paraId="50A75D31" w14:textId="77777777" w:rsidR="00341041" w:rsidRPr="00A51E6E" w:rsidRDefault="00341041" w:rsidP="00341041">
      <w:pPr>
        <w:numPr>
          <w:ilvl w:val="0"/>
          <w:numId w:val="25"/>
        </w:numPr>
        <w:autoSpaceDE w:val="0"/>
        <w:autoSpaceDN w:val="0"/>
        <w:adjustRightInd w:val="0"/>
        <w:spacing w:before="100" w:beforeAutospacing="1" w:after="100" w:afterAutospacing="1"/>
        <w:ind w:left="284" w:hanging="284"/>
        <w:jc w:val="both"/>
        <w:rPr>
          <w:rFonts w:ascii="Calibri Light" w:hAnsi="Calibri Light" w:cs="Calibri Light"/>
          <w:sz w:val="22"/>
        </w:rPr>
      </w:pPr>
      <w:r w:rsidRPr="00A51E6E">
        <w:rPr>
          <w:rFonts w:ascii="Calibri Light" w:hAnsi="Calibri Light" w:cs="Calibri Light"/>
          <w:sz w:val="22"/>
        </w:rPr>
        <w:t xml:space="preserve">Se coordinó y socializó por parte de las Autoridades del Ministerio de Energía y Minas, el “Plan de Inversiones del Sector </w:t>
      </w:r>
      <w:proofErr w:type="spellStart"/>
      <w:r w:rsidRPr="00A51E6E">
        <w:rPr>
          <w:rFonts w:ascii="Calibri Light" w:hAnsi="Calibri Light" w:cs="Calibri Light"/>
          <w:sz w:val="22"/>
        </w:rPr>
        <w:t>Hidrocarburífero</w:t>
      </w:r>
      <w:proofErr w:type="spellEnd"/>
      <w:r w:rsidRPr="00A51E6E">
        <w:rPr>
          <w:rFonts w:ascii="Calibri Light" w:hAnsi="Calibri Light" w:cs="Calibri Light"/>
          <w:sz w:val="22"/>
        </w:rPr>
        <w:t xml:space="preserve"> 2025 – 2029”, que busca captar inversiones por 42.000 millones de dólares.</w:t>
      </w:r>
    </w:p>
    <w:p w14:paraId="4A33D8C2" w14:textId="2A93A7D9" w:rsidR="00F7193D" w:rsidRPr="00FE7273" w:rsidRDefault="00341041" w:rsidP="00FE7273">
      <w:pPr>
        <w:autoSpaceDE w:val="0"/>
        <w:autoSpaceDN w:val="0"/>
        <w:adjustRightInd w:val="0"/>
        <w:spacing w:before="100" w:beforeAutospacing="1" w:after="100" w:afterAutospacing="1"/>
        <w:jc w:val="both"/>
        <w:rPr>
          <w:rFonts w:ascii="Calibri Light" w:hAnsi="Calibri Light" w:cs="Calibri Light"/>
          <w:sz w:val="22"/>
        </w:rPr>
      </w:pPr>
      <w:r w:rsidRPr="00A51E6E">
        <w:rPr>
          <w:rFonts w:ascii="Calibri Light" w:hAnsi="Calibri Light" w:cs="Calibri Light"/>
          <w:sz w:val="22"/>
        </w:rPr>
        <w:t xml:space="preserve">En cuanto al portafolio de proyectos de inversiones </w:t>
      </w:r>
      <w:proofErr w:type="spellStart"/>
      <w:r w:rsidRPr="00A51E6E">
        <w:rPr>
          <w:rFonts w:ascii="Calibri Light" w:hAnsi="Calibri Light" w:cs="Calibri Light"/>
          <w:sz w:val="22"/>
        </w:rPr>
        <w:t>hidrocarburíferas</w:t>
      </w:r>
      <w:proofErr w:type="spellEnd"/>
      <w:r w:rsidRPr="00A51E6E">
        <w:rPr>
          <w:rFonts w:ascii="Calibri Light" w:hAnsi="Calibri Light" w:cs="Calibri Light"/>
          <w:sz w:val="22"/>
        </w:rPr>
        <w:t>, se tiene contemplados para inversión, unos 1.200 millones de dólares por el Campo Amistad, 12.000 millones de dólares por los bloques off shore, 20.000 millones de dólares por los bloques del suroriente. Además, se plantea los proyectos de modernización de las refinerías de Esmeraldas, Santa Elena, así como los proyectos de biodiésel (aceite de palma), de abastecimiento de gas y de adecuamiento de tanques de almacenamiento de diésel en La Libertad.</w:t>
      </w:r>
    </w:p>
    <w:p w14:paraId="0B69B068" w14:textId="77777777" w:rsidR="00102E95" w:rsidRPr="003A5515" w:rsidRDefault="00102E95" w:rsidP="003A5515">
      <w:pPr>
        <w:pStyle w:val="Ttulo2"/>
        <w:rPr>
          <w:sz w:val="24"/>
          <w:szCs w:val="24"/>
        </w:rPr>
      </w:pPr>
      <w:bookmarkStart w:id="97" w:name="_Toc197335088"/>
      <w:bookmarkStart w:id="98" w:name="_Toc199759557"/>
      <w:r w:rsidRPr="003A5515">
        <w:rPr>
          <w:sz w:val="24"/>
          <w:szCs w:val="24"/>
        </w:rPr>
        <w:t>Gestión de Refinación e Industrialización</w:t>
      </w:r>
      <w:bookmarkEnd w:id="97"/>
      <w:bookmarkEnd w:id="98"/>
    </w:p>
    <w:p w14:paraId="70A13C2D" w14:textId="77777777" w:rsidR="00102E95" w:rsidRPr="008C1F7C" w:rsidRDefault="00102E95" w:rsidP="00102E95">
      <w:pPr>
        <w:rPr>
          <w:rFonts w:ascii="Calibri Light" w:hAnsi="Calibri Light" w:cs="Calibri Light"/>
          <w:sz w:val="18"/>
          <w:szCs w:val="18"/>
        </w:rPr>
      </w:pPr>
    </w:p>
    <w:p w14:paraId="481801BE" w14:textId="6FA9B07D" w:rsidR="00102E95" w:rsidRPr="00067DE4" w:rsidRDefault="00102E95" w:rsidP="00067DE4">
      <w:pPr>
        <w:pStyle w:val="Ttulo4"/>
        <w:rPr>
          <w:i w:val="0"/>
          <w:sz w:val="22"/>
          <w:szCs w:val="22"/>
        </w:rPr>
      </w:pPr>
      <w:r w:rsidRPr="00067DE4">
        <w:rPr>
          <w:i w:val="0"/>
          <w:sz w:val="22"/>
          <w:szCs w:val="22"/>
        </w:rPr>
        <w:t xml:space="preserve">Mejoramiento de </w:t>
      </w:r>
      <w:r w:rsidR="003A5515" w:rsidRPr="00067DE4">
        <w:rPr>
          <w:i w:val="0"/>
          <w:sz w:val="22"/>
          <w:szCs w:val="22"/>
        </w:rPr>
        <w:t>C</w:t>
      </w:r>
      <w:r w:rsidRPr="00067DE4">
        <w:rPr>
          <w:i w:val="0"/>
          <w:sz w:val="22"/>
          <w:szCs w:val="22"/>
        </w:rPr>
        <w:t>ombustibles</w:t>
      </w:r>
    </w:p>
    <w:p w14:paraId="5C07B4BB" w14:textId="77777777" w:rsidR="00102E95" w:rsidRPr="00FC0488" w:rsidRDefault="00102E95" w:rsidP="00102E95"/>
    <w:p w14:paraId="4B77AD49" w14:textId="339C4D62" w:rsidR="00102E95" w:rsidRPr="00FE7273" w:rsidRDefault="00102E95" w:rsidP="00FE7273">
      <w:pPr>
        <w:jc w:val="both"/>
        <w:rPr>
          <w:rFonts w:ascii="Calibri Light" w:hAnsi="Calibri Light" w:cs="Calibri Light"/>
          <w:sz w:val="22"/>
          <w:szCs w:val="22"/>
        </w:rPr>
      </w:pPr>
      <w:r w:rsidRPr="00A51E6E">
        <w:rPr>
          <w:rFonts w:ascii="Calibri Light" w:hAnsi="Calibri Light" w:cs="Calibri Light"/>
          <w:sz w:val="22"/>
          <w:szCs w:val="22"/>
        </w:rPr>
        <w:t>En 2024, la Dirección de Refinación e Industrialización realizó el seguimiento a eventos críticos de calidad en la Refinería Esmeraldas. Se detectó corrosión en la Unidad HDS, lo que derivó en la necesidad de intervenir el tren de intercambiadores. Se brindó soporte técnico en el análisis de riesgos y verificación de cumplimiento normativo, fortaleciendo los mecanismos de control de calidad.</w:t>
      </w:r>
    </w:p>
    <w:p w14:paraId="7258567C" w14:textId="0725C1C4" w:rsidR="00102E95" w:rsidRDefault="00102E95" w:rsidP="00102E95">
      <w:pPr>
        <w:jc w:val="both"/>
        <w:rPr>
          <w:rFonts w:ascii="Calibri Light" w:hAnsi="Calibri Light" w:cs="Calibri Light"/>
          <w:sz w:val="22"/>
          <w:szCs w:val="22"/>
        </w:rPr>
      </w:pPr>
    </w:p>
    <w:p w14:paraId="4E872B42" w14:textId="32935F84" w:rsidR="00067DE4" w:rsidRDefault="00067DE4" w:rsidP="00102E95">
      <w:pPr>
        <w:jc w:val="both"/>
        <w:rPr>
          <w:rFonts w:ascii="Calibri Light" w:hAnsi="Calibri Light" w:cs="Calibri Light"/>
          <w:sz w:val="22"/>
          <w:szCs w:val="22"/>
        </w:rPr>
      </w:pPr>
    </w:p>
    <w:p w14:paraId="5AC40AF1" w14:textId="3E39759C" w:rsidR="00067DE4" w:rsidRDefault="00067DE4" w:rsidP="00102E95">
      <w:pPr>
        <w:jc w:val="both"/>
        <w:rPr>
          <w:rFonts w:ascii="Calibri Light" w:hAnsi="Calibri Light" w:cs="Calibri Light"/>
          <w:sz w:val="22"/>
          <w:szCs w:val="22"/>
        </w:rPr>
      </w:pPr>
    </w:p>
    <w:p w14:paraId="3D61C720" w14:textId="77777777" w:rsidR="00067DE4" w:rsidRPr="00A51E6E" w:rsidRDefault="00067DE4" w:rsidP="00102E95">
      <w:pPr>
        <w:jc w:val="both"/>
        <w:rPr>
          <w:rFonts w:ascii="Calibri Light" w:hAnsi="Calibri Light" w:cs="Calibri Light"/>
          <w:sz w:val="22"/>
          <w:szCs w:val="22"/>
        </w:rPr>
      </w:pPr>
    </w:p>
    <w:p w14:paraId="41FACCE1" w14:textId="77777777" w:rsidR="00102E95" w:rsidRPr="00067DE4" w:rsidRDefault="00102E95" w:rsidP="00067DE4">
      <w:pPr>
        <w:pStyle w:val="Ttulo4"/>
        <w:rPr>
          <w:i w:val="0"/>
          <w:sz w:val="22"/>
          <w:szCs w:val="22"/>
        </w:rPr>
      </w:pPr>
      <w:r w:rsidRPr="00067DE4">
        <w:rPr>
          <w:i w:val="0"/>
          <w:sz w:val="22"/>
          <w:szCs w:val="22"/>
        </w:rPr>
        <w:t>Proyecto para construcción de refinería privada</w:t>
      </w:r>
    </w:p>
    <w:p w14:paraId="4D92BB10" w14:textId="77777777" w:rsidR="00102E95" w:rsidRDefault="00102E95" w:rsidP="00102E95"/>
    <w:p w14:paraId="111F4129" w14:textId="77777777" w:rsidR="00102E95" w:rsidRPr="0012332C" w:rsidRDefault="00102E95" w:rsidP="00102E95">
      <w:pPr>
        <w:pStyle w:val="Textoindependiente"/>
        <w:ind w:right="425"/>
        <w:jc w:val="both"/>
        <w:rPr>
          <w:rFonts w:asciiTheme="majorHAnsi" w:eastAsia="Calibri" w:hAnsiTheme="majorHAnsi" w:cstheme="majorHAnsi"/>
          <w:sz w:val="22"/>
          <w:szCs w:val="22"/>
        </w:rPr>
      </w:pPr>
      <w:r w:rsidRPr="0012332C">
        <w:rPr>
          <w:rFonts w:asciiTheme="majorHAnsi" w:eastAsia="Calibri" w:hAnsiTheme="majorHAnsi" w:cstheme="majorHAnsi"/>
          <w:sz w:val="22"/>
          <w:szCs w:val="22"/>
        </w:rPr>
        <w:t>Se brindó acompañamiento técnico e institucional a la empresa MV Refinerías S.A., en el marco de un proyecto completamente privado para la construcción de hasta dos refinerías de conversión profunda, con capacidad de 80 mil barriles por día cada una.</w:t>
      </w:r>
    </w:p>
    <w:p w14:paraId="14A957A7" w14:textId="63298DEC" w:rsidR="00102E95" w:rsidRPr="00157648" w:rsidRDefault="00102E95" w:rsidP="00F7193D">
      <w:pPr>
        <w:pStyle w:val="Textoindependiente"/>
        <w:ind w:right="423"/>
        <w:jc w:val="both"/>
        <w:rPr>
          <w:rFonts w:asciiTheme="majorHAnsi" w:eastAsia="Calibri" w:hAnsiTheme="majorHAnsi" w:cstheme="majorHAnsi"/>
          <w:sz w:val="22"/>
          <w:szCs w:val="22"/>
        </w:rPr>
      </w:pPr>
      <w:r w:rsidRPr="0012332C">
        <w:rPr>
          <w:rFonts w:asciiTheme="majorHAnsi" w:eastAsia="Calibri" w:hAnsiTheme="majorHAnsi" w:cstheme="majorHAnsi"/>
          <w:sz w:val="22"/>
          <w:szCs w:val="22"/>
        </w:rPr>
        <w:t>El apoyo incluyó la definición de especificaciones técnicas y normativas, así como la articulación con EP Petroecuador para la suscripción de un memorando de entendimiento que permita viabilizar el desarrollo del proyecto en territorio nacional. Este proyecto, sin inversión estatal, representa una oportunidad para impulsar el empleo, la infraestructura industrial y la transferencia tecnológica en el país.</w:t>
      </w:r>
      <w:r w:rsidR="00F7193D">
        <w:rPr>
          <w:rFonts w:asciiTheme="majorHAnsi" w:eastAsia="Calibri" w:hAnsiTheme="majorHAnsi" w:cstheme="majorHAnsi"/>
          <w:sz w:val="22"/>
          <w:szCs w:val="22"/>
        </w:rPr>
        <w:t xml:space="preserve"> </w:t>
      </w:r>
      <w:r w:rsidRPr="0012332C">
        <w:rPr>
          <w:rFonts w:asciiTheme="majorHAnsi" w:eastAsia="Calibri" w:hAnsiTheme="majorHAnsi" w:cstheme="majorHAnsi"/>
          <w:sz w:val="22"/>
          <w:szCs w:val="22"/>
        </w:rPr>
        <w:t>Durante 2024, se ejecutaron acciones clave para fortalecer la refinación nacional, entre ellas:</w:t>
      </w:r>
    </w:p>
    <w:p w14:paraId="3C1135E5" w14:textId="4C369211" w:rsidR="00102E95" w:rsidRDefault="00102E95" w:rsidP="001A18BA">
      <w:pPr>
        <w:pStyle w:val="Prrafodelista"/>
        <w:widowControl w:val="0"/>
        <w:numPr>
          <w:ilvl w:val="0"/>
          <w:numId w:val="68"/>
        </w:numPr>
        <w:tabs>
          <w:tab w:val="left" w:pos="2138"/>
        </w:tabs>
        <w:autoSpaceDE w:val="0"/>
        <w:autoSpaceDN w:val="0"/>
        <w:spacing w:before="2"/>
        <w:ind w:right="424"/>
        <w:rPr>
          <w:rFonts w:ascii="Calibri Light" w:hAnsi="Calibri Light" w:cs="Calibri Light"/>
          <w:sz w:val="22"/>
          <w:szCs w:val="22"/>
        </w:rPr>
      </w:pPr>
      <w:r w:rsidRPr="00A51E6E">
        <w:rPr>
          <w:rFonts w:ascii="Calibri Light" w:hAnsi="Calibri Light" w:cs="Calibri Light"/>
          <w:sz w:val="22"/>
          <w:szCs w:val="22"/>
        </w:rPr>
        <w:t>Seguimiento operativo a la carga de crudo en refinerías y plantas de gas, conforme a planificación de EP Petroecuador.</w:t>
      </w:r>
    </w:p>
    <w:p w14:paraId="648E6F43" w14:textId="77777777" w:rsidR="00F7193D" w:rsidRPr="00F7193D" w:rsidRDefault="00F7193D" w:rsidP="00F7193D">
      <w:pPr>
        <w:pStyle w:val="Prrafodelista"/>
        <w:widowControl w:val="0"/>
        <w:tabs>
          <w:tab w:val="left" w:pos="2138"/>
        </w:tabs>
        <w:autoSpaceDE w:val="0"/>
        <w:autoSpaceDN w:val="0"/>
        <w:spacing w:before="2"/>
        <w:ind w:right="424"/>
        <w:rPr>
          <w:rFonts w:ascii="Calibri Light" w:hAnsi="Calibri Light" w:cs="Calibri Light"/>
          <w:sz w:val="22"/>
          <w:szCs w:val="22"/>
        </w:rPr>
      </w:pPr>
    </w:p>
    <w:p w14:paraId="5AC0CBDC" w14:textId="653A59A0" w:rsidR="00157648" w:rsidRPr="00157648" w:rsidRDefault="00102E95" w:rsidP="00157648">
      <w:pPr>
        <w:pStyle w:val="Tablas"/>
        <w:spacing w:after="0"/>
        <w:rPr>
          <w:rFonts w:asciiTheme="majorHAnsi" w:hAnsiTheme="majorHAnsi" w:cstheme="majorHAnsi"/>
          <w:spacing w:val="-4"/>
        </w:rPr>
      </w:pPr>
      <w:bookmarkStart w:id="99" w:name="_Toc197334701"/>
      <w:bookmarkStart w:id="100" w:name="_Toc199757553"/>
      <w:r w:rsidRPr="00157648">
        <w:rPr>
          <w:rFonts w:asciiTheme="majorHAnsi" w:hAnsiTheme="majorHAnsi" w:cstheme="majorHAnsi"/>
        </w:rPr>
        <w:t xml:space="preserve">Figura </w:t>
      </w:r>
      <w:r w:rsidR="002026B0">
        <w:rPr>
          <w:rFonts w:asciiTheme="majorHAnsi" w:hAnsiTheme="majorHAnsi" w:cstheme="majorHAnsi"/>
        </w:rPr>
        <w:fldChar w:fldCharType="begin"/>
      </w:r>
      <w:r w:rsidR="002026B0">
        <w:rPr>
          <w:rFonts w:asciiTheme="majorHAnsi" w:hAnsiTheme="majorHAnsi" w:cstheme="majorHAnsi"/>
        </w:rPr>
        <w:instrText xml:space="preserve"> SEQ Figura \* ARABIC </w:instrText>
      </w:r>
      <w:r w:rsidR="002026B0">
        <w:rPr>
          <w:rFonts w:asciiTheme="majorHAnsi" w:hAnsiTheme="majorHAnsi" w:cstheme="majorHAnsi"/>
        </w:rPr>
        <w:fldChar w:fldCharType="separate"/>
      </w:r>
      <w:r w:rsidR="001E01AE">
        <w:rPr>
          <w:rFonts w:asciiTheme="majorHAnsi" w:hAnsiTheme="majorHAnsi" w:cstheme="majorHAnsi"/>
          <w:noProof/>
        </w:rPr>
        <w:t>10</w:t>
      </w:r>
      <w:r w:rsidR="002026B0">
        <w:rPr>
          <w:rFonts w:asciiTheme="majorHAnsi" w:hAnsiTheme="majorHAnsi" w:cstheme="majorHAnsi"/>
        </w:rPr>
        <w:fldChar w:fldCharType="end"/>
      </w:r>
      <w:r w:rsidRPr="00157648">
        <w:rPr>
          <w:rFonts w:asciiTheme="majorHAnsi" w:hAnsiTheme="majorHAnsi" w:cstheme="majorHAnsi"/>
        </w:rPr>
        <w:t>: Cargas</w:t>
      </w:r>
      <w:r w:rsidRPr="00157648">
        <w:rPr>
          <w:rFonts w:asciiTheme="majorHAnsi" w:hAnsiTheme="majorHAnsi" w:cstheme="majorHAnsi"/>
          <w:spacing w:val="-4"/>
        </w:rPr>
        <w:t xml:space="preserve"> </w:t>
      </w:r>
      <w:r w:rsidRPr="00157648">
        <w:rPr>
          <w:rFonts w:asciiTheme="majorHAnsi" w:hAnsiTheme="majorHAnsi" w:cstheme="majorHAnsi"/>
        </w:rPr>
        <w:t>a</w:t>
      </w:r>
      <w:r w:rsidRPr="00157648">
        <w:rPr>
          <w:rFonts w:asciiTheme="majorHAnsi" w:hAnsiTheme="majorHAnsi" w:cstheme="majorHAnsi"/>
          <w:spacing w:val="-6"/>
        </w:rPr>
        <w:t xml:space="preserve"> </w:t>
      </w:r>
      <w:r w:rsidRPr="00157648">
        <w:rPr>
          <w:rFonts w:asciiTheme="majorHAnsi" w:hAnsiTheme="majorHAnsi" w:cstheme="majorHAnsi"/>
        </w:rPr>
        <w:t>refinerías</w:t>
      </w:r>
      <w:r w:rsidRPr="00157648">
        <w:rPr>
          <w:rFonts w:asciiTheme="majorHAnsi" w:hAnsiTheme="majorHAnsi" w:cstheme="majorHAnsi"/>
          <w:spacing w:val="-4"/>
        </w:rPr>
        <w:t xml:space="preserve"> 202</w:t>
      </w:r>
      <w:bookmarkEnd w:id="99"/>
      <w:r w:rsidR="00157648" w:rsidRPr="00157648">
        <w:rPr>
          <w:rFonts w:asciiTheme="majorHAnsi" w:hAnsiTheme="majorHAnsi" w:cstheme="majorHAnsi"/>
          <w:spacing w:val="-4"/>
        </w:rPr>
        <w:t>4</w:t>
      </w:r>
      <w:bookmarkEnd w:id="100"/>
    </w:p>
    <w:p w14:paraId="733558BC" w14:textId="2A6789C4" w:rsidR="00102E95" w:rsidRPr="00157648" w:rsidRDefault="00102E95" w:rsidP="00157648">
      <w:pPr>
        <w:pStyle w:val="Tablas"/>
        <w:spacing w:after="0"/>
        <w:rPr>
          <w:spacing w:val="-4"/>
        </w:rPr>
      </w:pPr>
      <w:r w:rsidRPr="00157648">
        <w:rPr>
          <w:rFonts w:asciiTheme="majorHAnsi" w:hAnsiTheme="majorHAnsi" w:cstheme="majorHAnsi"/>
          <w:i w:val="0"/>
          <w:noProof/>
          <w:sz w:val="11"/>
        </w:rPr>
        <w:lastRenderedPageBreak/>
        <w:drawing>
          <wp:inline distT="0" distB="0" distL="0" distR="0" wp14:anchorId="265D6029" wp14:editId="062076FB">
            <wp:extent cx="2891195" cy="1764826"/>
            <wp:effectExtent l="0" t="0" r="4445"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0111" cy="1788581"/>
                    </a:xfrm>
                    <a:prstGeom prst="rect">
                      <a:avLst/>
                    </a:prstGeom>
                    <a:noFill/>
                    <a:ln>
                      <a:noFill/>
                    </a:ln>
                  </pic:spPr>
                </pic:pic>
              </a:graphicData>
            </a:graphic>
          </wp:inline>
        </w:drawing>
      </w:r>
    </w:p>
    <w:p w14:paraId="1C27F450" w14:textId="6235FBB7" w:rsidR="001A18BA" w:rsidRDefault="00102E95" w:rsidP="00F7193D">
      <w:pPr>
        <w:jc w:val="center"/>
        <w:rPr>
          <w:rFonts w:asciiTheme="majorHAnsi" w:hAnsiTheme="majorHAnsi" w:cstheme="majorHAnsi"/>
          <w:i/>
          <w:color w:val="7F7F7F"/>
          <w:sz w:val="18"/>
          <w:szCs w:val="18"/>
        </w:rPr>
      </w:pPr>
      <w:r w:rsidRPr="00157648">
        <w:rPr>
          <w:rFonts w:asciiTheme="majorHAnsi" w:hAnsiTheme="majorHAnsi" w:cstheme="majorHAnsi"/>
          <w:i/>
          <w:color w:val="7F7F7F"/>
          <w:sz w:val="18"/>
          <w:szCs w:val="18"/>
        </w:rPr>
        <w:t>Fuente: Dirección de Análisis de Información Estratégica de Hidrocarburos DAIEH</w:t>
      </w:r>
    </w:p>
    <w:p w14:paraId="4C0696F6" w14:textId="77777777" w:rsidR="00F7193D" w:rsidRPr="00F7193D" w:rsidRDefault="00F7193D" w:rsidP="00F7193D">
      <w:pPr>
        <w:jc w:val="center"/>
        <w:rPr>
          <w:rFonts w:asciiTheme="majorHAnsi" w:hAnsiTheme="majorHAnsi" w:cstheme="majorHAnsi"/>
          <w:i/>
          <w:color w:val="7F7F7F"/>
          <w:sz w:val="18"/>
          <w:szCs w:val="18"/>
        </w:rPr>
      </w:pPr>
    </w:p>
    <w:p w14:paraId="6C752AE8" w14:textId="455C814B" w:rsidR="00102E95" w:rsidRPr="000A1AE7" w:rsidRDefault="00157648" w:rsidP="00157648">
      <w:pPr>
        <w:pStyle w:val="Tablas"/>
        <w:spacing w:after="0"/>
        <w:jc w:val="left"/>
        <w:rPr>
          <w:rFonts w:asciiTheme="majorHAnsi" w:hAnsiTheme="majorHAnsi" w:cstheme="majorHAnsi"/>
        </w:rPr>
      </w:pPr>
      <w:r>
        <w:rPr>
          <w:spacing w:val="-5"/>
        </w:rPr>
        <w:t xml:space="preserve">                                                                </w:t>
      </w:r>
      <w:r w:rsidR="00102E95">
        <w:rPr>
          <w:spacing w:val="-5"/>
        </w:rPr>
        <w:t xml:space="preserve"> </w:t>
      </w:r>
      <w:bookmarkStart w:id="101" w:name="_Toc197334702"/>
      <w:bookmarkStart w:id="102" w:name="_Toc199757554"/>
      <w:r w:rsidR="00102E95" w:rsidRPr="000A1AE7">
        <w:rPr>
          <w:rFonts w:asciiTheme="majorHAnsi" w:hAnsiTheme="majorHAnsi" w:cstheme="majorHAnsi"/>
        </w:rPr>
        <w:t xml:space="preserve">Figura </w:t>
      </w:r>
      <w:r w:rsidR="002026B0" w:rsidRPr="000A1AE7">
        <w:rPr>
          <w:rFonts w:asciiTheme="majorHAnsi" w:hAnsiTheme="majorHAnsi" w:cstheme="majorHAnsi"/>
        </w:rPr>
        <w:fldChar w:fldCharType="begin"/>
      </w:r>
      <w:r w:rsidR="002026B0" w:rsidRPr="000A1AE7">
        <w:rPr>
          <w:rFonts w:asciiTheme="majorHAnsi" w:hAnsiTheme="majorHAnsi" w:cstheme="majorHAnsi"/>
        </w:rPr>
        <w:instrText xml:space="preserve"> SEQ Figura \* ARABIC </w:instrText>
      </w:r>
      <w:r w:rsidR="002026B0" w:rsidRPr="000A1AE7">
        <w:rPr>
          <w:rFonts w:asciiTheme="majorHAnsi" w:hAnsiTheme="majorHAnsi" w:cstheme="majorHAnsi"/>
        </w:rPr>
        <w:fldChar w:fldCharType="separate"/>
      </w:r>
      <w:r w:rsidR="001E01AE">
        <w:rPr>
          <w:rFonts w:asciiTheme="majorHAnsi" w:hAnsiTheme="majorHAnsi" w:cstheme="majorHAnsi"/>
          <w:noProof/>
        </w:rPr>
        <w:t>11</w:t>
      </w:r>
      <w:r w:rsidR="002026B0" w:rsidRPr="000A1AE7">
        <w:rPr>
          <w:rFonts w:asciiTheme="majorHAnsi" w:hAnsiTheme="majorHAnsi" w:cstheme="majorHAnsi"/>
        </w:rPr>
        <w:fldChar w:fldCharType="end"/>
      </w:r>
      <w:r w:rsidR="00102E95" w:rsidRPr="000A1AE7">
        <w:rPr>
          <w:rFonts w:asciiTheme="majorHAnsi" w:hAnsiTheme="majorHAnsi" w:cstheme="majorHAnsi"/>
        </w:rPr>
        <w:t>: Cargas</w:t>
      </w:r>
      <w:r w:rsidR="00102E95" w:rsidRPr="000A1AE7">
        <w:rPr>
          <w:rFonts w:asciiTheme="majorHAnsi" w:hAnsiTheme="majorHAnsi" w:cstheme="majorHAnsi"/>
          <w:spacing w:val="-4"/>
        </w:rPr>
        <w:t xml:space="preserve"> </w:t>
      </w:r>
      <w:r w:rsidR="00102E95" w:rsidRPr="000A1AE7">
        <w:rPr>
          <w:rFonts w:asciiTheme="majorHAnsi" w:hAnsiTheme="majorHAnsi" w:cstheme="majorHAnsi"/>
          <w:spacing w:val="-3"/>
        </w:rPr>
        <w:t>a</w:t>
      </w:r>
      <w:r w:rsidR="00102E95" w:rsidRPr="000A1AE7">
        <w:rPr>
          <w:rFonts w:asciiTheme="majorHAnsi" w:hAnsiTheme="majorHAnsi" w:cstheme="majorHAnsi"/>
          <w:spacing w:val="-6"/>
        </w:rPr>
        <w:t xml:space="preserve"> </w:t>
      </w:r>
      <w:r w:rsidR="00102E95" w:rsidRPr="000A1AE7">
        <w:rPr>
          <w:rFonts w:asciiTheme="majorHAnsi" w:hAnsiTheme="majorHAnsi" w:cstheme="majorHAnsi"/>
        </w:rPr>
        <w:t>plantas</w:t>
      </w:r>
      <w:r w:rsidR="00102E95" w:rsidRPr="000A1AE7">
        <w:rPr>
          <w:rFonts w:asciiTheme="majorHAnsi" w:hAnsiTheme="majorHAnsi" w:cstheme="majorHAnsi"/>
          <w:spacing w:val="-5"/>
        </w:rPr>
        <w:t xml:space="preserve"> </w:t>
      </w:r>
      <w:r w:rsidR="00102E95" w:rsidRPr="000A1AE7">
        <w:rPr>
          <w:rFonts w:asciiTheme="majorHAnsi" w:hAnsiTheme="majorHAnsi" w:cstheme="majorHAnsi"/>
        </w:rPr>
        <w:t>de</w:t>
      </w:r>
      <w:r w:rsidR="00102E95" w:rsidRPr="000A1AE7">
        <w:rPr>
          <w:rFonts w:asciiTheme="majorHAnsi" w:hAnsiTheme="majorHAnsi" w:cstheme="majorHAnsi"/>
          <w:spacing w:val="-3"/>
        </w:rPr>
        <w:t xml:space="preserve"> </w:t>
      </w:r>
      <w:r w:rsidR="00102E95" w:rsidRPr="000A1AE7">
        <w:rPr>
          <w:rFonts w:asciiTheme="majorHAnsi" w:hAnsiTheme="majorHAnsi" w:cstheme="majorHAnsi"/>
        </w:rPr>
        <w:t>gas</w:t>
      </w:r>
      <w:r w:rsidR="00102E95" w:rsidRPr="000A1AE7">
        <w:rPr>
          <w:rFonts w:asciiTheme="majorHAnsi" w:hAnsiTheme="majorHAnsi" w:cstheme="majorHAnsi"/>
          <w:spacing w:val="-5"/>
        </w:rPr>
        <w:t xml:space="preserve"> </w:t>
      </w:r>
      <w:r w:rsidR="00102E95" w:rsidRPr="000A1AE7">
        <w:rPr>
          <w:rFonts w:asciiTheme="majorHAnsi" w:hAnsiTheme="majorHAnsi" w:cstheme="majorHAnsi"/>
          <w:spacing w:val="-4"/>
        </w:rPr>
        <w:t>2024</w:t>
      </w:r>
      <w:bookmarkEnd w:id="101"/>
      <w:bookmarkEnd w:id="102"/>
    </w:p>
    <w:p w14:paraId="2534BF23" w14:textId="77777777" w:rsidR="00157648" w:rsidRDefault="00102E95" w:rsidP="00157648">
      <w:pPr>
        <w:pStyle w:val="Textoindependiente"/>
        <w:jc w:val="center"/>
        <w:rPr>
          <w:i/>
          <w:sz w:val="12"/>
        </w:rPr>
      </w:pPr>
      <w:r w:rsidRPr="00B14D90">
        <w:rPr>
          <w:rFonts w:asciiTheme="majorHAnsi" w:hAnsiTheme="majorHAnsi" w:cstheme="majorHAnsi"/>
          <w:i/>
          <w:noProof/>
          <w:sz w:val="12"/>
        </w:rPr>
        <w:drawing>
          <wp:inline distT="0" distB="0" distL="0" distR="0" wp14:anchorId="673ED6CA" wp14:editId="45A8AA3C">
            <wp:extent cx="3150187" cy="165827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1675" cy="1680113"/>
                    </a:xfrm>
                    <a:prstGeom prst="rect">
                      <a:avLst/>
                    </a:prstGeom>
                    <a:noFill/>
                    <a:ln>
                      <a:noFill/>
                    </a:ln>
                  </pic:spPr>
                </pic:pic>
              </a:graphicData>
            </a:graphic>
          </wp:inline>
        </w:drawing>
      </w:r>
    </w:p>
    <w:p w14:paraId="3ECE1CEE" w14:textId="474F5C6B" w:rsidR="00B14D90" w:rsidRDefault="00102E95" w:rsidP="001A18BA">
      <w:pPr>
        <w:pStyle w:val="Textoindependiente"/>
        <w:jc w:val="center"/>
        <w:rPr>
          <w:rFonts w:asciiTheme="majorHAnsi" w:eastAsia="Calibri" w:hAnsiTheme="majorHAnsi" w:cstheme="majorHAnsi"/>
          <w:i/>
          <w:color w:val="7F7F7F"/>
          <w:sz w:val="18"/>
          <w:szCs w:val="18"/>
        </w:rPr>
      </w:pPr>
      <w:r w:rsidRPr="00B14D90">
        <w:rPr>
          <w:rFonts w:asciiTheme="majorHAnsi" w:eastAsia="Calibri" w:hAnsiTheme="majorHAnsi" w:cstheme="majorHAnsi"/>
          <w:i/>
          <w:color w:val="7F7F7F"/>
          <w:sz w:val="18"/>
          <w:szCs w:val="18"/>
        </w:rPr>
        <w:t>Fuente: Dirección de Análisis de Información Estratégica de Hidrocarburos DAIEH</w:t>
      </w:r>
    </w:p>
    <w:p w14:paraId="4A99511C" w14:textId="77777777" w:rsidR="00F7193D" w:rsidRPr="001A18BA" w:rsidRDefault="00F7193D" w:rsidP="001A18BA">
      <w:pPr>
        <w:pStyle w:val="Textoindependiente"/>
        <w:jc w:val="center"/>
        <w:rPr>
          <w:rFonts w:asciiTheme="majorHAnsi" w:hAnsiTheme="majorHAnsi" w:cstheme="majorHAnsi"/>
          <w:i/>
          <w:sz w:val="12"/>
        </w:rPr>
      </w:pPr>
    </w:p>
    <w:p w14:paraId="308F0154" w14:textId="77777777" w:rsidR="00102E95" w:rsidRPr="00BE7EA2" w:rsidRDefault="00102E95" w:rsidP="00102E95">
      <w:pPr>
        <w:pStyle w:val="Prrafodelista"/>
        <w:widowControl w:val="0"/>
        <w:numPr>
          <w:ilvl w:val="0"/>
          <w:numId w:val="68"/>
        </w:numPr>
        <w:tabs>
          <w:tab w:val="left" w:pos="2138"/>
        </w:tabs>
        <w:autoSpaceDE w:val="0"/>
        <w:autoSpaceDN w:val="0"/>
        <w:spacing w:before="243" w:line="255" w:lineRule="exact"/>
        <w:jc w:val="both"/>
        <w:rPr>
          <w:rFonts w:ascii="Calibri Light" w:hAnsi="Calibri Light" w:cs="Calibri Light"/>
          <w:sz w:val="22"/>
        </w:rPr>
      </w:pPr>
      <w:r w:rsidRPr="00BE7EA2">
        <w:rPr>
          <w:rFonts w:ascii="Calibri Light" w:hAnsi="Calibri Light" w:cs="Calibri Light"/>
          <w:sz w:val="22"/>
        </w:rPr>
        <w:t>Control de calidad de derivados bajo normas NTE INEN, generando alertas de desviaciones.</w:t>
      </w:r>
    </w:p>
    <w:p w14:paraId="7932C9D4" w14:textId="77777777" w:rsidR="00102E95" w:rsidRPr="00BE7EA2" w:rsidRDefault="00102E95" w:rsidP="00102E95">
      <w:pPr>
        <w:pStyle w:val="Prrafodelista"/>
        <w:widowControl w:val="0"/>
        <w:numPr>
          <w:ilvl w:val="0"/>
          <w:numId w:val="68"/>
        </w:numPr>
        <w:tabs>
          <w:tab w:val="left" w:pos="2138"/>
        </w:tabs>
        <w:autoSpaceDE w:val="0"/>
        <w:autoSpaceDN w:val="0"/>
        <w:ind w:right="428"/>
        <w:jc w:val="both"/>
        <w:rPr>
          <w:rFonts w:ascii="Calibri Light" w:hAnsi="Calibri Light" w:cs="Calibri Light"/>
          <w:sz w:val="22"/>
        </w:rPr>
      </w:pPr>
      <w:r w:rsidRPr="00BE7EA2">
        <w:rPr>
          <w:rFonts w:ascii="Calibri Light" w:hAnsi="Calibri Light" w:cs="Calibri Light"/>
          <w:sz w:val="22"/>
        </w:rPr>
        <w:t>Elaboración de informes técnicos sobre paros programados y emergentes, alineados al Plan Quinquenal 2025–2029.</w:t>
      </w:r>
    </w:p>
    <w:p w14:paraId="2C75D3CF" w14:textId="77777777" w:rsidR="00102E95" w:rsidRPr="00BE7EA2" w:rsidRDefault="00102E95" w:rsidP="00102E95">
      <w:pPr>
        <w:pStyle w:val="Prrafodelista"/>
        <w:widowControl w:val="0"/>
        <w:numPr>
          <w:ilvl w:val="0"/>
          <w:numId w:val="68"/>
        </w:numPr>
        <w:tabs>
          <w:tab w:val="left" w:pos="2138"/>
        </w:tabs>
        <w:autoSpaceDE w:val="0"/>
        <w:autoSpaceDN w:val="0"/>
        <w:ind w:right="425"/>
        <w:jc w:val="both"/>
        <w:rPr>
          <w:rFonts w:ascii="Calibri Light" w:hAnsi="Calibri Light" w:cs="Calibri Light"/>
          <w:sz w:val="22"/>
        </w:rPr>
      </w:pPr>
      <w:r w:rsidRPr="00BE7EA2">
        <w:rPr>
          <w:rFonts w:ascii="Calibri Light" w:hAnsi="Calibri Light" w:cs="Calibri Light"/>
          <w:sz w:val="22"/>
        </w:rPr>
        <w:t>Soporte al Proyecto de Modernización de Refinería Esmeraldas mediante revisiones técnicas y seguimiento de cronogramas.</w:t>
      </w:r>
    </w:p>
    <w:p w14:paraId="3F4B878A" w14:textId="77777777" w:rsidR="00102E95" w:rsidRPr="00BE7EA2" w:rsidRDefault="00102E95" w:rsidP="00102E95">
      <w:pPr>
        <w:pStyle w:val="Prrafodelista"/>
        <w:widowControl w:val="0"/>
        <w:numPr>
          <w:ilvl w:val="0"/>
          <w:numId w:val="68"/>
        </w:numPr>
        <w:tabs>
          <w:tab w:val="left" w:pos="2138"/>
        </w:tabs>
        <w:autoSpaceDE w:val="0"/>
        <w:autoSpaceDN w:val="0"/>
        <w:ind w:right="426"/>
        <w:jc w:val="both"/>
        <w:rPr>
          <w:rFonts w:ascii="Calibri Light" w:hAnsi="Calibri Light" w:cs="Calibri Light"/>
          <w:sz w:val="22"/>
        </w:rPr>
      </w:pPr>
      <w:r w:rsidRPr="00BE7EA2">
        <w:rPr>
          <w:rFonts w:ascii="Calibri Light" w:hAnsi="Calibri Light" w:cs="Calibri Light"/>
          <w:sz w:val="22"/>
        </w:rPr>
        <w:t>Articulación interinstitucional para reportes de cargas, almacenamiento, producción y demanda nacional.</w:t>
      </w:r>
    </w:p>
    <w:p w14:paraId="4BFB067E" w14:textId="67866E35" w:rsidR="00102E95" w:rsidRDefault="00102E95" w:rsidP="00102E95">
      <w:pPr>
        <w:jc w:val="both"/>
        <w:rPr>
          <w:rFonts w:ascii="Calibri Light" w:hAnsi="Calibri Light" w:cs="Calibri Light"/>
          <w:sz w:val="22"/>
        </w:rPr>
      </w:pPr>
    </w:p>
    <w:p w14:paraId="7834E5F0" w14:textId="2AEF9905" w:rsidR="00102E95" w:rsidRPr="00067DE4" w:rsidRDefault="00091EF4" w:rsidP="00067DE4">
      <w:pPr>
        <w:pStyle w:val="Ttulo4"/>
        <w:rPr>
          <w:rStyle w:val="Ttulo4Car"/>
          <w:sz w:val="22"/>
          <w:szCs w:val="22"/>
        </w:rPr>
      </w:pPr>
      <w:r w:rsidRPr="00067DE4">
        <w:rPr>
          <w:noProof/>
          <w:sz w:val="22"/>
          <w:szCs w:val="22"/>
        </w:rPr>
        <w:drawing>
          <wp:anchor distT="0" distB="0" distL="0" distR="0" simplePos="0" relativeHeight="251665408" behindDoc="1" locked="0" layoutInCell="1" allowOverlap="1" wp14:anchorId="5C835B2A" wp14:editId="44CE1AB9">
            <wp:simplePos x="0" y="0"/>
            <wp:positionH relativeFrom="margin">
              <wp:align>left</wp:align>
            </wp:positionH>
            <wp:positionV relativeFrom="paragraph">
              <wp:posOffset>595880</wp:posOffset>
            </wp:positionV>
            <wp:extent cx="5493385" cy="1910080"/>
            <wp:effectExtent l="0" t="0" r="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3385"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DE4">
        <w:rPr>
          <w:noProof/>
          <w:sz w:val="22"/>
          <w:szCs w:val="22"/>
        </w:rPr>
        <mc:AlternateContent>
          <mc:Choice Requires="wps">
            <w:drawing>
              <wp:anchor distT="0" distB="0" distL="114300" distR="114300" simplePos="0" relativeHeight="251686912" behindDoc="0" locked="0" layoutInCell="1" allowOverlap="1" wp14:anchorId="2487979C" wp14:editId="6E38A7D4">
                <wp:simplePos x="0" y="0"/>
                <wp:positionH relativeFrom="margin">
                  <wp:align>left</wp:align>
                </wp:positionH>
                <wp:positionV relativeFrom="paragraph">
                  <wp:posOffset>341630</wp:posOffset>
                </wp:positionV>
                <wp:extent cx="5493385" cy="242570"/>
                <wp:effectExtent l="0" t="0" r="0" b="5080"/>
                <wp:wrapTopAndBottom/>
                <wp:docPr id="1421088716" name="Cuadro de texto 1421088716"/>
                <wp:cNvGraphicFramePr/>
                <a:graphic xmlns:a="http://schemas.openxmlformats.org/drawingml/2006/main">
                  <a:graphicData uri="http://schemas.microsoft.com/office/word/2010/wordprocessingShape">
                    <wps:wsp>
                      <wps:cNvSpPr txBox="1"/>
                      <wps:spPr>
                        <a:xfrm>
                          <a:off x="0" y="0"/>
                          <a:ext cx="5493385" cy="243068"/>
                        </a:xfrm>
                        <a:prstGeom prst="rect">
                          <a:avLst/>
                        </a:prstGeom>
                        <a:solidFill>
                          <a:prstClr val="white"/>
                        </a:solidFill>
                        <a:ln>
                          <a:noFill/>
                        </a:ln>
                      </wps:spPr>
                      <wps:txbx>
                        <w:txbxContent>
                          <w:p w14:paraId="6DA45A03" w14:textId="4A1644E5" w:rsidR="00941411" w:rsidRPr="00D56429" w:rsidRDefault="00941411" w:rsidP="00091EF4">
                            <w:pPr>
                              <w:pStyle w:val="Descripcin"/>
                              <w:rPr>
                                <w:rFonts w:asciiTheme="majorHAnsi" w:eastAsia="Calibri" w:hAnsiTheme="majorHAnsi" w:cs="Times New Roman"/>
                                <w:noProof/>
                                <w:color w:val="44546A"/>
                              </w:rPr>
                            </w:pPr>
                            <w:bookmarkStart w:id="103" w:name="_Toc199757555"/>
                            <w:r w:rsidRPr="00D56429">
                              <w:rPr>
                                <w:rFonts w:asciiTheme="majorHAnsi" w:hAnsiTheme="majorHAnsi"/>
                              </w:rPr>
                              <w:t xml:space="preserve">Figura </w:t>
                            </w:r>
                            <w:r w:rsidRPr="00D56429">
                              <w:rPr>
                                <w:rFonts w:asciiTheme="majorHAnsi" w:hAnsiTheme="majorHAnsi"/>
                              </w:rPr>
                              <w:fldChar w:fldCharType="begin"/>
                            </w:r>
                            <w:r w:rsidRPr="00D56429">
                              <w:rPr>
                                <w:rFonts w:asciiTheme="majorHAnsi" w:hAnsiTheme="majorHAnsi"/>
                              </w:rPr>
                              <w:instrText xml:space="preserve"> SEQ Figura \* ARABIC </w:instrText>
                            </w:r>
                            <w:r w:rsidRPr="00D56429">
                              <w:rPr>
                                <w:rFonts w:asciiTheme="majorHAnsi" w:hAnsiTheme="majorHAnsi"/>
                              </w:rPr>
                              <w:fldChar w:fldCharType="separate"/>
                            </w:r>
                            <w:r>
                              <w:rPr>
                                <w:rFonts w:asciiTheme="majorHAnsi" w:hAnsiTheme="majorHAnsi"/>
                                <w:noProof/>
                              </w:rPr>
                              <w:t>12</w:t>
                            </w:r>
                            <w:r w:rsidRPr="00D56429">
                              <w:rPr>
                                <w:rFonts w:asciiTheme="majorHAnsi" w:hAnsiTheme="majorHAnsi"/>
                              </w:rPr>
                              <w:fldChar w:fldCharType="end"/>
                            </w:r>
                            <w:r>
                              <w:rPr>
                                <w:rFonts w:asciiTheme="majorHAnsi" w:hAnsiTheme="majorHAnsi"/>
                              </w:rPr>
                              <w:t xml:space="preserve">: </w:t>
                            </w:r>
                            <w:r w:rsidRPr="00D56429">
                              <w:rPr>
                                <w:rFonts w:asciiTheme="majorHAnsi" w:hAnsiTheme="majorHAnsi"/>
                              </w:rPr>
                              <w:t xml:space="preserve">Balanza Comercial </w:t>
                            </w:r>
                            <w:proofErr w:type="spellStart"/>
                            <w:r w:rsidRPr="00D56429">
                              <w:rPr>
                                <w:rFonts w:asciiTheme="majorHAnsi" w:hAnsiTheme="majorHAnsi"/>
                              </w:rPr>
                              <w:t>Hidrocarburífera</w:t>
                            </w:r>
                            <w:proofErr w:type="spellEnd"/>
                            <w:r w:rsidRPr="00D56429">
                              <w:rPr>
                                <w:rFonts w:asciiTheme="majorHAnsi" w:hAnsiTheme="majorHAnsi"/>
                              </w:rPr>
                              <w:t>, período 2024</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87979C" id="Cuadro de texto 1421088716" o:spid="_x0000_s1033" type="#_x0000_t202" style="position:absolute;margin-left:0;margin-top:26.9pt;width:432.55pt;height:19.1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" stroked="f">
                <v:textbox inset="0,0,0,0">
                  <w:txbxContent>
                    <w:p w14:paraId="6DA45A03" w14:textId="4A1644E5" w:rsidR="00941411" w:rsidRPr="00D56429" w:rsidRDefault="00941411" w:rsidP="00091EF4">
                      <w:pPr>
                        <w:pStyle w:val="Descripcin"/>
                        <w:rPr>
                          <w:rFonts w:asciiTheme="majorHAnsi" w:eastAsia="Calibri" w:hAnsiTheme="majorHAnsi" w:cs="Times New Roman"/>
                          <w:noProof/>
                          <w:color w:val="44546A"/>
                        </w:rPr>
                      </w:pPr>
                      <w:bookmarkStart w:id="104" w:name="_Toc199757555"/>
                      <w:r w:rsidRPr="00D56429">
                        <w:rPr>
                          <w:rFonts w:asciiTheme="majorHAnsi" w:hAnsiTheme="majorHAnsi"/>
                        </w:rPr>
                        <w:t xml:space="preserve">Figura </w:t>
                      </w:r>
                      <w:r w:rsidRPr="00D56429">
                        <w:rPr>
                          <w:rFonts w:asciiTheme="majorHAnsi" w:hAnsiTheme="majorHAnsi"/>
                        </w:rPr>
                        <w:fldChar w:fldCharType="begin"/>
                      </w:r>
                      <w:r w:rsidRPr="00D56429">
                        <w:rPr>
                          <w:rFonts w:asciiTheme="majorHAnsi" w:hAnsiTheme="majorHAnsi"/>
                        </w:rPr>
                        <w:instrText xml:space="preserve"> SEQ Figura \* ARABIC </w:instrText>
                      </w:r>
                      <w:r w:rsidRPr="00D56429">
                        <w:rPr>
                          <w:rFonts w:asciiTheme="majorHAnsi" w:hAnsiTheme="majorHAnsi"/>
                        </w:rPr>
                        <w:fldChar w:fldCharType="separate"/>
                      </w:r>
                      <w:r>
                        <w:rPr>
                          <w:rFonts w:asciiTheme="majorHAnsi" w:hAnsiTheme="majorHAnsi"/>
                          <w:noProof/>
                        </w:rPr>
                        <w:t>12</w:t>
                      </w:r>
                      <w:r w:rsidRPr="00D56429">
                        <w:rPr>
                          <w:rFonts w:asciiTheme="majorHAnsi" w:hAnsiTheme="majorHAnsi"/>
                        </w:rPr>
                        <w:fldChar w:fldCharType="end"/>
                      </w:r>
                      <w:r>
                        <w:rPr>
                          <w:rFonts w:asciiTheme="majorHAnsi" w:hAnsiTheme="majorHAnsi"/>
                        </w:rPr>
                        <w:t xml:space="preserve">: </w:t>
                      </w:r>
                      <w:r w:rsidRPr="00D56429">
                        <w:rPr>
                          <w:rFonts w:asciiTheme="majorHAnsi" w:hAnsiTheme="majorHAnsi"/>
                        </w:rPr>
                        <w:t xml:space="preserve">Balanza Comercial </w:t>
                      </w:r>
                      <w:proofErr w:type="spellStart"/>
                      <w:r w:rsidRPr="00D56429">
                        <w:rPr>
                          <w:rFonts w:asciiTheme="majorHAnsi" w:hAnsiTheme="majorHAnsi"/>
                        </w:rPr>
                        <w:t>Hidrocarburífera</w:t>
                      </w:r>
                      <w:proofErr w:type="spellEnd"/>
                      <w:r w:rsidRPr="00D56429">
                        <w:rPr>
                          <w:rFonts w:asciiTheme="majorHAnsi" w:hAnsiTheme="majorHAnsi"/>
                        </w:rPr>
                        <w:t>, período 2024</w:t>
                      </w:r>
                      <w:bookmarkEnd w:id="104"/>
                    </w:p>
                  </w:txbxContent>
                </v:textbox>
                <w10:wrap type="topAndBottom" anchorx="margin"/>
              </v:shape>
            </w:pict>
          </mc:Fallback>
        </mc:AlternateContent>
      </w:r>
      <w:r w:rsidR="00102E95" w:rsidRPr="00067DE4">
        <w:rPr>
          <w:sz w:val="22"/>
          <w:szCs w:val="22"/>
        </w:rPr>
        <w:t xml:space="preserve">Transporte </w:t>
      </w:r>
      <w:r w:rsidR="00102E95" w:rsidRPr="00067DE4">
        <w:rPr>
          <w:rStyle w:val="Ttulo4Car"/>
          <w:sz w:val="22"/>
          <w:szCs w:val="22"/>
        </w:rPr>
        <w:t>de crudo por Oleoductos (SOTE Y OCP)</w:t>
      </w:r>
    </w:p>
    <w:p w14:paraId="712263AE" w14:textId="53C0EA76" w:rsidR="00102E95" w:rsidRPr="000A1AE7" w:rsidRDefault="00102E95" w:rsidP="000A1AE7">
      <w:pPr>
        <w:pStyle w:val="Tablas"/>
        <w:jc w:val="left"/>
      </w:pPr>
      <w:bookmarkStart w:id="105" w:name="_bookmark5"/>
      <w:bookmarkEnd w:id="105"/>
    </w:p>
    <w:p w14:paraId="2A86AD72" w14:textId="0BB8BA05" w:rsidR="00067DE4" w:rsidRPr="00F7193D" w:rsidRDefault="00102E95" w:rsidP="00102E95">
      <w:pPr>
        <w:pStyle w:val="Textoindependiente"/>
        <w:spacing w:before="241"/>
        <w:ind w:right="426"/>
        <w:jc w:val="both"/>
        <w:rPr>
          <w:rFonts w:asciiTheme="majorHAnsi" w:eastAsia="Calibri" w:hAnsiTheme="majorHAnsi" w:cstheme="majorHAnsi"/>
          <w:sz w:val="22"/>
        </w:rPr>
      </w:pPr>
      <w:r w:rsidRPr="0012332C">
        <w:rPr>
          <w:rFonts w:asciiTheme="majorHAnsi" w:eastAsia="Calibri" w:hAnsiTheme="majorHAnsi" w:cstheme="majorHAnsi"/>
          <w:sz w:val="22"/>
        </w:rPr>
        <w:lastRenderedPageBreak/>
        <w:t>El transporte de Crudo por Oleoductos en el año 2024 por el SOTE y OCP fue en total 172.240.943 barriles, siendo 103.955.015 barriles transportados por SOTE y 68.285.929 barriles por OCP.</w:t>
      </w:r>
    </w:p>
    <w:p w14:paraId="684AB3B3" w14:textId="48C50FDB" w:rsidR="00102E95" w:rsidRDefault="00091EF4" w:rsidP="00067DE4">
      <w:pPr>
        <w:pStyle w:val="Ttulo4"/>
        <w:rPr>
          <w:rStyle w:val="Ttulo3Car"/>
          <w:i w:val="0"/>
          <w:sz w:val="22"/>
          <w:szCs w:val="22"/>
        </w:rPr>
      </w:pPr>
      <w:bookmarkStart w:id="106" w:name="1.2.2.Transporte_de_derivados_de_petróle"/>
      <w:bookmarkStart w:id="107" w:name="_Toc197334660"/>
      <w:bookmarkEnd w:id="106"/>
      <w:r w:rsidRPr="00067DE4">
        <w:rPr>
          <w:rFonts w:cstheme="majorHAnsi"/>
          <w:i w:val="0"/>
          <w:noProof/>
          <w:sz w:val="22"/>
          <w:szCs w:val="22"/>
        </w:rPr>
        <w:drawing>
          <wp:anchor distT="0" distB="0" distL="0" distR="0" simplePos="0" relativeHeight="251666432" behindDoc="1" locked="0" layoutInCell="1" allowOverlap="1" wp14:anchorId="364D3F30" wp14:editId="2905C193">
            <wp:simplePos x="0" y="0"/>
            <wp:positionH relativeFrom="margin">
              <wp:align>left</wp:align>
            </wp:positionH>
            <wp:positionV relativeFrom="paragraph">
              <wp:posOffset>613458</wp:posOffset>
            </wp:positionV>
            <wp:extent cx="5466080" cy="1495425"/>
            <wp:effectExtent l="0" t="0" r="1270" b="9525"/>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608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07"/>
      <w:r w:rsidRPr="00067DE4">
        <w:rPr>
          <w:i w:val="0"/>
          <w:noProof/>
          <w:sz w:val="22"/>
          <w:szCs w:val="22"/>
        </w:rPr>
        <mc:AlternateContent>
          <mc:Choice Requires="wps">
            <w:drawing>
              <wp:anchor distT="0" distB="0" distL="114300" distR="114300" simplePos="0" relativeHeight="251688960" behindDoc="0" locked="0" layoutInCell="1" allowOverlap="1" wp14:anchorId="21FC1A00" wp14:editId="212DAF4D">
                <wp:simplePos x="0" y="0"/>
                <wp:positionH relativeFrom="column">
                  <wp:posOffset>-3810</wp:posOffset>
                </wp:positionH>
                <wp:positionV relativeFrom="paragraph">
                  <wp:posOffset>311785</wp:posOffset>
                </wp:positionV>
                <wp:extent cx="5466080" cy="335280"/>
                <wp:effectExtent l="0" t="0" r="1270" b="7620"/>
                <wp:wrapTopAndBottom/>
                <wp:docPr id="1421088717" name="Cuadro de texto 1421088717"/>
                <wp:cNvGraphicFramePr/>
                <a:graphic xmlns:a="http://schemas.openxmlformats.org/drawingml/2006/main">
                  <a:graphicData uri="http://schemas.microsoft.com/office/word/2010/wordprocessingShape">
                    <wps:wsp>
                      <wps:cNvSpPr txBox="1"/>
                      <wps:spPr>
                        <a:xfrm>
                          <a:off x="0" y="0"/>
                          <a:ext cx="5466080" cy="335280"/>
                        </a:xfrm>
                        <a:prstGeom prst="rect">
                          <a:avLst/>
                        </a:prstGeom>
                        <a:solidFill>
                          <a:prstClr val="white"/>
                        </a:solidFill>
                        <a:ln>
                          <a:noFill/>
                        </a:ln>
                      </wps:spPr>
                      <wps:txbx>
                        <w:txbxContent>
                          <w:p w14:paraId="0B6ECF47" w14:textId="7F00AFF6" w:rsidR="00941411" w:rsidRPr="00D56429" w:rsidRDefault="00941411" w:rsidP="00091EF4">
                            <w:pPr>
                              <w:pStyle w:val="Descripcin"/>
                              <w:rPr>
                                <w:rFonts w:asciiTheme="majorHAnsi" w:eastAsia="Calibri" w:hAnsiTheme="majorHAnsi" w:cstheme="majorHAnsi"/>
                                <w:noProof/>
                                <w:color w:val="44546A"/>
                              </w:rPr>
                            </w:pPr>
                            <w:bookmarkStart w:id="108" w:name="_Toc199757556"/>
                            <w:r w:rsidRPr="00D56429">
                              <w:rPr>
                                <w:rFonts w:asciiTheme="majorHAnsi" w:hAnsiTheme="majorHAnsi"/>
                              </w:rPr>
                              <w:t xml:space="preserve">Figura </w:t>
                            </w:r>
                            <w:r w:rsidRPr="00D56429">
                              <w:rPr>
                                <w:rFonts w:asciiTheme="majorHAnsi" w:hAnsiTheme="majorHAnsi"/>
                              </w:rPr>
                              <w:fldChar w:fldCharType="begin"/>
                            </w:r>
                            <w:r w:rsidRPr="00D56429">
                              <w:rPr>
                                <w:rFonts w:asciiTheme="majorHAnsi" w:hAnsiTheme="majorHAnsi"/>
                              </w:rPr>
                              <w:instrText xml:space="preserve"> SEQ Figura \* ARABIC </w:instrText>
                            </w:r>
                            <w:r w:rsidRPr="00D56429">
                              <w:rPr>
                                <w:rFonts w:asciiTheme="majorHAnsi" w:hAnsiTheme="majorHAnsi"/>
                              </w:rPr>
                              <w:fldChar w:fldCharType="separate"/>
                            </w:r>
                            <w:r>
                              <w:rPr>
                                <w:rFonts w:asciiTheme="majorHAnsi" w:hAnsiTheme="majorHAnsi"/>
                                <w:noProof/>
                              </w:rPr>
                              <w:t>13</w:t>
                            </w:r>
                            <w:r w:rsidRPr="00D56429">
                              <w:rPr>
                                <w:rFonts w:asciiTheme="majorHAnsi" w:hAnsiTheme="majorHAnsi"/>
                              </w:rPr>
                              <w:fldChar w:fldCharType="end"/>
                            </w:r>
                            <w:r>
                              <w:rPr>
                                <w:rFonts w:asciiTheme="majorHAnsi" w:hAnsiTheme="majorHAnsi"/>
                              </w:rPr>
                              <w:t xml:space="preserve">: </w:t>
                            </w:r>
                            <w:r w:rsidRPr="00D56429">
                              <w:rPr>
                                <w:rFonts w:asciiTheme="majorHAnsi" w:hAnsiTheme="majorHAnsi"/>
                              </w:rPr>
                              <w:t>Transporte de derivados de petróleo por poliductos</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C1A00" id="Cuadro de texto 1421088717" o:spid="_x0000_s1034" type="#_x0000_t202" style="position:absolute;margin-left:-.3pt;margin-top:24.55pt;width:430.4pt;height:26.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" stroked="f">
                <v:textbox inset="0,0,0,0">
                  <w:txbxContent>
                    <w:p w14:paraId="0B6ECF47" w14:textId="7F00AFF6" w:rsidR="00941411" w:rsidRPr="00D56429" w:rsidRDefault="00941411" w:rsidP="00091EF4">
                      <w:pPr>
                        <w:pStyle w:val="Descripcin"/>
                        <w:rPr>
                          <w:rFonts w:asciiTheme="majorHAnsi" w:eastAsia="Calibri" w:hAnsiTheme="majorHAnsi" w:cstheme="majorHAnsi"/>
                          <w:noProof/>
                          <w:color w:val="44546A"/>
                        </w:rPr>
                      </w:pPr>
                      <w:bookmarkStart w:id="109" w:name="_Toc199757556"/>
                      <w:r w:rsidRPr="00D56429">
                        <w:rPr>
                          <w:rFonts w:asciiTheme="majorHAnsi" w:hAnsiTheme="majorHAnsi"/>
                        </w:rPr>
                        <w:t xml:space="preserve">Figura </w:t>
                      </w:r>
                      <w:r w:rsidRPr="00D56429">
                        <w:rPr>
                          <w:rFonts w:asciiTheme="majorHAnsi" w:hAnsiTheme="majorHAnsi"/>
                        </w:rPr>
                        <w:fldChar w:fldCharType="begin"/>
                      </w:r>
                      <w:r w:rsidRPr="00D56429">
                        <w:rPr>
                          <w:rFonts w:asciiTheme="majorHAnsi" w:hAnsiTheme="majorHAnsi"/>
                        </w:rPr>
                        <w:instrText xml:space="preserve"> SEQ Figura \* ARABIC </w:instrText>
                      </w:r>
                      <w:r w:rsidRPr="00D56429">
                        <w:rPr>
                          <w:rFonts w:asciiTheme="majorHAnsi" w:hAnsiTheme="majorHAnsi"/>
                        </w:rPr>
                        <w:fldChar w:fldCharType="separate"/>
                      </w:r>
                      <w:r>
                        <w:rPr>
                          <w:rFonts w:asciiTheme="majorHAnsi" w:hAnsiTheme="majorHAnsi"/>
                          <w:noProof/>
                        </w:rPr>
                        <w:t>13</w:t>
                      </w:r>
                      <w:r w:rsidRPr="00D56429">
                        <w:rPr>
                          <w:rFonts w:asciiTheme="majorHAnsi" w:hAnsiTheme="majorHAnsi"/>
                        </w:rPr>
                        <w:fldChar w:fldCharType="end"/>
                      </w:r>
                      <w:r>
                        <w:rPr>
                          <w:rFonts w:asciiTheme="majorHAnsi" w:hAnsiTheme="majorHAnsi"/>
                        </w:rPr>
                        <w:t xml:space="preserve">: </w:t>
                      </w:r>
                      <w:r w:rsidRPr="00D56429">
                        <w:rPr>
                          <w:rFonts w:asciiTheme="majorHAnsi" w:hAnsiTheme="majorHAnsi"/>
                        </w:rPr>
                        <w:t>Transporte de derivados de petróleo por poliductos</w:t>
                      </w:r>
                      <w:bookmarkEnd w:id="109"/>
                    </w:p>
                  </w:txbxContent>
                </v:textbox>
                <w10:wrap type="topAndBottom"/>
              </v:shape>
            </w:pict>
          </mc:Fallback>
        </mc:AlternateContent>
      </w:r>
      <w:r w:rsidR="00102E95" w:rsidRPr="00067DE4">
        <w:rPr>
          <w:i w:val="0"/>
          <w:sz w:val="22"/>
          <w:szCs w:val="22"/>
        </w:rPr>
        <w:t>Trans</w:t>
      </w:r>
      <w:r w:rsidR="00102E95" w:rsidRPr="00067DE4">
        <w:rPr>
          <w:rStyle w:val="Ttulo3Car"/>
          <w:i w:val="0"/>
          <w:sz w:val="22"/>
          <w:szCs w:val="22"/>
        </w:rPr>
        <w:t xml:space="preserve">porte de derivados de petróleo por </w:t>
      </w:r>
      <w:r w:rsidR="00E23641" w:rsidRPr="00067DE4">
        <w:rPr>
          <w:rStyle w:val="Ttulo3Car"/>
          <w:i w:val="0"/>
          <w:sz w:val="22"/>
          <w:szCs w:val="22"/>
        </w:rPr>
        <w:t>P</w:t>
      </w:r>
      <w:r w:rsidR="00102E95" w:rsidRPr="00067DE4">
        <w:rPr>
          <w:rStyle w:val="Ttulo3Car"/>
          <w:i w:val="0"/>
          <w:sz w:val="22"/>
          <w:szCs w:val="22"/>
        </w:rPr>
        <w:t>oliductos</w:t>
      </w:r>
    </w:p>
    <w:p w14:paraId="4AFE2DAF" w14:textId="77777777" w:rsidR="00067DE4" w:rsidRPr="00067DE4" w:rsidRDefault="00067DE4" w:rsidP="00067DE4"/>
    <w:p w14:paraId="6946EFDB" w14:textId="3313891A" w:rsidR="00102E95" w:rsidRPr="00091EF4" w:rsidRDefault="00102E95" w:rsidP="00091EF4">
      <w:pPr>
        <w:pStyle w:val="Tablas"/>
        <w:jc w:val="left"/>
        <w:rPr>
          <w:rFonts w:asciiTheme="majorHAnsi" w:hAnsiTheme="majorHAnsi" w:cstheme="majorHAnsi"/>
        </w:rPr>
      </w:pPr>
      <w:bookmarkStart w:id="110" w:name="_bookmark6"/>
      <w:bookmarkEnd w:id="110"/>
      <w:r w:rsidRPr="00091EF4">
        <w:rPr>
          <w:rFonts w:asciiTheme="majorHAnsi" w:hAnsiTheme="majorHAnsi" w:cstheme="majorHAnsi"/>
          <w:color w:val="7E7E7E"/>
          <w:sz w:val="16"/>
          <w:szCs w:val="16"/>
        </w:rPr>
        <w:t>F</w:t>
      </w:r>
      <w:r w:rsidRPr="00091EF4">
        <w:rPr>
          <w:rFonts w:asciiTheme="majorHAnsi" w:hAnsiTheme="majorHAnsi" w:cstheme="majorHAnsi"/>
          <w:color w:val="7E7E7E"/>
        </w:rPr>
        <w:t>uente:</w:t>
      </w:r>
      <w:r w:rsidRPr="00091EF4">
        <w:rPr>
          <w:rFonts w:asciiTheme="majorHAnsi" w:hAnsiTheme="majorHAnsi" w:cstheme="majorHAnsi"/>
          <w:color w:val="7E7E7E"/>
          <w:spacing w:val="-8"/>
        </w:rPr>
        <w:t xml:space="preserve"> </w:t>
      </w:r>
      <w:r w:rsidRPr="00091EF4">
        <w:rPr>
          <w:rFonts w:asciiTheme="majorHAnsi" w:hAnsiTheme="majorHAnsi" w:cstheme="majorHAnsi"/>
          <w:color w:val="7E7E7E"/>
        </w:rPr>
        <w:t>WEB</w:t>
      </w:r>
      <w:r w:rsidRPr="00091EF4">
        <w:rPr>
          <w:rFonts w:asciiTheme="majorHAnsi" w:hAnsiTheme="majorHAnsi" w:cstheme="majorHAnsi"/>
          <w:color w:val="7E7E7E"/>
          <w:spacing w:val="-7"/>
        </w:rPr>
        <w:t xml:space="preserve"> </w:t>
      </w:r>
      <w:r w:rsidRPr="00091EF4">
        <w:rPr>
          <w:rFonts w:asciiTheme="majorHAnsi" w:hAnsiTheme="majorHAnsi" w:cstheme="majorHAnsi"/>
          <w:color w:val="7E7E7E"/>
        </w:rPr>
        <w:t>EP</w:t>
      </w:r>
      <w:r w:rsidRPr="00091EF4">
        <w:rPr>
          <w:rFonts w:asciiTheme="majorHAnsi" w:hAnsiTheme="majorHAnsi" w:cstheme="majorHAnsi"/>
          <w:color w:val="7E7E7E"/>
          <w:spacing w:val="-11"/>
        </w:rPr>
        <w:t xml:space="preserve"> </w:t>
      </w:r>
      <w:r w:rsidRPr="00091EF4">
        <w:rPr>
          <w:rFonts w:asciiTheme="majorHAnsi" w:hAnsiTheme="majorHAnsi" w:cstheme="majorHAnsi"/>
          <w:color w:val="7E7E7E"/>
        </w:rPr>
        <w:t>PETROECUADOR,</w:t>
      </w:r>
      <w:r w:rsidRPr="00091EF4">
        <w:rPr>
          <w:rFonts w:asciiTheme="majorHAnsi" w:hAnsiTheme="majorHAnsi" w:cstheme="majorHAnsi"/>
          <w:color w:val="7E7E7E"/>
          <w:spacing w:val="-4"/>
        </w:rPr>
        <w:t xml:space="preserve"> </w:t>
      </w:r>
      <w:r w:rsidRPr="00091EF4">
        <w:rPr>
          <w:rFonts w:asciiTheme="majorHAnsi" w:hAnsiTheme="majorHAnsi" w:cstheme="majorHAnsi"/>
          <w:color w:val="7E7E7E"/>
        </w:rPr>
        <w:t>Estadístico</w:t>
      </w:r>
      <w:r w:rsidRPr="00091EF4">
        <w:rPr>
          <w:rFonts w:asciiTheme="majorHAnsi" w:hAnsiTheme="majorHAnsi" w:cstheme="majorHAnsi"/>
          <w:color w:val="7E7E7E"/>
          <w:spacing w:val="-7"/>
        </w:rPr>
        <w:t xml:space="preserve"> </w:t>
      </w:r>
      <w:r w:rsidRPr="00091EF4">
        <w:rPr>
          <w:rFonts w:asciiTheme="majorHAnsi" w:hAnsiTheme="majorHAnsi" w:cstheme="majorHAnsi"/>
          <w:color w:val="7E7E7E"/>
        </w:rPr>
        <w:t>transporte</w:t>
      </w:r>
      <w:r w:rsidRPr="00091EF4">
        <w:rPr>
          <w:rFonts w:asciiTheme="majorHAnsi" w:hAnsiTheme="majorHAnsi" w:cstheme="majorHAnsi"/>
          <w:color w:val="7E7E7E"/>
          <w:spacing w:val="-7"/>
        </w:rPr>
        <w:t xml:space="preserve"> </w:t>
      </w:r>
      <w:r w:rsidRPr="00091EF4">
        <w:rPr>
          <w:rFonts w:asciiTheme="majorHAnsi" w:hAnsiTheme="majorHAnsi" w:cstheme="majorHAnsi"/>
          <w:color w:val="7E7E7E"/>
        </w:rPr>
        <w:t>de</w:t>
      </w:r>
      <w:r w:rsidRPr="00091EF4">
        <w:rPr>
          <w:rFonts w:asciiTheme="majorHAnsi" w:hAnsiTheme="majorHAnsi" w:cstheme="majorHAnsi"/>
          <w:color w:val="7E7E7E"/>
          <w:spacing w:val="-7"/>
        </w:rPr>
        <w:t xml:space="preserve"> </w:t>
      </w:r>
      <w:r w:rsidRPr="00091EF4">
        <w:rPr>
          <w:rFonts w:asciiTheme="majorHAnsi" w:hAnsiTheme="majorHAnsi" w:cstheme="majorHAnsi"/>
          <w:color w:val="7E7E7E"/>
        </w:rPr>
        <w:t>derivados,</w:t>
      </w:r>
      <w:r w:rsidRPr="00091EF4">
        <w:rPr>
          <w:rFonts w:asciiTheme="majorHAnsi" w:hAnsiTheme="majorHAnsi" w:cstheme="majorHAnsi"/>
          <w:color w:val="7E7E7E"/>
          <w:spacing w:val="-8"/>
        </w:rPr>
        <w:t xml:space="preserve"> </w:t>
      </w:r>
      <w:r w:rsidRPr="00091EF4">
        <w:rPr>
          <w:rFonts w:asciiTheme="majorHAnsi" w:hAnsiTheme="majorHAnsi" w:cstheme="majorHAnsi"/>
          <w:color w:val="7E7E7E"/>
        </w:rPr>
        <w:t>Pestaña</w:t>
      </w:r>
      <w:r w:rsidRPr="00091EF4">
        <w:rPr>
          <w:rFonts w:asciiTheme="majorHAnsi" w:hAnsiTheme="majorHAnsi" w:cstheme="majorHAnsi"/>
          <w:color w:val="7E7E7E"/>
          <w:spacing w:val="-8"/>
        </w:rPr>
        <w:t xml:space="preserve"> </w:t>
      </w:r>
      <w:r w:rsidRPr="00091EF4">
        <w:rPr>
          <w:rFonts w:asciiTheme="majorHAnsi" w:hAnsiTheme="majorHAnsi" w:cstheme="majorHAnsi"/>
          <w:color w:val="7E7E7E"/>
          <w:spacing w:val="-5"/>
        </w:rPr>
        <w:t>13.</w:t>
      </w:r>
    </w:p>
    <w:p w14:paraId="1FA92223" w14:textId="5731ED2A" w:rsidR="00102E95" w:rsidRPr="00F7193D" w:rsidRDefault="00102E95" w:rsidP="00F7193D">
      <w:pPr>
        <w:pStyle w:val="Textoindependiente"/>
        <w:spacing w:before="238"/>
        <w:rPr>
          <w:rFonts w:asciiTheme="majorHAnsi" w:eastAsia="Calibri" w:hAnsiTheme="majorHAnsi" w:cstheme="majorHAnsi"/>
          <w:sz w:val="22"/>
        </w:rPr>
      </w:pPr>
      <w:r w:rsidRPr="0012332C">
        <w:rPr>
          <w:rFonts w:asciiTheme="majorHAnsi" w:eastAsia="Calibri" w:hAnsiTheme="majorHAnsi" w:cstheme="majorHAnsi"/>
          <w:sz w:val="22"/>
        </w:rPr>
        <w:t>El transporte de derivados de hidrocarburos por la red nacional de poliductos durante el año 2024 fue de 99.658.033 barriles.</w:t>
      </w:r>
    </w:p>
    <w:p w14:paraId="368F4C0B" w14:textId="77777777" w:rsidR="00102E95" w:rsidRPr="00067DE4" w:rsidRDefault="00102E95" w:rsidP="00067DE4">
      <w:pPr>
        <w:pStyle w:val="Ttulo4"/>
        <w:rPr>
          <w:i w:val="0"/>
          <w:sz w:val="22"/>
          <w:szCs w:val="22"/>
        </w:rPr>
      </w:pPr>
      <w:r w:rsidRPr="00067DE4">
        <w:rPr>
          <w:i w:val="0"/>
          <w:sz w:val="22"/>
          <w:szCs w:val="22"/>
        </w:rPr>
        <w:t>El Estado asume la administración del Oleoducto de Crudos Pesados OCP</w:t>
      </w:r>
    </w:p>
    <w:p w14:paraId="326505BC" w14:textId="77777777" w:rsidR="00102E95" w:rsidRPr="0012332C" w:rsidRDefault="00102E95" w:rsidP="00102E95">
      <w:pPr>
        <w:pStyle w:val="Textoindependiente"/>
        <w:spacing w:before="239"/>
        <w:ind w:right="424"/>
        <w:jc w:val="both"/>
        <w:rPr>
          <w:rFonts w:asciiTheme="majorHAnsi" w:eastAsia="Calibri" w:hAnsiTheme="majorHAnsi" w:cstheme="majorHAnsi"/>
          <w:sz w:val="22"/>
        </w:rPr>
      </w:pPr>
      <w:r w:rsidRPr="0012332C">
        <w:rPr>
          <w:rFonts w:asciiTheme="majorHAnsi" w:eastAsia="Calibri" w:hAnsiTheme="majorHAnsi" w:cstheme="majorHAnsi"/>
          <w:sz w:val="22"/>
        </w:rPr>
        <w:t>El Estado Ecuatoriano asumió la administración del Oleoducto de Crudos Pesados (OCP), tras 20 años de administración privada, el proceso de transición culminó con éxito el 30 de noviembre de 2024, el Ministerio de Energía y Minas asumió la operación del Oleoducto de Crudos Pesados (OCP), a partir del 1 de diciembre de 2024.</w:t>
      </w:r>
    </w:p>
    <w:p w14:paraId="08BE39C8" w14:textId="18E14DDF" w:rsidR="00E23641" w:rsidRDefault="00102E95" w:rsidP="00102E95">
      <w:pPr>
        <w:pStyle w:val="Textoindependiente"/>
        <w:spacing w:before="238"/>
        <w:jc w:val="both"/>
        <w:rPr>
          <w:rFonts w:asciiTheme="majorHAnsi" w:eastAsia="Calibri" w:hAnsiTheme="majorHAnsi" w:cstheme="majorHAnsi"/>
          <w:sz w:val="22"/>
        </w:rPr>
      </w:pPr>
      <w:r w:rsidRPr="0012332C">
        <w:rPr>
          <w:rFonts w:asciiTheme="majorHAnsi" w:eastAsia="Calibri" w:hAnsiTheme="majorHAnsi" w:cstheme="majorHAnsi"/>
          <w:sz w:val="22"/>
        </w:rPr>
        <w:t>La actual administración, se encuentra trabajando en la elaboración de los Términos de Referencia, para el lanzamiento de una licitación internacional, con el fin de seleccionar una empresa que se encargará de la operación, el mantenimiento y realizar las inversiones necesarias para la construcción de una variante del oleoducto en la zona afectada por la erosión del Río Quijos, se estima que el proceso licitatorio sea lanzado en el primer semestre del 2025.</w:t>
      </w:r>
    </w:p>
    <w:p w14:paraId="167530AB" w14:textId="77777777" w:rsidR="00067DE4" w:rsidRPr="00FE7273" w:rsidRDefault="00067DE4" w:rsidP="00102E95">
      <w:pPr>
        <w:pStyle w:val="Textoindependiente"/>
        <w:spacing w:before="238"/>
        <w:jc w:val="both"/>
        <w:rPr>
          <w:rFonts w:asciiTheme="majorHAnsi" w:eastAsia="Calibri" w:hAnsiTheme="majorHAnsi" w:cstheme="majorHAnsi"/>
          <w:sz w:val="22"/>
        </w:rPr>
      </w:pPr>
    </w:p>
    <w:p w14:paraId="07747633" w14:textId="77777777" w:rsidR="00102E95" w:rsidRPr="00067DE4" w:rsidRDefault="00102E95" w:rsidP="00067DE4">
      <w:pPr>
        <w:pStyle w:val="Ttulo4"/>
        <w:rPr>
          <w:rFonts w:eastAsia="Times New Roman"/>
          <w:i w:val="0"/>
          <w:sz w:val="22"/>
          <w:szCs w:val="22"/>
        </w:rPr>
      </w:pPr>
      <w:r w:rsidRPr="00067DE4">
        <w:rPr>
          <w:rFonts w:eastAsia="Times New Roman"/>
          <w:i w:val="0"/>
          <w:sz w:val="22"/>
          <w:szCs w:val="22"/>
        </w:rPr>
        <w:t>Gestión de Comercio Internacional</w:t>
      </w:r>
    </w:p>
    <w:p w14:paraId="19E749F0" w14:textId="77777777" w:rsidR="00102E95" w:rsidRPr="00A51E6E" w:rsidRDefault="00102E95" w:rsidP="00102E95">
      <w:pPr>
        <w:pStyle w:val="Prrafodelista"/>
        <w:widowControl w:val="0"/>
        <w:tabs>
          <w:tab w:val="left" w:pos="2138"/>
        </w:tabs>
        <w:autoSpaceDE w:val="0"/>
        <w:autoSpaceDN w:val="0"/>
        <w:rPr>
          <w:rFonts w:ascii="Calibri Light" w:eastAsia="Times New Roman" w:hAnsi="Calibri Light"/>
          <w:i/>
          <w:iCs/>
          <w:color w:val="2F5496"/>
        </w:rPr>
      </w:pPr>
    </w:p>
    <w:p w14:paraId="590C33A2" w14:textId="77777777" w:rsidR="00102E95" w:rsidRPr="003A5515" w:rsidRDefault="00102E95" w:rsidP="003A5515">
      <w:pPr>
        <w:widowControl w:val="0"/>
        <w:tabs>
          <w:tab w:val="left" w:pos="2138"/>
        </w:tabs>
        <w:autoSpaceDE w:val="0"/>
        <w:autoSpaceDN w:val="0"/>
        <w:jc w:val="both"/>
        <w:rPr>
          <w:rFonts w:ascii="Calibri Light" w:hAnsi="Calibri Light" w:cs="Calibri Light"/>
          <w:sz w:val="22"/>
        </w:rPr>
      </w:pPr>
      <w:r w:rsidRPr="003A5515">
        <w:rPr>
          <w:rFonts w:ascii="Calibri Light" w:hAnsi="Calibri Light" w:cs="Calibri Light"/>
          <w:sz w:val="22"/>
        </w:rPr>
        <w:t>Para el presente informe se ha considerado la información de la EP Petroecuador establecida en el Estadístico - diciembre 2024 conforme al siguientes detalles:</w:t>
      </w:r>
    </w:p>
    <w:p w14:paraId="4425B793" w14:textId="77777777" w:rsidR="00102E95" w:rsidRDefault="00102E95" w:rsidP="00102E95">
      <w:pPr>
        <w:pStyle w:val="Prrafodelista"/>
        <w:widowControl w:val="0"/>
        <w:tabs>
          <w:tab w:val="left" w:pos="2138"/>
        </w:tabs>
        <w:autoSpaceDE w:val="0"/>
        <w:autoSpaceDN w:val="0"/>
        <w:jc w:val="both"/>
        <w:rPr>
          <w:rFonts w:ascii="Calibri Light" w:hAnsi="Calibri Light" w:cs="Calibri Light"/>
          <w:sz w:val="22"/>
        </w:rPr>
      </w:pPr>
    </w:p>
    <w:p w14:paraId="089194AC" w14:textId="02F41629" w:rsidR="00102E95" w:rsidRPr="00067DE4" w:rsidRDefault="00102E95" w:rsidP="00067DE4">
      <w:pPr>
        <w:pStyle w:val="Ttulo4"/>
        <w:rPr>
          <w:i w:val="0"/>
          <w:spacing w:val="-2"/>
          <w:sz w:val="22"/>
          <w:szCs w:val="22"/>
        </w:rPr>
      </w:pPr>
      <w:r w:rsidRPr="00067DE4">
        <w:rPr>
          <w:i w:val="0"/>
          <w:sz w:val="22"/>
          <w:szCs w:val="22"/>
        </w:rPr>
        <w:t>Importaciones</w:t>
      </w:r>
      <w:r w:rsidRPr="00067DE4">
        <w:rPr>
          <w:i w:val="0"/>
          <w:spacing w:val="-4"/>
          <w:sz w:val="22"/>
          <w:szCs w:val="22"/>
        </w:rPr>
        <w:t xml:space="preserve"> </w:t>
      </w:r>
      <w:r w:rsidRPr="00067DE4">
        <w:rPr>
          <w:i w:val="0"/>
          <w:sz w:val="22"/>
          <w:szCs w:val="22"/>
        </w:rPr>
        <w:t>de</w:t>
      </w:r>
      <w:r w:rsidRPr="00067DE4">
        <w:rPr>
          <w:i w:val="0"/>
          <w:spacing w:val="-1"/>
          <w:sz w:val="22"/>
          <w:szCs w:val="22"/>
        </w:rPr>
        <w:t xml:space="preserve"> </w:t>
      </w:r>
      <w:r w:rsidRPr="00067DE4">
        <w:rPr>
          <w:i w:val="0"/>
          <w:sz w:val="22"/>
          <w:szCs w:val="22"/>
        </w:rPr>
        <w:t>derivados</w:t>
      </w:r>
      <w:r w:rsidRPr="00067DE4">
        <w:rPr>
          <w:i w:val="0"/>
          <w:spacing w:val="-3"/>
          <w:sz w:val="22"/>
          <w:szCs w:val="22"/>
        </w:rPr>
        <w:t xml:space="preserve"> </w:t>
      </w:r>
      <w:r w:rsidRPr="00067DE4">
        <w:rPr>
          <w:i w:val="0"/>
          <w:sz w:val="22"/>
          <w:szCs w:val="22"/>
        </w:rPr>
        <w:t>de</w:t>
      </w:r>
      <w:r w:rsidRPr="00067DE4">
        <w:rPr>
          <w:i w:val="0"/>
          <w:spacing w:val="-3"/>
          <w:sz w:val="22"/>
          <w:szCs w:val="22"/>
        </w:rPr>
        <w:t xml:space="preserve"> </w:t>
      </w:r>
      <w:r w:rsidRPr="00067DE4">
        <w:rPr>
          <w:i w:val="0"/>
          <w:spacing w:val="-2"/>
          <w:sz w:val="22"/>
          <w:szCs w:val="22"/>
        </w:rPr>
        <w:t>hidrocarburos</w:t>
      </w:r>
    </w:p>
    <w:p w14:paraId="6902CD14" w14:textId="77777777" w:rsidR="001A18BA" w:rsidRPr="001A18BA" w:rsidRDefault="001A18BA" w:rsidP="001A18BA"/>
    <w:p w14:paraId="67EF77A8" w14:textId="5F30504A" w:rsidR="00102E95" w:rsidRPr="00067DE4" w:rsidRDefault="00102E95" w:rsidP="00067DE4">
      <w:pPr>
        <w:pStyle w:val="Textoindependiente"/>
        <w:ind w:right="424"/>
        <w:jc w:val="both"/>
        <w:rPr>
          <w:rFonts w:eastAsia="Calibri"/>
          <w:sz w:val="22"/>
        </w:rPr>
      </w:pPr>
      <w:r w:rsidRPr="0012332C">
        <w:rPr>
          <w:rFonts w:asciiTheme="majorHAnsi" w:eastAsia="Calibri" w:hAnsiTheme="majorHAnsi" w:cstheme="majorHAnsi"/>
          <w:sz w:val="22"/>
        </w:rPr>
        <w:t>Las importaciones de derivados de hidrocarburos son ejecutadas por la EP Petroecuador conforme lo establece la Ley Orgánica de Empresas Públicas, y de conformidad a la política pública establecida mediante el Directorio de la EP Petroecuador, mismos que para el periodo del año 2024 se detalla a continuación</w:t>
      </w:r>
      <w:r w:rsidRPr="00A51E6E">
        <w:rPr>
          <w:rFonts w:eastAsia="Calibri"/>
          <w:sz w:val="22"/>
        </w:rPr>
        <w:t>:</w:t>
      </w:r>
    </w:p>
    <w:p w14:paraId="55D2759E" w14:textId="77777777" w:rsidR="00091EF4" w:rsidRDefault="00091EF4" w:rsidP="00091EF4">
      <w:pPr>
        <w:widowControl w:val="0"/>
        <w:tabs>
          <w:tab w:val="left" w:pos="2138"/>
        </w:tabs>
        <w:autoSpaceDE w:val="0"/>
        <w:autoSpaceDN w:val="0"/>
        <w:jc w:val="both"/>
        <w:rPr>
          <w:rFonts w:asciiTheme="majorHAnsi" w:hAnsiTheme="majorHAnsi" w:cstheme="majorHAnsi"/>
          <w:i/>
          <w:color w:val="7E7E7E"/>
          <w:sz w:val="18"/>
          <w:szCs w:val="18"/>
        </w:rPr>
      </w:pPr>
      <w:r>
        <w:rPr>
          <w:noProof/>
        </w:rPr>
        <w:lastRenderedPageBreak/>
        <w:drawing>
          <wp:anchor distT="0" distB="0" distL="0" distR="0" simplePos="0" relativeHeight="251668480" behindDoc="1" locked="0" layoutInCell="1" allowOverlap="1" wp14:anchorId="4C7DE19D" wp14:editId="3B43AA4F">
            <wp:simplePos x="0" y="0"/>
            <wp:positionH relativeFrom="margin">
              <wp:posOffset>2578164</wp:posOffset>
            </wp:positionH>
            <wp:positionV relativeFrom="paragraph">
              <wp:posOffset>609584</wp:posOffset>
            </wp:positionV>
            <wp:extent cx="2573020" cy="1704975"/>
            <wp:effectExtent l="0" t="0" r="0" b="9525"/>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302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7456" behindDoc="1" locked="0" layoutInCell="1" allowOverlap="1" wp14:anchorId="14452153" wp14:editId="5773A854">
            <wp:simplePos x="0" y="0"/>
            <wp:positionH relativeFrom="page">
              <wp:posOffset>1142727</wp:posOffset>
            </wp:positionH>
            <wp:positionV relativeFrom="paragraph">
              <wp:posOffset>581845</wp:posOffset>
            </wp:positionV>
            <wp:extent cx="2314575" cy="1733550"/>
            <wp:effectExtent l="0" t="0" r="9525"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008" behindDoc="0" locked="0" layoutInCell="1" allowOverlap="1" wp14:anchorId="3FF44FA4" wp14:editId="49F6D865">
                <wp:simplePos x="0" y="0"/>
                <wp:positionH relativeFrom="column">
                  <wp:posOffset>30480</wp:posOffset>
                </wp:positionH>
                <wp:positionV relativeFrom="paragraph">
                  <wp:posOffset>106045</wp:posOffset>
                </wp:positionV>
                <wp:extent cx="5254625" cy="457200"/>
                <wp:effectExtent l="0" t="0" r="3175" b="0"/>
                <wp:wrapTopAndBottom/>
                <wp:docPr id="1421088718" name="Cuadro de texto 1421088718"/>
                <wp:cNvGraphicFramePr/>
                <a:graphic xmlns:a="http://schemas.openxmlformats.org/drawingml/2006/main">
                  <a:graphicData uri="http://schemas.microsoft.com/office/word/2010/wordprocessingShape">
                    <wps:wsp>
                      <wps:cNvSpPr txBox="1"/>
                      <wps:spPr>
                        <a:xfrm>
                          <a:off x="0" y="0"/>
                          <a:ext cx="5254625" cy="457200"/>
                        </a:xfrm>
                        <a:prstGeom prst="rect">
                          <a:avLst/>
                        </a:prstGeom>
                        <a:solidFill>
                          <a:prstClr val="white"/>
                        </a:solidFill>
                        <a:ln>
                          <a:noFill/>
                        </a:ln>
                      </wps:spPr>
                      <wps:txbx>
                        <w:txbxContent>
                          <w:p w14:paraId="240F3F9A" w14:textId="23BD64CE" w:rsidR="00941411" w:rsidRPr="00D56429" w:rsidRDefault="00941411" w:rsidP="00091EF4">
                            <w:pPr>
                              <w:pStyle w:val="Descripcin"/>
                              <w:rPr>
                                <w:rFonts w:asciiTheme="majorHAnsi" w:hAnsiTheme="majorHAnsi"/>
                                <w:noProof/>
                                <w:sz w:val="24"/>
                                <w:szCs w:val="24"/>
                              </w:rPr>
                            </w:pPr>
                            <w:bookmarkStart w:id="111" w:name="_Toc199757557"/>
                            <w:r w:rsidRPr="00D56429">
                              <w:rPr>
                                <w:rFonts w:asciiTheme="majorHAnsi" w:hAnsiTheme="majorHAnsi"/>
                              </w:rPr>
                              <w:t xml:space="preserve">Figura </w:t>
                            </w:r>
                            <w:r w:rsidRPr="00D56429">
                              <w:rPr>
                                <w:rFonts w:asciiTheme="majorHAnsi" w:hAnsiTheme="majorHAnsi"/>
                              </w:rPr>
                              <w:fldChar w:fldCharType="begin"/>
                            </w:r>
                            <w:r w:rsidRPr="00D56429">
                              <w:rPr>
                                <w:rFonts w:asciiTheme="majorHAnsi" w:hAnsiTheme="majorHAnsi"/>
                              </w:rPr>
                              <w:instrText xml:space="preserve"> SEQ Figura \* ARABIC </w:instrText>
                            </w:r>
                            <w:r w:rsidRPr="00D56429">
                              <w:rPr>
                                <w:rFonts w:asciiTheme="majorHAnsi" w:hAnsiTheme="majorHAnsi"/>
                              </w:rPr>
                              <w:fldChar w:fldCharType="separate"/>
                            </w:r>
                            <w:r>
                              <w:rPr>
                                <w:rFonts w:asciiTheme="majorHAnsi" w:hAnsiTheme="majorHAnsi"/>
                                <w:noProof/>
                              </w:rPr>
                              <w:t>14</w:t>
                            </w:r>
                            <w:r w:rsidRPr="00D56429">
                              <w:rPr>
                                <w:rFonts w:asciiTheme="majorHAnsi" w:hAnsiTheme="majorHAnsi"/>
                              </w:rPr>
                              <w:fldChar w:fldCharType="end"/>
                            </w:r>
                            <w:r>
                              <w:rPr>
                                <w:rFonts w:asciiTheme="majorHAnsi" w:hAnsiTheme="majorHAnsi"/>
                              </w:rPr>
                              <w:t xml:space="preserve">: </w:t>
                            </w:r>
                            <w:r w:rsidRPr="00D56429">
                              <w:rPr>
                                <w:rFonts w:asciiTheme="majorHAnsi" w:hAnsiTheme="majorHAnsi"/>
                              </w:rPr>
                              <w:t xml:space="preserve"> Importaciones de Derivados y Exportaciones de Derivados de Hidrocarburos 2024</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F44FA4" id="Cuadro de texto 1421088718" o:spid="_x0000_s1035" type="#_x0000_t202" style="position:absolute;left:0;text-align:left;margin-left:2.4pt;margin-top:8.35pt;width:413.75pt;height:3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" stroked="f">
                <v:textbox inset="0,0,0,0">
                  <w:txbxContent>
                    <w:p w14:paraId="240F3F9A" w14:textId="23BD64CE" w:rsidR="00941411" w:rsidRPr="00D56429" w:rsidRDefault="00941411" w:rsidP="00091EF4">
                      <w:pPr>
                        <w:pStyle w:val="Descripcin"/>
                        <w:rPr>
                          <w:rFonts w:asciiTheme="majorHAnsi" w:hAnsiTheme="majorHAnsi"/>
                          <w:noProof/>
                          <w:sz w:val="24"/>
                          <w:szCs w:val="24"/>
                        </w:rPr>
                      </w:pPr>
                      <w:bookmarkStart w:id="112" w:name="_Toc199757557"/>
                      <w:r w:rsidRPr="00D56429">
                        <w:rPr>
                          <w:rFonts w:asciiTheme="majorHAnsi" w:hAnsiTheme="majorHAnsi"/>
                        </w:rPr>
                        <w:t xml:space="preserve">Figura </w:t>
                      </w:r>
                      <w:r w:rsidRPr="00D56429">
                        <w:rPr>
                          <w:rFonts w:asciiTheme="majorHAnsi" w:hAnsiTheme="majorHAnsi"/>
                        </w:rPr>
                        <w:fldChar w:fldCharType="begin"/>
                      </w:r>
                      <w:r w:rsidRPr="00D56429">
                        <w:rPr>
                          <w:rFonts w:asciiTheme="majorHAnsi" w:hAnsiTheme="majorHAnsi"/>
                        </w:rPr>
                        <w:instrText xml:space="preserve"> SEQ Figura \* ARABIC </w:instrText>
                      </w:r>
                      <w:r w:rsidRPr="00D56429">
                        <w:rPr>
                          <w:rFonts w:asciiTheme="majorHAnsi" w:hAnsiTheme="majorHAnsi"/>
                        </w:rPr>
                        <w:fldChar w:fldCharType="separate"/>
                      </w:r>
                      <w:r>
                        <w:rPr>
                          <w:rFonts w:asciiTheme="majorHAnsi" w:hAnsiTheme="majorHAnsi"/>
                          <w:noProof/>
                        </w:rPr>
                        <w:t>14</w:t>
                      </w:r>
                      <w:r w:rsidRPr="00D56429">
                        <w:rPr>
                          <w:rFonts w:asciiTheme="majorHAnsi" w:hAnsiTheme="majorHAnsi"/>
                        </w:rPr>
                        <w:fldChar w:fldCharType="end"/>
                      </w:r>
                      <w:r>
                        <w:rPr>
                          <w:rFonts w:asciiTheme="majorHAnsi" w:hAnsiTheme="majorHAnsi"/>
                        </w:rPr>
                        <w:t xml:space="preserve">: </w:t>
                      </w:r>
                      <w:r w:rsidRPr="00D56429">
                        <w:rPr>
                          <w:rFonts w:asciiTheme="majorHAnsi" w:hAnsiTheme="majorHAnsi"/>
                        </w:rPr>
                        <w:t xml:space="preserve"> Importaciones de Derivados y Exportaciones de Derivados de Hidrocarburos 2024</w:t>
                      </w:r>
                      <w:bookmarkEnd w:id="112"/>
                    </w:p>
                  </w:txbxContent>
                </v:textbox>
                <w10:wrap type="topAndBottom"/>
              </v:shape>
            </w:pict>
          </mc:Fallback>
        </mc:AlternateContent>
      </w:r>
    </w:p>
    <w:p w14:paraId="30F044FD" w14:textId="05F71428" w:rsidR="00102E95" w:rsidRDefault="00102E95" w:rsidP="00091EF4">
      <w:pPr>
        <w:widowControl w:val="0"/>
        <w:tabs>
          <w:tab w:val="left" w:pos="2138"/>
        </w:tabs>
        <w:autoSpaceDE w:val="0"/>
        <w:autoSpaceDN w:val="0"/>
        <w:jc w:val="both"/>
        <w:rPr>
          <w:rFonts w:asciiTheme="majorHAnsi" w:hAnsiTheme="majorHAnsi" w:cstheme="majorHAnsi"/>
          <w:i/>
          <w:color w:val="7E7E7E"/>
          <w:spacing w:val="-2"/>
          <w:sz w:val="18"/>
          <w:szCs w:val="18"/>
        </w:rPr>
      </w:pPr>
      <w:r w:rsidRPr="00091EF4">
        <w:rPr>
          <w:rFonts w:asciiTheme="majorHAnsi" w:hAnsiTheme="majorHAnsi" w:cstheme="majorHAnsi"/>
          <w:i/>
          <w:color w:val="7E7E7E"/>
          <w:sz w:val="18"/>
          <w:szCs w:val="18"/>
        </w:rPr>
        <w:t>Fuente:</w:t>
      </w:r>
      <w:r w:rsidRPr="00091EF4">
        <w:rPr>
          <w:rFonts w:asciiTheme="majorHAnsi" w:hAnsiTheme="majorHAnsi" w:cstheme="majorHAnsi"/>
          <w:i/>
          <w:color w:val="7E7E7E"/>
          <w:spacing w:val="-5"/>
          <w:sz w:val="18"/>
          <w:szCs w:val="18"/>
        </w:rPr>
        <w:t xml:space="preserve"> </w:t>
      </w:r>
      <w:r w:rsidRPr="00091EF4">
        <w:rPr>
          <w:rFonts w:asciiTheme="majorHAnsi" w:hAnsiTheme="majorHAnsi" w:cstheme="majorHAnsi"/>
          <w:i/>
          <w:color w:val="7E7E7E"/>
          <w:sz w:val="18"/>
          <w:szCs w:val="18"/>
        </w:rPr>
        <w:t>Informe</w:t>
      </w:r>
      <w:r w:rsidRPr="00091EF4">
        <w:rPr>
          <w:rFonts w:asciiTheme="majorHAnsi" w:hAnsiTheme="majorHAnsi" w:cstheme="majorHAnsi"/>
          <w:i/>
          <w:color w:val="7E7E7E"/>
          <w:spacing w:val="-5"/>
          <w:sz w:val="18"/>
          <w:szCs w:val="18"/>
        </w:rPr>
        <w:t xml:space="preserve"> </w:t>
      </w:r>
      <w:r w:rsidRPr="00091EF4">
        <w:rPr>
          <w:rFonts w:asciiTheme="majorHAnsi" w:hAnsiTheme="majorHAnsi" w:cstheme="majorHAnsi"/>
          <w:i/>
          <w:color w:val="7E7E7E"/>
          <w:sz w:val="18"/>
          <w:szCs w:val="18"/>
        </w:rPr>
        <w:t>estadístico</w:t>
      </w:r>
      <w:r w:rsidRPr="00091EF4">
        <w:rPr>
          <w:rFonts w:asciiTheme="majorHAnsi" w:hAnsiTheme="majorHAnsi" w:cstheme="majorHAnsi"/>
          <w:i/>
          <w:color w:val="7E7E7E"/>
          <w:spacing w:val="-3"/>
          <w:sz w:val="18"/>
          <w:szCs w:val="18"/>
        </w:rPr>
        <w:t xml:space="preserve"> </w:t>
      </w:r>
      <w:r w:rsidRPr="00091EF4">
        <w:rPr>
          <w:rFonts w:asciiTheme="majorHAnsi" w:hAnsiTheme="majorHAnsi" w:cstheme="majorHAnsi"/>
          <w:i/>
          <w:color w:val="7E7E7E"/>
          <w:sz w:val="18"/>
          <w:szCs w:val="18"/>
        </w:rPr>
        <w:t>enero-diciembre</w:t>
      </w:r>
      <w:r w:rsidRPr="00091EF4">
        <w:rPr>
          <w:rFonts w:asciiTheme="majorHAnsi" w:hAnsiTheme="majorHAnsi" w:cstheme="majorHAnsi"/>
          <w:i/>
          <w:color w:val="7E7E7E"/>
          <w:spacing w:val="-5"/>
          <w:sz w:val="18"/>
          <w:szCs w:val="18"/>
        </w:rPr>
        <w:t xml:space="preserve"> </w:t>
      </w:r>
      <w:r w:rsidRPr="00091EF4">
        <w:rPr>
          <w:rFonts w:asciiTheme="majorHAnsi" w:hAnsiTheme="majorHAnsi" w:cstheme="majorHAnsi"/>
          <w:i/>
          <w:color w:val="7E7E7E"/>
          <w:sz w:val="18"/>
          <w:szCs w:val="18"/>
        </w:rPr>
        <w:t>2024-</w:t>
      </w:r>
      <w:r w:rsidRPr="00091EF4">
        <w:rPr>
          <w:rFonts w:asciiTheme="majorHAnsi" w:hAnsiTheme="majorHAnsi" w:cstheme="majorHAnsi"/>
          <w:i/>
          <w:color w:val="7E7E7E"/>
          <w:spacing w:val="-4"/>
          <w:sz w:val="18"/>
          <w:szCs w:val="18"/>
        </w:rPr>
        <w:t xml:space="preserve"> </w:t>
      </w:r>
      <w:r w:rsidRPr="00091EF4">
        <w:rPr>
          <w:rFonts w:asciiTheme="majorHAnsi" w:hAnsiTheme="majorHAnsi" w:cstheme="majorHAnsi"/>
          <w:i/>
          <w:color w:val="7E7E7E"/>
          <w:sz w:val="18"/>
          <w:szCs w:val="18"/>
        </w:rPr>
        <w:t>Gerencia</w:t>
      </w:r>
      <w:r w:rsidRPr="00091EF4">
        <w:rPr>
          <w:rFonts w:asciiTheme="majorHAnsi" w:hAnsiTheme="majorHAnsi" w:cstheme="majorHAnsi"/>
          <w:i/>
          <w:color w:val="7E7E7E"/>
          <w:spacing w:val="-3"/>
          <w:sz w:val="18"/>
          <w:szCs w:val="18"/>
        </w:rPr>
        <w:t xml:space="preserve"> </w:t>
      </w:r>
      <w:r w:rsidRPr="00091EF4">
        <w:rPr>
          <w:rFonts w:asciiTheme="majorHAnsi" w:hAnsiTheme="majorHAnsi" w:cstheme="majorHAnsi"/>
          <w:i/>
          <w:color w:val="7E7E7E"/>
          <w:sz w:val="18"/>
          <w:szCs w:val="18"/>
        </w:rPr>
        <w:t>de</w:t>
      </w:r>
      <w:r w:rsidRPr="00091EF4">
        <w:rPr>
          <w:rFonts w:asciiTheme="majorHAnsi" w:hAnsiTheme="majorHAnsi" w:cstheme="majorHAnsi"/>
          <w:i/>
          <w:color w:val="7E7E7E"/>
          <w:spacing w:val="-5"/>
          <w:sz w:val="18"/>
          <w:szCs w:val="18"/>
        </w:rPr>
        <w:t xml:space="preserve"> </w:t>
      </w:r>
      <w:r w:rsidRPr="00091EF4">
        <w:rPr>
          <w:rFonts w:asciiTheme="majorHAnsi" w:hAnsiTheme="majorHAnsi" w:cstheme="majorHAnsi"/>
          <w:i/>
          <w:color w:val="7E7E7E"/>
          <w:sz w:val="18"/>
          <w:szCs w:val="18"/>
        </w:rPr>
        <w:t>Comercio</w:t>
      </w:r>
      <w:r w:rsidRPr="00091EF4">
        <w:rPr>
          <w:rFonts w:asciiTheme="majorHAnsi" w:hAnsiTheme="majorHAnsi" w:cstheme="majorHAnsi"/>
          <w:i/>
          <w:color w:val="7E7E7E"/>
          <w:spacing w:val="-3"/>
          <w:sz w:val="18"/>
          <w:szCs w:val="18"/>
        </w:rPr>
        <w:t xml:space="preserve"> </w:t>
      </w:r>
      <w:r w:rsidRPr="00091EF4">
        <w:rPr>
          <w:rFonts w:asciiTheme="majorHAnsi" w:hAnsiTheme="majorHAnsi" w:cstheme="majorHAnsi"/>
          <w:i/>
          <w:color w:val="7E7E7E"/>
          <w:sz w:val="18"/>
          <w:szCs w:val="18"/>
        </w:rPr>
        <w:t>Internacional,</w:t>
      </w:r>
      <w:r w:rsidRPr="00091EF4">
        <w:rPr>
          <w:rFonts w:asciiTheme="majorHAnsi" w:hAnsiTheme="majorHAnsi" w:cstheme="majorHAnsi"/>
          <w:i/>
          <w:color w:val="7E7E7E"/>
          <w:spacing w:val="-3"/>
          <w:sz w:val="18"/>
          <w:szCs w:val="18"/>
        </w:rPr>
        <w:t xml:space="preserve"> </w:t>
      </w:r>
      <w:r w:rsidRPr="00091EF4">
        <w:rPr>
          <w:rFonts w:asciiTheme="majorHAnsi" w:hAnsiTheme="majorHAnsi" w:cstheme="majorHAnsi"/>
          <w:i/>
          <w:color w:val="7E7E7E"/>
          <w:sz w:val="18"/>
          <w:szCs w:val="18"/>
        </w:rPr>
        <w:t xml:space="preserve">EP </w:t>
      </w:r>
      <w:r w:rsidRPr="00091EF4">
        <w:rPr>
          <w:rFonts w:asciiTheme="majorHAnsi" w:hAnsiTheme="majorHAnsi" w:cstheme="majorHAnsi"/>
          <w:i/>
          <w:color w:val="7E7E7E"/>
          <w:spacing w:val="-2"/>
          <w:sz w:val="18"/>
          <w:szCs w:val="18"/>
        </w:rPr>
        <w:t>PETROECUADOR.</w:t>
      </w:r>
    </w:p>
    <w:p w14:paraId="72CCE944" w14:textId="77777777" w:rsidR="00091EF4" w:rsidRPr="00091EF4" w:rsidRDefault="00091EF4" w:rsidP="00091EF4">
      <w:pPr>
        <w:widowControl w:val="0"/>
        <w:tabs>
          <w:tab w:val="left" w:pos="2138"/>
        </w:tabs>
        <w:autoSpaceDE w:val="0"/>
        <w:autoSpaceDN w:val="0"/>
        <w:jc w:val="both"/>
        <w:rPr>
          <w:rFonts w:ascii="Calibri Light" w:hAnsi="Calibri Light" w:cs="Calibri Light"/>
          <w:sz w:val="22"/>
        </w:rPr>
      </w:pPr>
    </w:p>
    <w:p w14:paraId="0C935AAE" w14:textId="77777777" w:rsidR="00102E95" w:rsidRPr="00067DE4" w:rsidRDefault="00102E95" w:rsidP="00067DE4">
      <w:pPr>
        <w:pStyle w:val="Ttulo4"/>
        <w:rPr>
          <w:rFonts w:eastAsia="Times New Roman"/>
          <w:i w:val="0"/>
          <w:sz w:val="22"/>
          <w:szCs w:val="22"/>
        </w:rPr>
      </w:pPr>
      <w:r w:rsidRPr="00067DE4">
        <w:rPr>
          <w:rFonts w:eastAsia="Times New Roman"/>
          <w:i w:val="0"/>
          <w:sz w:val="22"/>
          <w:szCs w:val="22"/>
        </w:rPr>
        <w:t>Gestión de Comercio Nacional</w:t>
      </w:r>
    </w:p>
    <w:p w14:paraId="0C0A849B" w14:textId="77777777" w:rsidR="00102E95" w:rsidRPr="00A51E6E" w:rsidRDefault="00102E95" w:rsidP="00102E95">
      <w:pPr>
        <w:pStyle w:val="Prrafodelista"/>
        <w:widowControl w:val="0"/>
        <w:tabs>
          <w:tab w:val="left" w:pos="2138"/>
        </w:tabs>
        <w:autoSpaceDE w:val="0"/>
        <w:autoSpaceDN w:val="0"/>
        <w:rPr>
          <w:rFonts w:ascii="Calibri Light" w:eastAsia="Times New Roman" w:hAnsi="Calibri Light"/>
          <w:i/>
          <w:iCs/>
          <w:color w:val="2F5496"/>
        </w:rPr>
      </w:pPr>
    </w:p>
    <w:p w14:paraId="0A8DD50D" w14:textId="372C5886" w:rsidR="00102E95" w:rsidRPr="00067DE4" w:rsidRDefault="00102E95" w:rsidP="00067DE4">
      <w:pPr>
        <w:pStyle w:val="Ttulo4"/>
        <w:rPr>
          <w:i w:val="0"/>
          <w:sz w:val="22"/>
          <w:szCs w:val="22"/>
        </w:rPr>
      </w:pPr>
      <w:r w:rsidRPr="00E23641">
        <w:t xml:space="preserve"> </w:t>
      </w:r>
      <w:r w:rsidRPr="00067DE4">
        <w:rPr>
          <w:i w:val="0"/>
          <w:sz w:val="22"/>
          <w:szCs w:val="22"/>
        </w:rPr>
        <w:t>Combustibles líquidos derivados de hidrocarburos</w:t>
      </w:r>
    </w:p>
    <w:p w14:paraId="7E3303AC" w14:textId="77777777" w:rsidR="00102E95" w:rsidRPr="00F437D9" w:rsidRDefault="00102E95" w:rsidP="00102E95">
      <w:pPr>
        <w:widowControl w:val="0"/>
        <w:tabs>
          <w:tab w:val="left" w:pos="2496"/>
        </w:tabs>
        <w:autoSpaceDE w:val="0"/>
        <w:autoSpaceDN w:val="0"/>
        <w:rPr>
          <w:sz w:val="20"/>
        </w:rPr>
      </w:pPr>
    </w:p>
    <w:p w14:paraId="096085B5" w14:textId="1A3467B8" w:rsidR="00F7193D" w:rsidRPr="00067DE4" w:rsidRDefault="00102E95" w:rsidP="00067DE4">
      <w:pPr>
        <w:pStyle w:val="Textoindependiente"/>
        <w:ind w:right="424"/>
        <w:jc w:val="both"/>
        <w:rPr>
          <w:rFonts w:asciiTheme="majorHAnsi" w:eastAsia="Calibri" w:hAnsiTheme="majorHAnsi" w:cstheme="majorHAnsi"/>
          <w:sz w:val="22"/>
        </w:rPr>
      </w:pPr>
      <w:r w:rsidRPr="0012332C">
        <w:rPr>
          <w:rFonts w:asciiTheme="majorHAnsi" w:eastAsia="Calibri" w:hAnsiTheme="majorHAnsi" w:cstheme="majorHAnsi"/>
          <w:sz w:val="22"/>
        </w:rPr>
        <w:t>Se ha considerado la clasificación de productos por segmento de mercado establecida en la Resolución No. 004-002-DIRECTORIO-ARCH-2015 y 004-001- DIRECTORIO-ARCH-2015, publicada en el registro oficial No. 621 del 5 de noviembre del 2015, para el caso de los combustibles líquidos derivados de Hidrocarburos.</w:t>
      </w:r>
    </w:p>
    <w:p w14:paraId="51500D13" w14:textId="0AE1A1B8" w:rsidR="000A1AE7" w:rsidRDefault="00E04AD4" w:rsidP="000A1AE7">
      <w:pPr>
        <w:pStyle w:val="Tablas"/>
        <w:spacing w:after="0"/>
        <w:rPr>
          <w:rFonts w:asciiTheme="majorHAnsi" w:hAnsiTheme="majorHAnsi" w:cstheme="majorHAnsi"/>
          <w:spacing w:val="-4"/>
        </w:rPr>
      </w:pPr>
      <w:r>
        <w:rPr>
          <w:noProof/>
        </w:rPr>
        <mc:AlternateContent>
          <mc:Choice Requires="wps">
            <w:drawing>
              <wp:anchor distT="0" distB="0" distL="114300" distR="114300" simplePos="0" relativeHeight="251693056" behindDoc="0" locked="0" layoutInCell="1" allowOverlap="1" wp14:anchorId="2B3CC114" wp14:editId="41AFA95E">
                <wp:simplePos x="0" y="0"/>
                <wp:positionH relativeFrom="column">
                  <wp:posOffset>777240</wp:posOffset>
                </wp:positionH>
                <wp:positionV relativeFrom="paragraph">
                  <wp:posOffset>140335</wp:posOffset>
                </wp:positionV>
                <wp:extent cx="3885565" cy="167640"/>
                <wp:effectExtent l="0" t="0" r="635" b="3810"/>
                <wp:wrapTopAndBottom/>
                <wp:docPr id="1421088719" name="Cuadro de texto 1421088719"/>
                <wp:cNvGraphicFramePr/>
                <a:graphic xmlns:a="http://schemas.openxmlformats.org/drawingml/2006/main">
                  <a:graphicData uri="http://schemas.microsoft.com/office/word/2010/wordprocessingShape">
                    <wps:wsp>
                      <wps:cNvSpPr txBox="1"/>
                      <wps:spPr>
                        <a:xfrm>
                          <a:off x="0" y="0"/>
                          <a:ext cx="3885565" cy="167640"/>
                        </a:xfrm>
                        <a:prstGeom prst="rect">
                          <a:avLst/>
                        </a:prstGeom>
                        <a:solidFill>
                          <a:prstClr val="white"/>
                        </a:solidFill>
                        <a:ln>
                          <a:noFill/>
                        </a:ln>
                      </wps:spPr>
                      <wps:txbx>
                        <w:txbxContent>
                          <w:p w14:paraId="4796D41E" w14:textId="0B4A7972" w:rsidR="00941411" w:rsidRPr="00E04AD4" w:rsidRDefault="00941411" w:rsidP="00E04AD4">
                            <w:pPr>
                              <w:pStyle w:val="Descripcin"/>
                              <w:rPr>
                                <w:rFonts w:asciiTheme="majorHAnsi" w:eastAsia="Calibri" w:hAnsiTheme="majorHAnsi" w:cstheme="majorHAnsi"/>
                                <w:noProof/>
                                <w:color w:val="44546A"/>
                              </w:rPr>
                            </w:pPr>
                            <w:bookmarkStart w:id="113" w:name="_Toc199757558"/>
                            <w:r w:rsidRPr="00E04AD4">
                              <w:rPr>
                                <w:rFonts w:asciiTheme="majorHAnsi" w:hAnsiTheme="majorHAnsi" w:cstheme="majorHAnsi"/>
                              </w:rPr>
                              <w:t xml:space="preserve">Figura </w:t>
                            </w:r>
                            <w:r w:rsidRPr="00E04AD4">
                              <w:rPr>
                                <w:rFonts w:asciiTheme="majorHAnsi" w:hAnsiTheme="majorHAnsi" w:cstheme="majorHAnsi"/>
                              </w:rPr>
                              <w:fldChar w:fldCharType="begin"/>
                            </w:r>
                            <w:r w:rsidRPr="00E04AD4">
                              <w:rPr>
                                <w:rFonts w:asciiTheme="majorHAnsi" w:hAnsiTheme="majorHAnsi" w:cstheme="majorHAnsi"/>
                              </w:rPr>
                              <w:instrText xml:space="preserve"> SEQ Figura \* ARABIC </w:instrText>
                            </w:r>
                            <w:r w:rsidRPr="00E04AD4">
                              <w:rPr>
                                <w:rFonts w:asciiTheme="majorHAnsi" w:hAnsiTheme="majorHAnsi" w:cstheme="majorHAnsi"/>
                              </w:rPr>
                              <w:fldChar w:fldCharType="separate"/>
                            </w:r>
                            <w:r>
                              <w:rPr>
                                <w:rFonts w:asciiTheme="majorHAnsi" w:hAnsiTheme="majorHAnsi" w:cstheme="majorHAnsi"/>
                                <w:noProof/>
                              </w:rPr>
                              <w:t>15</w:t>
                            </w:r>
                            <w:r w:rsidRPr="00E04AD4">
                              <w:rPr>
                                <w:rFonts w:asciiTheme="majorHAnsi" w:hAnsiTheme="majorHAnsi" w:cstheme="majorHAnsi"/>
                              </w:rPr>
                              <w:fldChar w:fldCharType="end"/>
                            </w:r>
                            <w:r>
                              <w:rPr>
                                <w:rFonts w:asciiTheme="majorHAnsi" w:hAnsiTheme="majorHAnsi" w:cstheme="majorHAnsi"/>
                              </w:rPr>
                              <w:t>:</w:t>
                            </w:r>
                            <w:r w:rsidRPr="00E04AD4">
                              <w:rPr>
                                <w:rFonts w:asciiTheme="majorHAnsi" w:hAnsiTheme="majorHAnsi" w:cstheme="majorHAnsi"/>
                              </w:rPr>
                              <w:t>Participación por Segmento de Mercado del Periodo del Año 2024</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CC114" id="Cuadro de texto 1421088719" o:spid="_x0000_s1036" type="#_x0000_t202" style="position:absolute;left:0;text-align:left;margin-left:61.2pt;margin-top:11.05pt;width:305.95pt;height:13.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" stroked="f">
                <v:textbox inset="0,0,0,0">
                  <w:txbxContent>
                    <w:p w14:paraId="4796D41E" w14:textId="0B4A7972" w:rsidR="00941411" w:rsidRPr="00E04AD4" w:rsidRDefault="00941411" w:rsidP="00E04AD4">
                      <w:pPr>
                        <w:pStyle w:val="Descripcin"/>
                        <w:rPr>
                          <w:rFonts w:asciiTheme="majorHAnsi" w:eastAsia="Calibri" w:hAnsiTheme="majorHAnsi" w:cstheme="majorHAnsi"/>
                          <w:noProof/>
                          <w:color w:val="44546A"/>
                        </w:rPr>
                      </w:pPr>
                      <w:bookmarkStart w:id="114" w:name="_Toc199757558"/>
                      <w:r w:rsidRPr="00E04AD4">
                        <w:rPr>
                          <w:rFonts w:asciiTheme="majorHAnsi" w:hAnsiTheme="majorHAnsi" w:cstheme="majorHAnsi"/>
                        </w:rPr>
                        <w:t xml:space="preserve">Figura </w:t>
                      </w:r>
                      <w:r w:rsidRPr="00E04AD4">
                        <w:rPr>
                          <w:rFonts w:asciiTheme="majorHAnsi" w:hAnsiTheme="majorHAnsi" w:cstheme="majorHAnsi"/>
                        </w:rPr>
                        <w:fldChar w:fldCharType="begin"/>
                      </w:r>
                      <w:r w:rsidRPr="00E04AD4">
                        <w:rPr>
                          <w:rFonts w:asciiTheme="majorHAnsi" w:hAnsiTheme="majorHAnsi" w:cstheme="majorHAnsi"/>
                        </w:rPr>
                        <w:instrText xml:space="preserve"> SEQ Figura \* ARABIC </w:instrText>
                      </w:r>
                      <w:r w:rsidRPr="00E04AD4">
                        <w:rPr>
                          <w:rFonts w:asciiTheme="majorHAnsi" w:hAnsiTheme="majorHAnsi" w:cstheme="majorHAnsi"/>
                        </w:rPr>
                        <w:fldChar w:fldCharType="separate"/>
                      </w:r>
                      <w:r>
                        <w:rPr>
                          <w:rFonts w:asciiTheme="majorHAnsi" w:hAnsiTheme="majorHAnsi" w:cstheme="majorHAnsi"/>
                          <w:noProof/>
                        </w:rPr>
                        <w:t>15</w:t>
                      </w:r>
                      <w:r w:rsidRPr="00E04AD4">
                        <w:rPr>
                          <w:rFonts w:asciiTheme="majorHAnsi" w:hAnsiTheme="majorHAnsi" w:cstheme="majorHAnsi"/>
                        </w:rPr>
                        <w:fldChar w:fldCharType="end"/>
                      </w:r>
                      <w:r>
                        <w:rPr>
                          <w:rFonts w:asciiTheme="majorHAnsi" w:hAnsiTheme="majorHAnsi" w:cstheme="majorHAnsi"/>
                        </w:rPr>
                        <w:t>:</w:t>
                      </w:r>
                      <w:r w:rsidRPr="00E04AD4">
                        <w:rPr>
                          <w:rFonts w:asciiTheme="majorHAnsi" w:hAnsiTheme="majorHAnsi" w:cstheme="majorHAnsi"/>
                        </w:rPr>
                        <w:t>Participación por Segmento de Mercado del Periodo del Año 2024</w:t>
                      </w:r>
                      <w:bookmarkEnd w:id="114"/>
                    </w:p>
                  </w:txbxContent>
                </v:textbox>
                <w10:wrap type="topAndBottom"/>
              </v:shape>
            </w:pict>
          </mc:Fallback>
        </mc:AlternateContent>
      </w:r>
    </w:p>
    <w:p w14:paraId="0C49EC71" w14:textId="677BBEA8" w:rsidR="000A1AE7" w:rsidRDefault="00102E95" w:rsidP="003A5515">
      <w:pPr>
        <w:pStyle w:val="Tablas"/>
        <w:rPr>
          <w:rFonts w:ascii="Calibri Light" w:hAnsi="Calibri Light" w:cs="Calibri Light"/>
          <w:iCs w:val="0"/>
          <w:color w:val="7F7F7F"/>
          <w:sz w:val="16"/>
          <w:szCs w:val="16"/>
        </w:rPr>
      </w:pPr>
      <w:r>
        <w:rPr>
          <w:noProof/>
        </w:rPr>
        <w:drawing>
          <wp:anchor distT="0" distB="0" distL="0" distR="0" simplePos="0" relativeHeight="251669504" behindDoc="1" locked="0" layoutInCell="1" allowOverlap="1" wp14:anchorId="3B1C2619" wp14:editId="38936B29">
            <wp:simplePos x="0" y="0"/>
            <wp:positionH relativeFrom="page">
              <wp:posOffset>1828800</wp:posOffset>
            </wp:positionH>
            <wp:positionV relativeFrom="paragraph">
              <wp:posOffset>124460</wp:posOffset>
            </wp:positionV>
            <wp:extent cx="3885565" cy="1104900"/>
            <wp:effectExtent l="0" t="0" r="635"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556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515">
        <w:rPr>
          <w:rFonts w:ascii="Calibri Light" w:hAnsi="Calibri Light" w:cs="Calibri Light"/>
          <w:iCs w:val="0"/>
          <w:color w:val="7F7F7F"/>
          <w:sz w:val="16"/>
          <w:szCs w:val="16"/>
        </w:rPr>
        <w:t>Fuente: Informe estadístico de los despachos de combustibles líquidos Derivados del petróleo (CLDP) y gas licuado de petróleo (GLP) En los diferentes segmentos de consumo.</w:t>
      </w:r>
    </w:p>
    <w:p w14:paraId="114E1172" w14:textId="7AFFF0CB" w:rsidR="00067DE4" w:rsidRDefault="00067DE4" w:rsidP="003A5515">
      <w:pPr>
        <w:pStyle w:val="Tablas"/>
        <w:rPr>
          <w:rFonts w:asciiTheme="majorHAnsi" w:hAnsiTheme="majorHAnsi" w:cstheme="majorHAnsi"/>
          <w:sz w:val="16"/>
          <w:szCs w:val="16"/>
        </w:rPr>
      </w:pPr>
    </w:p>
    <w:p w14:paraId="47C5864B" w14:textId="77777777" w:rsidR="00067DE4" w:rsidRPr="003A5515" w:rsidRDefault="00067DE4" w:rsidP="003A5515">
      <w:pPr>
        <w:pStyle w:val="Tablas"/>
        <w:rPr>
          <w:rFonts w:asciiTheme="majorHAnsi" w:hAnsiTheme="majorHAnsi" w:cstheme="majorHAnsi"/>
          <w:sz w:val="16"/>
          <w:szCs w:val="16"/>
        </w:rPr>
      </w:pPr>
    </w:p>
    <w:p w14:paraId="09F6E329" w14:textId="176E5457" w:rsidR="00102E95" w:rsidRDefault="00102E95" w:rsidP="00067DE4">
      <w:pPr>
        <w:pStyle w:val="Ttulo4"/>
        <w:rPr>
          <w:i w:val="0"/>
          <w:sz w:val="22"/>
          <w:szCs w:val="22"/>
        </w:rPr>
      </w:pPr>
      <w:r>
        <w:t xml:space="preserve"> </w:t>
      </w:r>
      <w:r w:rsidRPr="00067DE4">
        <w:rPr>
          <w:i w:val="0"/>
          <w:sz w:val="22"/>
          <w:szCs w:val="22"/>
        </w:rPr>
        <w:t>Gas Licuado de Petróleo (GLP)</w:t>
      </w:r>
    </w:p>
    <w:p w14:paraId="7EA638D6" w14:textId="77777777" w:rsidR="00067DE4" w:rsidRPr="00067DE4" w:rsidRDefault="00067DE4" w:rsidP="00067DE4"/>
    <w:p w14:paraId="5F754328" w14:textId="77777777" w:rsidR="00102E95" w:rsidRPr="0012332C" w:rsidRDefault="00102E95" w:rsidP="00102E95">
      <w:pPr>
        <w:pStyle w:val="Textoindependiente"/>
        <w:ind w:right="424"/>
        <w:jc w:val="both"/>
        <w:rPr>
          <w:rFonts w:asciiTheme="majorHAnsi" w:eastAsia="Calibri" w:hAnsiTheme="majorHAnsi" w:cstheme="majorHAnsi"/>
          <w:sz w:val="22"/>
        </w:rPr>
      </w:pPr>
      <w:r w:rsidRPr="0012332C">
        <w:rPr>
          <w:rFonts w:asciiTheme="majorHAnsi" w:eastAsia="Calibri" w:hAnsiTheme="majorHAnsi" w:cstheme="majorHAnsi"/>
          <w:sz w:val="22"/>
        </w:rPr>
        <w:t>Se ha considerado la Resolución No. 004-001-DIRECTORIO-ARCH-2015 en la cual se expide el Reglamento para autorización de Actividades de Comercialización de Gas Licuado de Petróleo en el Anexo A Siglas y Definiciones, se establecen cuatro segmentos de mercado los mismos que se muestran a continuación con sus respectivos despachos de enero a diciembre de 2024:</w:t>
      </w:r>
    </w:p>
    <w:p w14:paraId="0D00331D" w14:textId="1526D542" w:rsidR="00102E95" w:rsidRPr="003A5515" w:rsidRDefault="00FA6E21" w:rsidP="00102E95">
      <w:pPr>
        <w:pStyle w:val="Textoindependiente"/>
        <w:spacing w:before="4"/>
        <w:rPr>
          <w:i/>
          <w:sz w:val="16"/>
          <w:szCs w:val="16"/>
        </w:rPr>
      </w:pPr>
      <w:r>
        <w:rPr>
          <w:noProof/>
        </w:rPr>
        <w:lastRenderedPageBreak/>
        <mc:AlternateContent>
          <mc:Choice Requires="wps">
            <w:drawing>
              <wp:anchor distT="0" distB="0" distL="114300" distR="114300" simplePos="0" relativeHeight="251695104" behindDoc="0" locked="0" layoutInCell="1" allowOverlap="1" wp14:anchorId="4CF6AEF4" wp14:editId="0DD000EC">
                <wp:simplePos x="0" y="0"/>
                <wp:positionH relativeFrom="margin">
                  <wp:align>right</wp:align>
                </wp:positionH>
                <wp:positionV relativeFrom="paragraph">
                  <wp:posOffset>466</wp:posOffset>
                </wp:positionV>
                <wp:extent cx="5358765" cy="179159"/>
                <wp:effectExtent l="0" t="0" r="0" b="0"/>
                <wp:wrapTopAndBottom/>
                <wp:docPr id="1421088720" name="Cuadro de texto 1421088720"/>
                <wp:cNvGraphicFramePr/>
                <a:graphic xmlns:a="http://schemas.openxmlformats.org/drawingml/2006/main">
                  <a:graphicData uri="http://schemas.microsoft.com/office/word/2010/wordprocessingShape">
                    <wps:wsp>
                      <wps:cNvSpPr txBox="1"/>
                      <wps:spPr>
                        <a:xfrm>
                          <a:off x="0" y="0"/>
                          <a:ext cx="5358765" cy="179159"/>
                        </a:xfrm>
                        <a:prstGeom prst="rect">
                          <a:avLst/>
                        </a:prstGeom>
                        <a:solidFill>
                          <a:prstClr val="white"/>
                        </a:solidFill>
                        <a:ln>
                          <a:noFill/>
                        </a:ln>
                      </wps:spPr>
                      <wps:txbx>
                        <w:txbxContent>
                          <w:p w14:paraId="5A4C761A" w14:textId="6EFEC6B9" w:rsidR="00941411" w:rsidRPr="00D56429" w:rsidRDefault="00941411" w:rsidP="00FA6E21">
                            <w:pPr>
                              <w:pStyle w:val="Descripcin"/>
                              <w:rPr>
                                <w:rFonts w:asciiTheme="majorHAnsi" w:hAnsiTheme="majorHAnsi"/>
                                <w:noProof/>
                                <w:sz w:val="24"/>
                                <w:szCs w:val="24"/>
                              </w:rPr>
                            </w:pPr>
                            <w:bookmarkStart w:id="115" w:name="_Toc199757559"/>
                            <w:r w:rsidRPr="00D56429">
                              <w:rPr>
                                <w:rFonts w:asciiTheme="majorHAnsi" w:hAnsiTheme="majorHAnsi"/>
                              </w:rPr>
                              <w:t xml:space="preserve">Figura </w:t>
                            </w:r>
                            <w:r w:rsidRPr="00D56429">
                              <w:rPr>
                                <w:rFonts w:asciiTheme="majorHAnsi" w:hAnsiTheme="majorHAnsi"/>
                              </w:rPr>
                              <w:fldChar w:fldCharType="begin"/>
                            </w:r>
                            <w:r w:rsidRPr="00D56429">
                              <w:rPr>
                                <w:rFonts w:asciiTheme="majorHAnsi" w:hAnsiTheme="majorHAnsi"/>
                              </w:rPr>
                              <w:instrText xml:space="preserve"> SEQ Figura \* ARABIC </w:instrText>
                            </w:r>
                            <w:r w:rsidRPr="00D56429">
                              <w:rPr>
                                <w:rFonts w:asciiTheme="majorHAnsi" w:hAnsiTheme="majorHAnsi"/>
                              </w:rPr>
                              <w:fldChar w:fldCharType="separate"/>
                            </w:r>
                            <w:r w:rsidRPr="00D56429">
                              <w:rPr>
                                <w:rFonts w:asciiTheme="majorHAnsi" w:hAnsiTheme="majorHAnsi"/>
                                <w:noProof/>
                              </w:rPr>
                              <w:t>16</w:t>
                            </w:r>
                            <w:r w:rsidRPr="00D56429">
                              <w:rPr>
                                <w:rFonts w:asciiTheme="majorHAnsi" w:hAnsiTheme="majorHAnsi"/>
                              </w:rPr>
                              <w:fldChar w:fldCharType="end"/>
                            </w:r>
                            <w:r>
                              <w:rPr>
                                <w:rFonts w:asciiTheme="majorHAnsi" w:hAnsiTheme="majorHAnsi"/>
                              </w:rPr>
                              <w:t>:</w:t>
                            </w:r>
                            <w:r w:rsidRPr="00D56429">
                              <w:rPr>
                                <w:rFonts w:asciiTheme="majorHAnsi" w:hAnsiTheme="majorHAnsi"/>
                              </w:rPr>
                              <w:t>Participación por Segmento de Mercado del Periodo del Año 2024</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6AEF4" id="Cuadro de texto 1421088720" o:spid="_x0000_s1037" type="#_x0000_t202" style="position:absolute;margin-left:370.75pt;margin-top:.05pt;width:421.95pt;height:14.1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" stroked="f">
                <v:textbox inset="0,0,0,0">
                  <w:txbxContent>
                    <w:p w14:paraId="5A4C761A" w14:textId="6EFEC6B9" w:rsidR="00941411" w:rsidRPr="00D56429" w:rsidRDefault="00941411" w:rsidP="00FA6E21">
                      <w:pPr>
                        <w:pStyle w:val="Descripcin"/>
                        <w:rPr>
                          <w:rFonts w:asciiTheme="majorHAnsi" w:hAnsiTheme="majorHAnsi"/>
                          <w:noProof/>
                          <w:sz w:val="24"/>
                          <w:szCs w:val="24"/>
                        </w:rPr>
                      </w:pPr>
                      <w:bookmarkStart w:id="116" w:name="_Toc199757559"/>
                      <w:r w:rsidRPr="00D56429">
                        <w:rPr>
                          <w:rFonts w:asciiTheme="majorHAnsi" w:hAnsiTheme="majorHAnsi"/>
                        </w:rPr>
                        <w:t xml:space="preserve">Figura </w:t>
                      </w:r>
                      <w:r w:rsidRPr="00D56429">
                        <w:rPr>
                          <w:rFonts w:asciiTheme="majorHAnsi" w:hAnsiTheme="majorHAnsi"/>
                        </w:rPr>
                        <w:fldChar w:fldCharType="begin"/>
                      </w:r>
                      <w:r w:rsidRPr="00D56429">
                        <w:rPr>
                          <w:rFonts w:asciiTheme="majorHAnsi" w:hAnsiTheme="majorHAnsi"/>
                        </w:rPr>
                        <w:instrText xml:space="preserve"> SEQ Figura \* ARABIC </w:instrText>
                      </w:r>
                      <w:r w:rsidRPr="00D56429">
                        <w:rPr>
                          <w:rFonts w:asciiTheme="majorHAnsi" w:hAnsiTheme="majorHAnsi"/>
                        </w:rPr>
                        <w:fldChar w:fldCharType="separate"/>
                      </w:r>
                      <w:r w:rsidRPr="00D56429">
                        <w:rPr>
                          <w:rFonts w:asciiTheme="majorHAnsi" w:hAnsiTheme="majorHAnsi"/>
                          <w:noProof/>
                        </w:rPr>
                        <w:t>16</w:t>
                      </w:r>
                      <w:r w:rsidRPr="00D56429">
                        <w:rPr>
                          <w:rFonts w:asciiTheme="majorHAnsi" w:hAnsiTheme="majorHAnsi"/>
                        </w:rPr>
                        <w:fldChar w:fldCharType="end"/>
                      </w:r>
                      <w:r>
                        <w:rPr>
                          <w:rFonts w:asciiTheme="majorHAnsi" w:hAnsiTheme="majorHAnsi"/>
                        </w:rPr>
                        <w:t>:</w:t>
                      </w:r>
                      <w:r w:rsidRPr="00D56429">
                        <w:rPr>
                          <w:rFonts w:asciiTheme="majorHAnsi" w:hAnsiTheme="majorHAnsi"/>
                        </w:rPr>
                        <w:t>Participación por Segmento de Mercado del Periodo del Año 2024</w:t>
                      </w:r>
                      <w:bookmarkEnd w:id="116"/>
                    </w:p>
                  </w:txbxContent>
                </v:textbox>
                <w10:wrap type="topAndBottom" anchorx="margin"/>
              </v:shape>
            </w:pict>
          </mc:Fallback>
        </mc:AlternateContent>
      </w:r>
      <w:r>
        <w:rPr>
          <w:noProof/>
        </w:rPr>
        <w:drawing>
          <wp:anchor distT="0" distB="0" distL="0" distR="0" simplePos="0" relativeHeight="251670528" behindDoc="1" locked="0" layoutInCell="1" allowOverlap="1" wp14:anchorId="41EE68B8" wp14:editId="6086363C">
            <wp:simplePos x="0" y="0"/>
            <wp:positionH relativeFrom="page">
              <wp:posOffset>1123315</wp:posOffset>
            </wp:positionH>
            <wp:positionV relativeFrom="paragraph">
              <wp:posOffset>245287</wp:posOffset>
            </wp:positionV>
            <wp:extent cx="5504815" cy="1276350"/>
            <wp:effectExtent l="0" t="0" r="635"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481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59A34" w14:textId="77777777" w:rsidR="00102E95" w:rsidRPr="003A5515" w:rsidRDefault="00102E95" w:rsidP="00102E95">
      <w:pPr>
        <w:pStyle w:val="Descripcin"/>
        <w:rPr>
          <w:rFonts w:ascii="Calibri Light" w:hAnsi="Calibri Light" w:cs="Calibri Light"/>
          <w:iCs w:val="0"/>
          <w:color w:val="7F7F7F"/>
          <w:sz w:val="16"/>
          <w:szCs w:val="16"/>
        </w:rPr>
      </w:pPr>
      <w:r w:rsidRPr="003A5515">
        <w:rPr>
          <w:rFonts w:ascii="Calibri Light" w:hAnsi="Calibri Light" w:cs="Calibri Light"/>
          <w:iCs w:val="0"/>
          <w:color w:val="7F7F7F"/>
          <w:sz w:val="16"/>
          <w:szCs w:val="16"/>
        </w:rPr>
        <w:t>Fuente: Informe estadístico de los despachos de combustibles líquidos Derivados del petróleo (CLDP) y gas licuado de petróleo (GLP) En los diferentes segmentos de consumo.</w:t>
      </w:r>
    </w:p>
    <w:p w14:paraId="36425941" w14:textId="77777777" w:rsidR="00067DE4" w:rsidRDefault="00067DE4" w:rsidP="00067DE4">
      <w:pPr>
        <w:pStyle w:val="Ttulo4"/>
      </w:pPr>
    </w:p>
    <w:p w14:paraId="7D92E6BB" w14:textId="67C972B4" w:rsidR="00102E95" w:rsidRPr="00067DE4" w:rsidRDefault="00102E95" w:rsidP="00067DE4">
      <w:pPr>
        <w:pStyle w:val="Ttulo4"/>
        <w:rPr>
          <w:i w:val="0"/>
          <w:sz w:val="22"/>
          <w:szCs w:val="22"/>
        </w:rPr>
      </w:pPr>
      <w:r w:rsidRPr="00E23641">
        <w:t xml:space="preserve"> </w:t>
      </w:r>
      <w:r w:rsidRPr="00067DE4">
        <w:rPr>
          <w:i w:val="0"/>
          <w:sz w:val="22"/>
          <w:szCs w:val="22"/>
        </w:rPr>
        <w:t>Gas Natural</w:t>
      </w:r>
    </w:p>
    <w:p w14:paraId="07AA8621" w14:textId="77777777" w:rsidR="00102E95" w:rsidRDefault="00102E95" w:rsidP="00102E95">
      <w:pPr>
        <w:pStyle w:val="Textoindependiente"/>
        <w:ind w:right="425"/>
        <w:jc w:val="both"/>
      </w:pPr>
    </w:p>
    <w:p w14:paraId="33E84C92" w14:textId="4BB2902D" w:rsidR="00102E95" w:rsidRPr="0012332C" w:rsidRDefault="00102E95" w:rsidP="00102E95">
      <w:pPr>
        <w:pStyle w:val="Textoindependiente"/>
        <w:ind w:right="424"/>
        <w:jc w:val="both"/>
        <w:rPr>
          <w:rFonts w:asciiTheme="majorHAnsi" w:eastAsia="Calibri" w:hAnsiTheme="majorHAnsi" w:cstheme="majorHAnsi"/>
          <w:sz w:val="22"/>
        </w:rPr>
      </w:pPr>
      <w:r w:rsidRPr="0012332C">
        <w:rPr>
          <w:rFonts w:asciiTheme="majorHAnsi" w:eastAsia="Calibri" w:hAnsiTheme="majorHAnsi" w:cstheme="majorHAnsi"/>
          <w:sz w:val="22"/>
        </w:rPr>
        <w:t>Es importante señalar que, los sectores de consumo de Gas Natural son Industrial, Doméstico Comercial y Vehicular; sin embargo, a fin de evidenciar la participación de consumo, se presentan los datos del sector industrial como son el eléctrico considerado a CELEC EP e industrial a los clientes industriales por separado, conforme se detalla a continuación:</w:t>
      </w:r>
    </w:p>
    <w:p w14:paraId="71CE59CC" w14:textId="7FFEEF1B" w:rsidR="00102E95" w:rsidRDefault="00545682" w:rsidP="00102E95">
      <w:pPr>
        <w:pStyle w:val="Textoindependiente"/>
      </w:pPr>
      <w:r>
        <w:rPr>
          <w:noProof/>
        </w:rPr>
        <mc:AlternateContent>
          <mc:Choice Requires="wps">
            <w:drawing>
              <wp:anchor distT="0" distB="0" distL="114300" distR="114300" simplePos="0" relativeHeight="251697152" behindDoc="0" locked="0" layoutInCell="1" allowOverlap="1" wp14:anchorId="22420588" wp14:editId="366D6012">
                <wp:simplePos x="0" y="0"/>
                <wp:positionH relativeFrom="column">
                  <wp:posOffset>-10087</wp:posOffset>
                </wp:positionH>
                <wp:positionV relativeFrom="paragraph">
                  <wp:posOffset>337627</wp:posOffset>
                </wp:positionV>
                <wp:extent cx="5524500" cy="179070"/>
                <wp:effectExtent l="0" t="0" r="0" b="0"/>
                <wp:wrapTopAndBottom/>
                <wp:docPr id="1421088721" name="Cuadro de texto 1421088721"/>
                <wp:cNvGraphicFramePr/>
                <a:graphic xmlns:a="http://schemas.openxmlformats.org/drawingml/2006/main">
                  <a:graphicData uri="http://schemas.microsoft.com/office/word/2010/wordprocessingShape">
                    <wps:wsp>
                      <wps:cNvSpPr txBox="1"/>
                      <wps:spPr>
                        <a:xfrm>
                          <a:off x="0" y="0"/>
                          <a:ext cx="5524500" cy="179070"/>
                        </a:xfrm>
                        <a:prstGeom prst="rect">
                          <a:avLst/>
                        </a:prstGeom>
                        <a:solidFill>
                          <a:prstClr val="white"/>
                        </a:solidFill>
                        <a:ln>
                          <a:noFill/>
                        </a:ln>
                      </wps:spPr>
                      <wps:txbx>
                        <w:txbxContent>
                          <w:p w14:paraId="636E2364" w14:textId="51B0215C" w:rsidR="00941411" w:rsidRPr="00D56429" w:rsidRDefault="00941411" w:rsidP="00545682">
                            <w:pPr>
                              <w:pStyle w:val="Descripcin"/>
                              <w:rPr>
                                <w:rFonts w:asciiTheme="majorHAnsi" w:eastAsia="Calibri" w:hAnsiTheme="majorHAnsi" w:cstheme="majorHAnsi"/>
                                <w:noProof/>
                                <w:color w:val="44546A"/>
                              </w:rPr>
                            </w:pPr>
                            <w:bookmarkStart w:id="117" w:name="_Toc199757560"/>
                            <w:r w:rsidRPr="00D56429">
                              <w:rPr>
                                <w:rFonts w:asciiTheme="majorHAnsi" w:hAnsiTheme="majorHAnsi"/>
                              </w:rPr>
                              <w:t xml:space="preserve">Figura </w:t>
                            </w:r>
                            <w:r w:rsidRPr="00D56429">
                              <w:rPr>
                                <w:rFonts w:asciiTheme="majorHAnsi" w:hAnsiTheme="majorHAnsi"/>
                              </w:rPr>
                              <w:fldChar w:fldCharType="begin"/>
                            </w:r>
                            <w:r w:rsidRPr="00D56429">
                              <w:rPr>
                                <w:rFonts w:asciiTheme="majorHAnsi" w:hAnsiTheme="majorHAnsi"/>
                              </w:rPr>
                              <w:instrText xml:space="preserve"> SEQ Figura \* ARABIC </w:instrText>
                            </w:r>
                            <w:r w:rsidRPr="00D56429">
                              <w:rPr>
                                <w:rFonts w:asciiTheme="majorHAnsi" w:hAnsiTheme="majorHAnsi"/>
                              </w:rPr>
                              <w:fldChar w:fldCharType="separate"/>
                            </w:r>
                            <w:r>
                              <w:rPr>
                                <w:rFonts w:asciiTheme="majorHAnsi" w:hAnsiTheme="majorHAnsi"/>
                                <w:noProof/>
                              </w:rPr>
                              <w:t>17</w:t>
                            </w:r>
                            <w:r w:rsidRPr="00D56429">
                              <w:rPr>
                                <w:rFonts w:asciiTheme="majorHAnsi" w:hAnsiTheme="majorHAnsi"/>
                              </w:rPr>
                              <w:fldChar w:fldCharType="end"/>
                            </w:r>
                            <w:r>
                              <w:rPr>
                                <w:rFonts w:asciiTheme="majorHAnsi" w:hAnsiTheme="majorHAnsi"/>
                              </w:rPr>
                              <w:t xml:space="preserve">: </w:t>
                            </w:r>
                            <w:r w:rsidRPr="00D56429">
                              <w:rPr>
                                <w:rFonts w:asciiTheme="majorHAnsi" w:hAnsiTheme="majorHAnsi"/>
                              </w:rPr>
                              <w:t>Participación por Segmento de Mercado del Periodo del Año 2024</w:t>
                            </w:r>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20588" id="Cuadro de texto 1421088721" o:spid="_x0000_s1038" type="#_x0000_t202" style="position:absolute;margin-left:-.8pt;margin-top:26.6pt;width:435pt;height:14.1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" stroked="f">
                <v:textbox inset="0,0,0,0">
                  <w:txbxContent>
                    <w:p w14:paraId="636E2364" w14:textId="51B0215C" w:rsidR="00941411" w:rsidRPr="00D56429" w:rsidRDefault="00941411" w:rsidP="00545682">
                      <w:pPr>
                        <w:pStyle w:val="Descripcin"/>
                        <w:rPr>
                          <w:rFonts w:asciiTheme="majorHAnsi" w:eastAsia="Calibri" w:hAnsiTheme="majorHAnsi" w:cstheme="majorHAnsi"/>
                          <w:noProof/>
                          <w:color w:val="44546A"/>
                        </w:rPr>
                      </w:pPr>
                      <w:bookmarkStart w:id="118" w:name="_Toc199757560"/>
                      <w:r w:rsidRPr="00D56429">
                        <w:rPr>
                          <w:rFonts w:asciiTheme="majorHAnsi" w:hAnsiTheme="majorHAnsi"/>
                        </w:rPr>
                        <w:t xml:space="preserve">Figura </w:t>
                      </w:r>
                      <w:r w:rsidRPr="00D56429">
                        <w:rPr>
                          <w:rFonts w:asciiTheme="majorHAnsi" w:hAnsiTheme="majorHAnsi"/>
                        </w:rPr>
                        <w:fldChar w:fldCharType="begin"/>
                      </w:r>
                      <w:r w:rsidRPr="00D56429">
                        <w:rPr>
                          <w:rFonts w:asciiTheme="majorHAnsi" w:hAnsiTheme="majorHAnsi"/>
                        </w:rPr>
                        <w:instrText xml:space="preserve"> SEQ Figura \* ARABIC </w:instrText>
                      </w:r>
                      <w:r w:rsidRPr="00D56429">
                        <w:rPr>
                          <w:rFonts w:asciiTheme="majorHAnsi" w:hAnsiTheme="majorHAnsi"/>
                        </w:rPr>
                        <w:fldChar w:fldCharType="separate"/>
                      </w:r>
                      <w:r>
                        <w:rPr>
                          <w:rFonts w:asciiTheme="majorHAnsi" w:hAnsiTheme="majorHAnsi"/>
                          <w:noProof/>
                        </w:rPr>
                        <w:t>17</w:t>
                      </w:r>
                      <w:r w:rsidRPr="00D56429">
                        <w:rPr>
                          <w:rFonts w:asciiTheme="majorHAnsi" w:hAnsiTheme="majorHAnsi"/>
                        </w:rPr>
                        <w:fldChar w:fldCharType="end"/>
                      </w:r>
                      <w:r>
                        <w:rPr>
                          <w:rFonts w:asciiTheme="majorHAnsi" w:hAnsiTheme="majorHAnsi"/>
                        </w:rPr>
                        <w:t xml:space="preserve">: </w:t>
                      </w:r>
                      <w:r w:rsidRPr="00D56429">
                        <w:rPr>
                          <w:rFonts w:asciiTheme="majorHAnsi" w:hAnsiTheme="majorHAnsi"/>
                        </w:rPr>
                        <w:t>Participación por Segmento de Mercado del Periodo del Año 2024</w:t>
                      </w:r>
                      <w:bookmarkEnd w:id="118"/>
                    </w:p>
                  </w:txbxContent>
                </v:textbox>
                <w10:wrap type="topAndBottom"/>
              </v:shape>
            </w:pict>
          </mc:Fallback>
        </mc:AlternateContent>
      </w:r>
    </w:p>
    <w:p w14:paraId="0EA1B05E" w14:textId="24AE54DE" w:rsidR="0012332C" w:rsidRPr="00545682" w:rsidRDefault="00102E95" w:rsidP="00545682">
      <w:pPr>
        <w:pStyle w:val="Tablas"/>
        <w:spacing w:after="0"/>
        <w:jc w:val="left"/>
        <w:rPr>
          <w:rFonts w:asciiTheme="majorHAnsi" w:hAnsiTheme="majorHAnsi" w:cstheme="majorHAnsi"/>
        </w:rPr>
      </w:pPr>
      <w:bookmarkStart w:id="119" w:name="_Toc197334664"/>
      <w:r w:rsidRPr="000A1AE7">
        <w:rPr>
          <w:rFonts w:asciiTheme="majorHAnsi" w:hAnsiTheme="majorHAnsi" w:cstheme="majorHAnsi"/>
          <w:noProof/>
        </w:rPr>
        <w:drawing>
          <wp:anchor distT="0" distB="0" distL="0" distR="0" simplePos="0" relativeHeight="251671552" behindDoc="1" locked="0" layoutInCell="1" allowOverlap="1" wp14:anchorId="72343A4D" wp14:editId="698762EC">
            <wp:simplePos x="0" y="0"/>
            <wp:positionH relativeFrom="page">
              <wp:posOffset>1066800</wp:posOffset>
            </wp:positionH>
            <wp:positionV relativeFrom="paragraph">
              <wp:posOffset>240665</wp:posOffset>
            </wp:positionV>
            <wp:extent cx="5524500" cy="923925"/>
            <wp:effectExtent l="0" t="0" r="0" b="952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19"/>
    </w:p>
    <w:p w14:paraId="6598D74D" w14:textId="198CEB68" w:rsidR="00102E95" w:rsidRDefault="00102E95" w:rsidP="00067DE4">
      <w:pPr>
        <w:pStyle w:val="Descripcin"/>
        <w:rPr>
          <w:rFonts w:ascii="Calibri Light" w:hAnsi="Calibri Light" w:cs="Calibri Light"/>
          <w:iCs w:val="0"/>
          <w:color w:val="7F7F7F"/>
          <w:sz w:val="20"/>
          <w:szCs w:val="20"/>
        </w:rPr>
      </w:pPr>
      <w:r w:rsidRPr="00545682">
        <w:rPr>
          <w:rFonts w:ascii="Calibri Light" w:hAnsi="Calibri Light" w:cs="Calibri Light"/>
          <w:iCs w:val="0"/>
          <w:color w:val="7F7F7F"/>
        </w:rPr>
        <w:t>Fuente: Informe estadístico de los despachos de combustibles líquidos Derivados del petróleo (CLDP) y gas licuado de petróleo (GLP) En los diferentes segmentos de consumo</w:t>
      </w:r>
      <w:r w:rsidRPr="000A1AE7">
        <w:rPr>
          <w:rFonts w:ascii="Calibri Light" w:hAnsi="Calibri Light" w:cs="Calibri Light"/>
          <w:iCs w:val="0"/>
          <w:color w:val="7F7F7F"/>
          <w:sz w:val="20"/>
          <w:szCs w:val="20"/>
        </w:rPr>
        <w:t>.</w:t>
      </w:r>
    </w:p>
    <w:p w14:paraId="4E2FA782" w14:textId="77777777" w:rsidR="00067DE4" w:rsidRPr="00067DE4" w:rsidRDefault="00067DE4" w:rsidP="00067DE4"/>
    <w:p w14:paraId="385DDC8E" w14:textId="6CFC9E4F" w:rsidR="001A18BA" w:rsidRPr="0016337C" w:rsidRDefault="00102E95" w:rsidP="0016337C">
      <w:pPr>
        <w:pStyle w:val="Textoindependiente"/>
        <w:ind w:right="424"/>
        <w:jc w:val="both"/>
        <w:rPr>
          <w:rFonts w:asciiTheme="majorHAnsi" w:eastAsia="Calibri" w:hAnsiTheme="majorHAnsi" w:cstheme="majorHAnsi"/>
          <w:sz w:val="22"/>
        </w:rPr>
      </w:pPr>
      <w:bookmarkStart w:id="120" w:name="_bookmark2"/>
      <w:bookmarkStart w:id="121" w:name="_bookmark3"/>
      <w:bookmarkEnd w:id="120"/>
      <w:bookmarkEnd w:id="121"/>
      <w:r w:rsidRPr="0012332C">
        <w:rPr>
          <w:rFonts w:asciiTheme="majorHAnsi" w:eastAsia="Calibri" w:hAnsiTheme="majorHAnsi" w:cstheme="majorHAnsi"/>
          <w:sz w:val="22"/>
        </w:rPr>
        <w:t>El informe de Inversiones Ejecutadas y Compromiso Presupuestario, correspondiente al año 2024, de las operadoras privadas, que mantienen Contratos de Prestación de Servicios y Contratos de Participación para la Exploración y Explotación de Hidrocarburos (Petróleo Crudo), suscritos con el Estado ecuatoriano, a través de esta Cartera de Estado, alcanza una ejecución de inversión de US$ 429.2 Millones.</w:t>
      </w:r>
    </w:p>
    <w:p w14:paraId="6DE3A10D" w14:textId="77777777" w:rsidR="001A18BA" w:rsidRPr="00D36769" w:rsidRDefault="001A18BA" w:rsidP="00D36769">
      <w:pPr>
        <w:pStyle w:val="Tablas"/>
        <w:spacing w:after="0"/>
        <w:jc w:val="left"/>
        <w:rPr>
          <w:rFonts w:asciiTheme="majorHAnsi" w:hAnsiTheme="majorHAnsi" w:cstheme="majorHAnsi"/>
        </w:rPr>
      </w:pPr>
    </w:p>
    <w:p w14:paraId="01E3B0F3" w14:textId="4D92C41D" w:rsidR="00D36769" w:rsidRPr="00D36769" w:rsidRDefault="00D36769" w:rsidP="00D36769">
      <w:pPr>
        <w:pStyle w:val="Descripcin"/>
        <w:rPr>
          <w:rFonts w:asciiTheme="majorHAnsi" w:hAnsiTheme="majorHAnsi" w:cstheme="majorHAnsi"/>
        </w:rPr>
      </w:pPr>
      <w:bookmarkStart w:id="122" w:name="_Toc199759678"/>
      <w:r w:rsidRPr="00D36769">
        <w:rPr>
          <w:rFonts w:asciiTheme="majorHAnsi" w:hAnsiTheme="majorHAnsi" w:cstheme="majorHAnsi"/>
        </w:rPr>
        <w:t xml:space="preserve">Tabla </w:t>
      </w:r>
      <w:r w:rsidRPr="00D36769">
        <w:rPr>
          <w:rFonts w:asciiTheme="majorHAnsi" w:hAnsiTheme="majorHAnsi" w:cstheme="majorHAnsi"/>
        </w:rPr>
        <w:fldChar w:fldCharType="begin"/>
      </w:r>
      <w:r w:rsidRPr="00D36769">
        <w:rPr>
          <w:rFonts w:asciiTheme="majorHAnsi" w:hAnsiTheme="majorHAnsi" w:cstheme="majorHAnsi"/>
        </w:rPr>
        <w:instrText xml:space="preserve"> SEQ Tabla \* ARABIC </w:instrText>
      </w:r>
      <w:r w:rsidRPr="00D36769">
        <w:rPr>
          <w:rFonts w:asciiTheme="majorHAnsi" w:hAnsiTheme="majorHAnsi" w:cstheme="majorHAnsi"/>
        </w:rPr>
        <w:fldChar w:fldCharType="separate"/>
      </w:r>
      <w:r w:rsidR="00CF0AD2">
        <w:rPr>
          <w:rFonts w:asciiTheme="majorHAnsi" w:hAnsiTheme="majorHAnsi" w:cstheme="majorHAnsi"/>
          <w:noProof/>
        </w:rPr>
        <w:t>8</w:t>
      </w:r>
      <w:r w:rsidRPr="00D36769">
        <w:rPr>
          <w:rFonts w:asciiTheme="majorHAnsi" w:hAnsiTheme="majorHAnsi" w:cstheme="majorHAnsi"/>
        </w:rPr>
        <w:fldChar w:fldCharType="end"/>
      </w:r>
      <w:r w:rsidR="003A5515">
        <w:rPr>
          <w:rFonts w:asciiTheme="majorHAnsi" w:hAnsiTheme="majorHAnsi" w:cstheme="majorHAnsi"/>
        </w:rPr>
        <w:t>:</w:t>
      </w:r>
      <w:r w:rsidR="0016337C">
        <w:rPr>
          <w:rFonts w:asciiTheme="majorHAnsi" w:hAnsiTheme="majorHAnsi" w:cstheme="majorHAnsi"/>
        </w:rPr>
        <w:t xml:space="preserve"> </w:t>
      </w:r>
      <w:r w:rsidRPr="00D36769">
        <w:rPr>
          <w:rFonts w:asciiTheme="majorHAnsi" w:hAnsiTheme="majorHAnsi" w:cstheme="majorHAnsi"/>
        </w:rPr>
        <w:t>Inversión Ejecutadas y Compromisos Presupuestario Periodo del Año 2024</w:t>
      </w:r>
      <w:bookmarkEnd w:id="122"/>
    </w:p>
    <w:tbl>
      <w:tblPr>
        <w:tblW w:w="0" w:type="auto"/>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3"/>
        <w:gridCol w:w="1826"/>
        <w:gridCol w:w="1788"/>
      </w:tblGrid>
      <w:tr w:rsidR="00102E95" w:rsidRPr="00A51E6E" w14:paraId="5106C166" w14:textId="77777777" w:rsidTr="00067DE4">
        <w:trPr>
          <w:trHeight w:val="381"/>
          <w:tblHeader/>
        </w:trPr>
        <w:tc>
          <w:tcPr>
            <w:tcW w:w="2633" w:type="dxa"/>
            <w:tcBorders>
              <w:top w:val="nil"/>
              <w:left w:val="nil"/>
            </w:tcBorders>
            <w:shd w:val="clear" w:color="auto" w:fill="5B9BD4"/>
          </w:tcPr>
          <w:p w14:paraId="26C6B89A" w14:textId="42F8BD40" w:rsidR="00102E95" w:rsidRPr="003A5515" w:rsidRDefault="00102E95" w:rsidP="006E30AC">
            <w:pPr>
              <w:pStyle w:val="TableParagraph"/>
              <w:spacing w:before="143"/>
              <w:ind w:left="891"/>
              <w:jc w:val="center"/>
              <w:rPr>
                <w:rFonts w:asciiTheme="majorHAnsi" w:hAnsiTheme="majorHAnsi" w:cstheme="majorHAnsi"/>
                <w:sz w:val="20"/>
                <w:szCs w:val="20"/>
              </w:rPr>
            </w:pPr>
            <w:r w:rsidRPr="003A5515">
              <w:rPr>
                <w:rFonts w:asciiTheme="majorHAnsi" w:hAnsiTheme="majorHAnsi" w:cstheme="majorHAnsi"/>
                <w:color w:val="FFFFFF"/>
                <w:spacing w:val="-2"/>
                <w:sz w:val="20"/>
                <w:szCs w:val="20"/>
              </w:rPr>
              <w:t>I</w:t>
            </w:r>
            <w:r w:rsidR="001A18BA">
              <w:rPr>
                <w:rFonts w:asciiTheme="majorHAnsi" w:hAnsiTheme="majorHAnsi" w:cstheme="majorHAnsi"/>
                <w:color w:val="FFFFFF"/>
                <w:spacing w:val="-2"/>
                <w:sz w:val="20"/>
                <w:szCs w:val="20"/>
              </w:rPr>
              <w:t xml:space="preserve">nversión </w:t>
            </w:r>
          </w:p>
        </w:tc>
        <w:tc>
          <w:tcPr>
            <w:tcW w:w="1826" w:type="dxa"/>
            <w:tcBorders>
              <w:top w:val="nil"/>
            </w:tcBorders>
            <w:shd w:val="clear" w:color="auto" w:fill="5B9BD4"/>
          </w:tcPr>
          <w:p w14:paraId="30A4B4DA" w14:textId="77777777" w:rsidR="00102E95" w:rsidRPr="003A5515" w:rsidRDefault="00102E95" w:rsidP="006E30AC">
            <w:pPr>
              <w:pStyle w:val="TableParagraph"/>
              <w:spacing w:before="143"/>
              <w:ind w:left="391"/>
              <w:jc w:val="center"/>
              <w:rPr>
                <w:rFonts w:asciiTheme="majorHAnsi" w:hAnsiTheme="majorHAnsi" w:cstheme="majorHAnsi"/>
                <w:sz w:val="20"/>
                <w:szCs w:val="20"/>
              </w:rPr>
            </w:pPr>
            <w:r w:rsidRPr="003A5515">
              <w:rPr>
                <w:rFonts w:asciiTheme="majorHAnsi" w:hAnsiTheme="majorHAnsi" w:cstheme="majorHAnsi"/>
                <w:color w:val="FFFFFF"/>
                <w:spacing w:val="-2"/>
                <w:sz w:val="20"/>
                <w:szCs w:val="20"/>
              </w:rPr>
              <w:t>Compromiso</w:t>
            </w:r>
          </w:p>
        </w:tc>
        <w:tc>
          <w:tcPr>
            <w:tcW w:w="1788" w:type="dxa"/>
            <w:tcBorders>
              <w:top w:val="nil"/>
              <w:right w:val="nil"/>
            </w:tcBorders>
            <w:shd w:val="clear" w:color="auto" w:fill="5B9BD4"/>
          </w:tcPr>
          <w:p w14:paraId="39BADEEB" w14:textId="77777777" w:rsidR="00102E95" w:rsidRPr="003A5515" w:rsidRDefault="00102E95" w:rsidP="006E30AC">
            <w:pPr>
              <w:pStyle w:val="TableParagraph"/>
              <w:spacing w:before="143"/>
              <w:ind w:left="515"/>
              <w:jc w:val="center"/>
              <w:rPr>
                <w:rFonts w:asciiTheme="majorHAnsi" w:hAnsiTheme="majorHAnsi" w:cstheme="majorHAnsi"/>
                <w:sz w:val="20"/>
                <w:szCs w:val="20"/>
              </w:rPr>
            </w:pPr>
            <w:r w:rsidRPr="003A5515">
              <w:rPr>
                <w:rFonts w:asciiTheme="majorHAnsi" w:hAnsiTheme="majorHAnsi" w:cstheme="majorHAnsi"/>
                <w:color w:val="FFFFFF"/>
                <w:spacing w:val="-2"/>
                <w:sz w:val="20"/>
                <w:szCs w:val="20"/>
              </w:rPr>
              <w:t>Ejecución</w:t>
            </w:r>
          </w:p>
        </w:tc>
      </w:tr>
      <w:tr w:rsidR="00102E95" w:rsidRPr="00A51E6E" w14:paraId="11B905F8" w14:textId="77777777" w:rsidTr="001A18BA">
        <w:trPr>
          <w:trHeight w:val="432"/>
        </w:trPr>
        <w:tc>
          <w:tcPr>
            <w:tcW w:w="2633" w:type="dxa"/>
            <w:shd w:val="clear" w:color="auto" w:fill="auto"/>
          </w:tcPr>
          <w:p w14:paraId="0B3652B4" w14:textId="77777777" w:rsidR="00102E95" w:rsidRPr="003A5515" w:rsidRDefault="00102E95" w:rsidP="006E30AC">
            <w:pPr>
              <w:pStyle w:val="TableParagraph"/>
              <w:spacing w:before="30"/>
              <w:ind w:left="67"/>
              <w:jc w:val="center"/>
              <w:rPr>
                <w:rFonts w:asciiTheme="majorHAnsi" w:hAnsiTheme="majorHAnsi" w:cstheme="majorHAnsi"/>
                <w:sz w:val="20"/>
                <w:szCs w:val="20"/>
              </w:rPr>
            </w:pPr>
            <w:r w:rsidRPr="003A5515">
              <w:rPr>
                <w:rFonts w:asciiTheme="majorHAnsi" w:hAnsiTheme="majorHAnsi" w:cstheme="majorHAnsi"/>
                <w:sz w:val="20"/>
                <w:szCs w:val="20"/>
              </w:rPr>
              <w:t>Contratos</w:t>
            </w:r>
            <w:r w:rsidRPr="003A5515">
              <w:rPr>
                <w:rFonts w:asciiTheme="majorHAnsi" w:hAnsiTheme="majorHAnsi" w:cstheme="majorHAnsi"/>
                <w:spacing w:val="-13"/>
                <w:sz w:val="20"/>
                <w:szCs w:val="20"/>
              </w:rPr>
              <w:t xml:space="preserve"> </w:t>
            </w:r>
            <w:r w:rsidRPr="003A5515">
              <w:rPr>
                <w:rFonts w:asciiTheme="majorHAnsi" w:hAnsiTheme="majorHAnsi" w:cstheme="majorHAnsi"/>
                <w:sz w:val="20"/>
                <w:szCs w:val="20"/>
              </w:rPr>
              <w:t>de</w:t>
            </w:r>
            <w:r w:rsidRPr="003A5515">
              <w:rPr>
                <w:rFonts w:asciiTheme="majorHAnsi" w:hAnsiTheme="majorHAnsi" w:cstheme="majorHAnsi"/>
                <w:spacing w:val="-11"/>
                <w:sz w:val="20"/>
                <w:szCs w:val="20"/>
              </w:rPr>
              <w:t xml:space="preserve"> </w:t>
            </w:r>
            <w:r w:rsidRPr="003A5515">
              <w:rPr>
                <w:rFonts w:asciiTheme="majorHAnsi" w:hAnsiTheme="majorHAnsi" w:cstheme="majorHAnsi"/>
                <w:sz w:val="20"/>
                <w:szCs w:val="20"/>
              </w:rPr>
              <w:t>Prestación</w:t>
            </w:r>
            <w:r w:rsidRPr="003A5515">
              <w:rPr>
                <w:rFonts w:asciiTheme="majorHAnsi" w:hAnsiTheme="majorHAnsi" w:cstheme="majorHAnsi"/>
                <w:spacing w:val="-13"/>
                <w:sz w:val="20"/>
                <w:szCs w:val="20"/>
              </w:rPr>
              <w:t xml:space="preserve"> </w:t>
            </w:r>
            <w:r w:rsidRPr="003A5515">
              <w:rPr>
                <w:rFonts w:asciiTheme="majorHAnsi" w:hAnsiTheme="majorHAnsi" w:cstheme="majorHAnsi"/>
                <w:sz w:val="20"/>
                <w:szCs w:val="20"/>
              </w:rPr>
              <w:t xml:space="preserve">de </w:t>
            </w:r>
            <w:r w:rsidRPr="003A5515">
              <w:rPr>
                <w:rFonts w:asciiTheme="majorHAnsi" w:hAnsiTheme="majorHAnsi" w:cstheme="majorHAnsi"/>
                <w:spacing w:val="-2"/>
                <w:sz w:val="20"/>
                <w:szCs w:val="20"/>
              </w:rPr>
              <w:t>Servicios</w:t>
            </w:r>
          </w:p>
        </w:tc>
        <w:tc>
          <w:tcPr>
            <w:tcW w:w="1826" w:type="dxa"/>
            <w:shd w:val="clear" w:color="auto" w:fill="auto"/>
          </w:tcPr>
          <w:p w14:paraId="3E0F8567" w14:textId="77777777" w:rsidR="00102E95" w:rsidRPr="003A5515" w:rsidRDefault="00102E95" w:rsidP="006E30AC">
            <w:pPr>
              <w:pStyle w:val="TableParagraph"/>
              <w:tabs>
                <w:tab w:val="left" w:pos="558"/>
              </w:tabs>
              <w:spacing w:before="165"/>
              <w:ind w:right="58"/>
              <w:jc w:val="center"/>
              <w:rPr>
                <w:rFonts w:asciiTheme="majorHAnsi" w:hAnsiTheme="majorHAnsi" w:cstheme="majorHAnsi"/>
                <w:sz w:val="20"/>
                <w:szCs w:val="20"/>
              </w:rPr>
            </w:pPr>
            <w:r w:rsidRPr="003A5515">
              <w:rPr>
                <w:rFonts w:asciiTheme="majorHAnsi" w:hAnsiTheme="majorHAnsi" w:cstheme="majorHAnsi"/>
                <w:spacing w:val="-10"/>
                <w:sz w:val="20"/>
                <w:szCs w:val="20"/>
              </w:rPr>
              <w:t>$</w:t>
            </w:r>
            <w:r w:rsidRPr="003A5515">
              <w:rPr>
                <w:rFonts w:asciiTheme="majorHAnsi" w:hAnsiTheme="majorHAnsi" w:cstheme="majorHAnsi"/>
                <w:sz w:val="20"/>
                <w:szCs w:val="20"/>
              </w:rPr>
              <w:tab/>
            </w:r>
            <w:r w:rsidRPr="003A5515">
              <w:rPr>
                <w:rFonts w:asciiTheme="majorHAnsi" w:hAnsiTheme="majorHAnsi" w:cstheme="majorHAnsi"/>
                <w:spacing w:val="-2"/>
                <w:sz w:val="20"/>
                <w:szCs w:val="20"/>
              </w:rPr>
              <w:t>236.244.647</w:t>
            </w:r>
          </w:p>
        </w:tc>
        <w:tc>
          <w:tcPr>
            <w:tcW w:w="1788" w:type="dxa"/>
            <w:shd w:val="clear" w:color="auto" w:fill="auto"/>
          </w:tcPr>
          <w:p w14:paraId="747D9B3A" w14:textId="77777777" w:rsidR="00102E95" w:rsidRPr="003A5515" w:rsidRDefault="00102E95" w:rsidP="006E30AC">
            <w:pPr>
              <w:pStyle w:val="TableParagraph"/>
              <w:tabs>
                <w:tab w:val="left" w:pos="508"/>
              </w:tabs>
              <w:spacing w:before="165"/>
              <w:ind w:right="57"/>
              <w:jc w:val="center"/>
              <w:rPr>
                <w:rFonts w:asciiTheme="majorHAnsi" w:hAnsiTheme="majorHAnsi" w:cstheme="majorHAnsi"/>
                <w:sz w:val="20"/>
                <w:szCs w:val="20"/>
              </w:rPr>
            </w:pPr>
            <w:r w:rsidRPr="003A5515">
              <w:rPr>
                <w:rFonts w:asciiTheme="majorHAnsi" w:hAnsiTheme="majorHAnsi" w:cstheme="majorHAnsi"/>
                <w:spacing w:val="-10"/>
                <w:sz w:val="20"/>
                <w:szCs w:val="20"/>
              </w:rPr>
              <w:t>$</w:t>
            </w:r>
            <w:r w:rsidRPr="003A5515">
              <w:rPr>
                <w:rFonts w:asciiTheme="majorHAnsi" w:hAnsiTheme="majorHAnsi" w:cstheme="majorHAnsi"/>
                <w:sz w:val="20"/>
                <w:szCs w:val="20"/>
              </w:rPr>
              <w:tab/>
            </w:r>
            <w:r w:rsidRPr="003A5515">
              <w:rPr>
                <w:rFonts w:asciiTheme="majorHAnsi" w:hAnsiTheme="majorHAnsi" w:cstheme="majorHAnsi"/>
                <w:spacing w:val="-2"/>
                <w:sz w:val="20"/>
                <w:szCs w:val="20"/>
              </w:rPr>
              <w:t>260.404.522</w:t>
            </w:r>
          </w:p>
        </w:tc>
      </w:tr>
      <w:tr w:rsidR="00102E95" w:rsidRPr="00A51E6E" w14:paraId="3E460919" w14:textId="77777777" w:rsidTr="001A18BA">
        <w:trPr>
          <w:trHeight w:val="210"/>
        </w:trPr>
        <w:tc>
          <w:tcPr>
            <w:tcW w:w="2633" w:type="dxa"/>
            <w:shd w:val="clear" w:color="auto" w:fill="auto"/>
          </w:tcPr>
          <w:p w14:paraId="0226C55A" w14:textId="77777777" w:rsidR="00102E95" w:rsidRPr="003A5515" w:rsidRDefault="00102E95" w:rsidP="006E30AC">
            <w:pPr>
              <w:pStyle w:val="TableParagraph"/>
              <w:spacing w:before="162"/>
              <w:ind w:left="67"/>
              <w:jc w:val="center"/>
              <w:rPr>
                <w:rFonts w:asciiTheme="majorHAnsi" w:hAnsiTheme="majorHAnsi" w:cstheme="majorHAnsi"/>
                <w:sz w:val="20"/>
                <w:szCs w:val="20"/>
              </w:rPr>
            </w:pPr>
            <w:r w:rsidRPr="003A5515">
              <w:rPr>
                <w:rFonts w:asciiTheme="majorHAnsi" w:hAnsiTheme="majorHAnsi" w:cstheme="majorHAnsi"/>
                <w:sz w:val="20"/>
                <w:szCs w:val="20"/>
              </w:rPr>
              <w:t>Contratos</w:t>
            </w:r>
            <w:r w:rsidRPr="003A5515">
              <w:rPr>
                <w:rFonts w:asciiTheme="majorHAnsi" w:hAnsiTheme="majorHAnsi" w:cstheme="majorHAnsi"/>
                <w:spacing w:val="-3"/>
                <w:sz w:val="20"/>
                <w:szCs w:val="20"/>
              </w:rPr>
              <w:t xml:space="preserve"> </w:t>
            </w:r>
            <w:r w:rsidRPr="003A5515">
              <w:rPr>
                <w:rFonts w:asciiTheme="majorHAnsi" w:hAnsiTheme="majorHAnsi" w:cstheme="majorHAnsi"/>
                <w:sz w:val="20"/>
                <w:szCs w:val="20"/>
              </w:rPr>
              <w:t>de</w:t>
            </w:r>
            <w:r w:rsidRPr="003A5515">
              <w:rPr>
                <w:rFonts w:asciiTheme="majorHAnsi" w:hAnsiTheme="majorHAnsi" w:cstheme="majorHAnsi"/>
                <w:spacing w:val="-1"/>
                <w:sz w:val="20"/>
                <w:szCs w:val="20"/>
              </w:rPr>
              <w:t xml:space="preserve"> </w:t>
            </w:r>
            <w:r w:rsidRPr="003A5515">
              <w:rPr>
                <w:rFonts w:asciiTheme="majorHAnsi" w:hAnsiTheme="majorHAnsi" w:cstheme="majorHAnsi"/>
                <w:spacing w:val="-2"/>
                <w:sz w:val="20"/>
                <w:szCs w:val="20"/>
              </w:rPr>
              <w:t>Participación</w:t>
            </w:r>
          </w:p>
        </w:tc>
        <w:tc>
          <w:tcPr>
            <w:tcW w:w="1826" w:type="dxa"/>
            <w:shd w:val="clear" w:color="auto" w:fill="auto"/>
          </w:tcPr>
          <w:p w14:paraId="246DC166" w14:textId="77777777" w:rsidR="00102E95" w:rsidRPr="003A5515" w:rsidRDefault="00102E95" w:rsidP="006E30AC">
            <w:pPr>
              <w:pStyle w:val="TableParagraph"/>
              <w:tabs>
                <w:tab w:val="left" w:pos="558"/>
              </w:tabs>
              <w:spacing w:before="162"/>
              <w:ind w:right="58"/>
              <w:jc w:val="center"/>
              <w:rPr>
                <w:rFonts w:asciiTheme="majorHAnsi" w:hAnsiTheme="majorHAnsi" w:cstheme="majorHAnsi"/>
                <w:sz w:val="20"/>
                <w:szCs w:val="20"/>
              </w:rPr>
            </w:pPr>
            <w:r w:rsidRPr="003A5515">
              <w:rPr>
                <w:rFonts w:asciiTheme="majorHAnsi" w:hAnsiTheme="majorHAnsi" w:cstheme="majorHAnsi"/>
                <w:spacing w:val="-10"/>
                <w:sz w:val="20"/>
                <w:szCs w:val="20"/>
              </w:rPr>
              <w:t>$</w:t>
            </w:r>
            <w:r w:rsidRPr="003A5515">
              <w:rPr>
                <w:rFonts w:asciiTheme="majorHAnsi" w:hAnsiTheme="majorHAnsi" w:cstheme="majorHAnsi"/>
                <w:sz w:val="20"/>
                <w:szCs w:val="20"/>
              </w:rPr>
              <w:tab/>
            </w:r>
            <w:r w:rsidRPr="003A5515">
              <w:rPr>
                <w:rFonts w:asciiTheme="majorHAnsi" w:hAnsiTheme="majorHAnsi" w:cstheme="majorHAnsi"/>
                <w:spacing w:val="-2"/>
                <w:sz w:val="20"/>
                <w:szCs w:val="20"/>
              </w:rPr>
              <w:t>147.771.422</w:t>
            </w:r>
          </w:p>
        </w:tc>
        <w:tc>
          <w:tcPr>
            <w:tcW w:w="1788" w:type="dxa"/>
            <w:shd w:val="clear" w:color="auto" w:fill="auto"/>
          </w:tcPr>
          <w:p w14:paraId="21A12646" w14:textId="77777777" w:rsidR="00102E95" w:rsidRPr="003A5515" w:rsidRDefault="00102E95" w:rsidP="006E30AC">
            <w:pPr>
              <w:pStyle w:val="TableParagraph"/>
              <w:tabs>
                <w:tab w:val="left" w:pos="508"/>
              </w:tabs>
              <w:spacing w:before="162"/>
              <w:ind w:right="57"/>
              <w:jc w:val="center"/>
              <w:rPr>
                <w:rFonts w:asciiTheme="majorHAnsi" w:hAnsiTheme="majorHAnsi" w:cstheme="majorHAnsi"/>
                <w:sz w:val="20"/>
                <w:szCs w:val="20"/>
              </w:rPr>
            </w:pPr>
            <w:r w:rsidRPr="003A5515">
              <w:rPr>
                <w:rFonts w:asciiTheme="majorHAnsi" w:hAnsiTheme="majorHAnsi" w:cstheme="majorHAnsi"/>
                <w:spacing w:val="-10"/>
                <w:sz w:val="20"/>
                <w:szCs w:val="20"/>
              </w:rPr>
              <w:t>$</w:t>
            </w:r>
            <w:r w:rsidRPr="003A5515">
              <w:rPr>
                <w:rFonts w:asciiTheme="majorHAnsi" w:hAnsiTheme="majorHAnsi" w:cstheme="majorHAnsi"/>
                <w:sz w:val="20"/>
                <w:szCs w:val="20"/>
              </w:rPr>
              <w:tab/>
            </w:r>
            <w:r w:rsidRPr="003A5515">
              <w:rPr>
                <w:rFonts w:asciiTheme="majorHAnsi" w:hAnsiTheme="majorHAnsi" w:cstheme="majorHAnsi"/>
                <w:spacing w:val="-2"/>
                <w:sz w:val="20"/>
                <w:szCs w:val="20"/>
              </w:rPr>
              <w:t>168.865.734</w:t>
            </w:r>
          </w:p>
        </w:tc>
      </w:tr>
      <w:tr w:rsidR="00102E95" w:rsidRPr="00A51E6E" w14:paraId="377B2C4A" w14:textId="77777777" w:rsidTr="001A18BA">
        <w:trPr>
          <w:trHeight w:val="281"/>
        </w:trPr>
        <w:tc>
          <w:tcPr>
            <w:tcW w:w="2633" w:type="dxa"/>
            <w:shd w:val="clear" w:color="auto" w:fill="auto"/>
          </w:tcPr>
          <w:p w14:paraId="1FD7CA5E" w14:textId="77777777" w:rsidR="00102E95" w:rsidRPr="003A5515" w:rsidRDefault="00102E95" w:rsidP="006E30AC">
            <w:pPr>
              <w:pStyle w:val="TableParagraph"/>
              <w:spacing w:before="162"/>
              <w:ind w:left="67"/>
              <w:jc w:val="center"/>
              <w:rPr>
                <w:rFonts w:asciiTheme="majorHAnsi" w:hAnsiTheme="majorHAnsi" w:cstheme="majorHAnsi"/>
                <w:sz w:val="20"/>
                <w:szCs w:val="20"/>
              </w:rPr>
            </w:pPr>
            <w:r w:rsidRPr="003A5515">
              <w:rPr>
                <w:rFonts w:asciiTheme="majorHAnsi" w:hAnsiTheme="majorHAnsi" w:cstheme="majorHAnsi"/>
                <w:spacing w:val="-2"/>
                <w:sz w:val="20"/>
                <w:szCs w:val="20"/>
              </w:rPr>
              <w:t>TOTAL</w:t>
            </w:r>
          </w:p>
        </w:tc>
        <w:tc>
          <w:tcPr>
            <w:tcW w:w="1826" w:type="dxa"/>
            <w:shd w:val="clear" w:color="auto" w:fill="auto"/>
          </w:tcPr>
          <w:p w14:paraId="347B3A29" w14:textId="77777777" w:rsidR="00102E95" w:rsidRPr="003A5515" w:rsidRDefault="00102E95" w:rsidP="006E30AC">
            <w:pPr>
              <w:pStyle w:val="TableParagraph"/>
              <w:spacing w:before="162"/>
              <w:ind w:right="57"/>
              <w:jc w:val="center"/>
              <w:rPr>
                <w:rFonts w:asciiTheme="majorHAnsi" w:hAnsiTheme="majorHAnsi" w:cstheme="majorHAnsi"/>
                <w:sz w:val="20"/>
                <w:szCs w:val="20"/>
              </w:rPr>
            </w:pPr>
            <w:r w:rsidRPr="003A5515">
              <w:rPr>
                <w:rFonts w:asciiTheme="majorHAnsi" w:hAnsiTheme="majorHAnsi" w:cstheme="majorHAnsi"/>
                <w:sz w:val="20"/>
                <w:szCs w:val="20"/>
              </w:rPr>
              <w:t>$</w:t>
            </w:r>
            <w:r w:rsidRPr="003A5515">
              <w:rPr>
                <w:rFonts w:asciiTheme="majorHAnsi" w:hAnsiTheme="majorHAnsi" w:cstheme="majorHAnsi"/>
                <w:spacing w:val="44"/>
                <w:sz w:val="20"/>
                <w:szCs w:val="20"/>
              </w:rPr>
              <w:t xml:space="preserve"> </w:t>
            </w:r>
            <w:r w:rsidRPr="003A5515">
              <w:rPr>
                <w:rFonts w:asciiTheme="majorHAnsi" w:hAnsiTheme="majorHAnsi" w:cstheme="majorHAnsi"/>
                <w:spacing w:val="-2"/>
                <w:sz w:val="20"/>
                <w:szCs w:val="20"/>
              </w:rPr>
              <w:t>384.016.070</w:t>
            </w:r>
          </w:p>
        </w:tc>
        <w:tc>
          <w:tcPr>
            <w:tcW w:w="1788" w:type="dxa"/>
            <w:shd w:val="clear" w:color="auto" w:fill="auto"/>
          </w:tcPr>
          <w:p w14:paraId="767311B4" w14:textId="77777777" w:rsidR="00102E95" w:rsidRPr="003A5515" w:rsidRDefault="00102E95" w:rsidP="006E30AC">
            <w:pPr>
              <w:pStyle w:val="TableParagraph"/>
              <w:spacing w:before="162"/>
              <w:ind w:right="54"/>
              <w:jc w:val="center"/>
              <w:rPr>
                <w:rFonts w:asciiTheme="majorHAnsi" w:hAnsiTheme="majorHAnsi" w:cstheme="majorHAnsi"/>
                <w:sz w:val="20"/>
                <w:szCs w:val="20"/>
              </w:rPr>
            </w:pPr>
            <w:r w:rsidRPr="003A5515">
              <w:rPr>
                <w:rFonts w:asciiTheme="majorHAnsi" w:hAnsiTheme="majorHAnsi" w:cstheme="majorHAnsi"/>
                <w:sz w:val="20"/>
                <w:szCs w:val="20"/>
              </w:rPr>
              <w:t>$</w:t>
            </w:r>
            <w:r w:rsidRPr="003A5515">
              <w:rPr>
                <w:rFonts w:asciiTheme="majorHAnsi" w:hAnsiTheme="majorHAnsi" w:cstheme="majorHAnsi"/>
                <w:spacing w:val="44"/>
                <w:sz w:val="20"/>
                <w:szCs w:val="20"/>
              </w:rPr>
              <w:t xml:space="preserve"> </w:t>
            </w:r>
            <w:r w:rsidRPr="003A5515">
              <w:rPr>
                <w:rFonts w:asciiTheme="majorHAnsi" w:hAnsiTheme="majorHAnsi" w:cstheme="majorHAnsi"/>
                <w:spacing w:val="-2"/>
                <w:sz w:val="20"/>
                <w:szCs w:val="20"/>
              </w:rPr>
              <w:t>429.270.256</w:t>
            </w:r>
          </w:p>
        </w:tc>
      </w:tr>
    </w:tbl>
    <w:p w14:paraId="79F1F5DE" w14:textId="1539FEF2" w:rsidR="00102E95" w:rsidRPr="00067DE4" w:rsidRDefault="00102E95" w:rsidP="00067DE4">
      <w:pPr>
        <w:pStyle w:val="Textoindependiente"/>
        <w:spacing w:before="6"/>
        <w:ind w:left="1459" w:right="472"/>
        <w:jc w:val="center"/>
        <w:rPr>
          <w:rFonts w:eastAsia="Calibri"/>
          <w:color w:val="7F7F7F"/>
          <w:sz w:val="16"/>
          <w:szCs w:val="16"/>
        </w:rPr>
      </w:pPr>
      <w:r w:rsidRPr="0012332C">
        <w:rPr>
          <w:rFonts w:eastAsia="Calibri"/>
          <w:color w:val="7F7F7F"/>
          <w:sz w:val="16"/>
          <w:szCs w:val="16"/>
        </w:rPr>
        <w:t>Fuente: MEM-</w:t>
      </w:r>
      <w:r w:rsidRPr="0012332C">
        <w:rPr>
          <w:sz w:val="16"/>
          <w:szCs w:val="16"/>
        </w:rPr>
        <w:t xml:space="preserve"> </w:t>
      </w:r>
      <w:r w:rsidRPr="0012332C">
        <w:rPr>
          <w:rFonts w:eastAsia="Calibri"/>
          <w:color w:val="7F7F7F"/>
          <w:sz w:val="16"/>
          <w:szCs w:val="16"/>
        </w:rPr>
        <w:t>DPPSTCHAA.</w:t>
      </w:r>
    </w:p>
    <w:p w14:paraId="5272390A" w14:textId="563D4D8C" w:rsidR="00102E95" w:rsidRPr="00D56429" w:rsidRDefault="00102E95" w:rsidP="00102E95">
      <w:pPr>
        <w:pStyle w:val="Tablas"/>
        <w:rPr>
          <w:rFonts w:asciiTheme="majorHAnsi" w:hAnsiTheme="majorHAnsi"/>
        </w:rPr>
      </w:pPr>
      <w:bookmarkStart w:id="123" w:name="_Toc197334703"/>
      <w:bookmarkStart w:id="124" w:name="_Toc199757561"/>
      <w:r w:rsidRPr="00D56429">
        <w:rPr>
          <w:rFonts w:asciiTheme="majorHAnsi" w:hAnsiTheme="majorHAnsi"/>
          <w:noProof/>
        </w:rPr>
        <w:lastRenderedPageBreak/>
        <w:drawing>
          <wp:anchor distT="0" distB="0" distL="0" distR="0" simplePos="0" relativeHeight="251672576" behindDoc="1" locked="0" layoutInCell="1" allowOverlap="1" wp14:anchorId="58AD858C" wp14:editId="52F84785">
            <wp:simplePos x="0" y="0"/>
            <wp:positionH relativeFrom="page">
              <wp:posOffset>2388870</wp:posOffset>
            </wp:positionH>
            <wp:positionV relativeFrom="paragraph">
              <wp:posOffset>194945</wp:posOffset>
            </wp:positionV>
            <wp:extent cx="3023235" cy="1701800"/>
            <wp:effectExtent l="0" t="0" r="5715" b="0"/>
            <wp:wrapTopAndBottom/>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323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429">
        <w:rPr>
          <w:rFonts w:asciiTheme="majorHAnsi" w:hAnsiTheme="majorHAnsi"/>
        </w:rPr>
        <w:t xml:space="preserve">Figura </w:t>
      </w:r>
      <w:r w:rsidR="002026B0" w:rsidRPr="00D56429">
        <w:rPr>
          <w:rFonts w:asciiTheme="majorHAnsi" w:hAnsiTheme="majorHAnsi"/>
        </w:rPr>
        <w:fldChar w:fldCharType="begin"/>
      </w:r>
      <w:r w:rsidR="002026B0" w:rsidRPr="00D56429">
        <w:rPr>
          <w:rFonts w:asciiTheme="majorHAnsi" w:hAnsiTheme="majorHAnsi"/>
        </w:rPr>
        <w:instrText xml:space="preserve"> SEQ Figura \* ARABIC </w:instrText>
      </w:r>
      <w:r w:rsidR="002026B0" w:rsidRPr="00D56429">
        <w:rPr>
          <w:rFonts w:asciiTheme="majorHAnsi" w:hAnsiTheme="majorHAnsi"/>
        </w:rPr>
        <w:fldChar w:fldCharType="separate"/>
      </w:r>
      <w:r w:rsidR="0016337C">
        <w:rPr>
          <w:rFonts w:asciiTheme="majorHAnsi" w:hAnsiTheme="majorHAnsi"/>
          <w:noProof/>
        </w:rPr>
        <w:t>18</w:t>
      </w:r>
      <w:r w:rsidR="002026B0" w:rsidRPr="00D56429">
        <w:rPr>
          <w:rFonts w:asciiTheme="majorHAnsi" w:hAnsiTheme="majorHAnsi"/>
        </w:rPr>
        <w:fldChar w:fldCharType="end"/>
      </w:r>
      <w:r w:rsidRPr="00D56429">
        <w:rPr>
          <w:rFonts w:asciiTheme="majorHAnsi" w:hAnsiTheme="majorHAnsi"/>
        </w:rPr>
        <w:t xml:space="preserve">: Inversión Ejecutada año </w:t>
      </w:r>
      <w:r w:rsidRPr="00D56429">
        <w:rPr>
          <w:rFonts w:asciiTheme="majorHAnsi" w:hAnsiTheme="majorHAnsi"/>
          <w:spacing w:val="-4"/>
        </w:rPr>
        <w:t>2024</w:t>
      </w:r>
      <w:bookmarkEnd w:id="123"/>
      <w:bookmarkEnd w:id="124"/>
    </w:p>
    <w:p w14:paraId="19B89E79" w14:textId="1B106FD4" w:rsidR="0012332C" w:rsidRDefault="00102E95" w:rsidP="006E30AC">
      <w:pPr>
        <w:pStyle w:val="Textoindependiente"/>
        <w:ind w:left="1459" w:right="472"/>
        <w:jc w:val="center"/>
        <w:rPr>
          <w:rFonts w:eastAsia="Calibri"/>
          <w:color w:val="7F7F7F"/>
          <w:sz w:val="16"/>
          <w:szCs w:val="16"/>
        </w:rPr>
      </w:pPr>
      <w:r w:rsidRPr="0012332C">
        <w:rPr>
          <w:rFonts w:eastAsia="Calibri"/>
          <w:color w:val="7F7F7F"/>
          <w:sz w:val="16"/>
          <w:szCs w:val="16"/>
        </w:rPr>
        <w:t>Fuente: MEM-</w:t>
      </w:r>
      <w:r w:rsidRPr="0012332C">
        <w:rPr>
          <w:sz w:val="16"/>
          <w:szCs w:val="16"/>
        </w:rPr>
        <w:t xml:space="preserve"> </w:t>
      </w:r>
      <w:r w:rsidRPr="0012332C">
        <w:rPr>
          <w:rFonts w:eastAsia="Calibri"/>
          <w:color w:val="7F7F7F"/>
          <w:sz w:val="16"/>
          <w:szCs w:val="16"/>
        </w:rPr>
        <w:t>DPPSTCHAA.</w:t>
      </w:r>
    </w:p>
    <w:p w14:paraId="4133B29B" w14:textId="77777777" w:rsidR="003A5515" w:rsidRPr="006E30AC" w:rsidRDefault="003A5515" w:rsidP="006E30AC">
      <w:pPr>
        <w:pStyle w:val="Textoindependiente"/>
        <w:ind w:left="1459" w:right="472"/>
        <w:jc w:val="center"/>
        <w:rPr>
          <w:rFonts w:eastAsia="Calibri"/>
          <w:color w:val="7F7F7F"/>
          <w:sz w:val="16"/>
          <w:szCs w:val="16"/>
        </w:rPr>
      </w:pPr>
    </w:p>
    <w:p w14:paraId="4BCBBACB" w14:textId="20E5BCD3" w:rsidR="001A18BA" w:rsidRPr="0012332C" w:rsidRDefault="00102E95" w:rsidP="00102E95">
      <w:pPr>
        <w:pStyle w:val="Textoindependiente"/>
        <w:ind w:right="424"/>
        <w:jc w:val="both"/>
        <w:rPr>
          <w:rFonts w:asciiTheme="majorHAnsi" w:eastAsia="Calibri" w:hAnsiTheme="majorHAnsi" w:cstheme="majorHAnsi"/>
          <w:sz w:val="22"/>
        </w:rPr>
      </w:pPr>
      <w:r w:rsidRPr="0012332C">
        <w:rPr>
          <w:rFonts w:asciiTheme="majorHAnsi" w:eastAsia="Calibri" w:hAnsiTheme="majorHAnsi" w:cstheme="majorHAnsi"/>
          <w:sz w:val="22"/>
        </w:rPr>
        <w:t>La Subsecretaría de Administración de Contratos de Hidrocarburos y Áreas Asignadas – SACHAA, realiza el seguimiento mensual a la ejecución presupuestaria de actividades de 23 Contratos para la Exploración y Explotación de Hidrocarburos, suscritos con el Estado ecuatoriano, en dos modalidades: Prestación de Servicios y Participación.</w:t>
      </w:r>
    </w:p>
    <w:p w14:paraId="1B939C8F" w14:textId="28899EA8" w:rsidR="00102E95" w:rsidRPr="0012332C" w:rsidRDefault="00102E95" w:rsidP="00102E95">
      <w:pPr>
        <w:pStyle w:val="Textoindependiente"/>
        <w:ind w:right="424"/>
        <w:jc w:val="both"/>
        <w:rPr>
          <w:rFonts w:asciiTheme="majorHAnsi" w:eastAsia="Calibri" w:hAnsiTheme="majorHAnsi" w:cstheme="majorHAnsi"/>
          <w:sz w:val="22"/>
        </w:rPr>
      </w:pPr>
      <w:r w:rsidRPr="0012332C">
        <w:rPr>
          <w:rFonts w:asciiTheme="majorHAnsi" w:eastAsia="Calibri" w:hAnsiTheme="majorHAnsi" w:cstheme="majorHAnsi"/>
          <w:sz w:val="22"/>
        </w:rPr>
        <w:t xml:space="preserve">Son 16 Contratos de Prestación de Servicios que al momento se encuentran vigentes, de éstos, 14 Contratos están en fase de Explotación y 2 Contratos en fase de Exploración. Los Contratos de Participación al momento son 10 y se encuentran en etapa de Exploración; sin embargo, la información presentada sobre inversiones solo corresponde a los que corresponden a la </w:t>
      </w:r>
      <w:proofErr w:type="spellStart"/>
      <w:r w:rsidRPr="0012332C">
        <w:rPr>
          <w:rFonts w:asciiTheme="majorHAnsi" w:eastAsia="Calibri" w:hAnsiTheme="majorHAnsi" w:cstheme="majorHAnsi"/>
          <w:sz w:val="22"/>
        </w:rPr>
        <w:t>Intracampos</w:t>
      </w:r>
      <w:proofErr w:type="spellEnd"/>
      <w:r w:rsidRPr="0012332C">
        <w:rPr>
          <w:rFonts w:asciiTheme="majorHAnsi" w:eastAsia="Calibri" w:hAnsiTheme="majorHAnsi" w:cstheme="majorHAnsi"/>
          <w:sz w:val="22"/>
        </w:rPr>
        <w:t xml:space="preserve"> I, es decir, a 7 Contratos de Participación.</w:t>
      </w:r>
    </w:p>
    <w:p w14:paraId="0E776962" w14:textId="429848C1" w:rsidR="00102E95" w:rsidRPr="0012332C" w:rsidRDefault="00102E95" w:rsidP="00102E95">
      <w:pPr>
        <w:pStyle w:val="Textoindependiente"/>
        <w:ind w:right="424"/>
        <w:jc w:val="both"/>
        <w:rPr>
          <w:rFonts w:asciiTheme="majorHAnsi" w:eastAsia="Calibri" w:hAnsiTheme="majorHAnsi" w:cstheme="majorHAnsi"/>
          <w:sz w:val="22"/>
        </w:rPr>
      </w:pPr>
      <w:r w:rsidRPr="0012332C">
        <w:rPr>
          <w:rFonts w:asciiTheme="majorHAnsi" w:eastAsia="Calibri" w:hAnsiTheme="majorHAnsi" w:cstheme="majorHAnsi"/>
          <w:sz w:val="22"/>
        </w:rPr>
        <w:t>A diciembre de 2024 se evidencia una inversión ejecutada acumulada de US$ 429 millones de dólares, debido al incremento en inversión de las operadoras, a fin de sostener la declinación de los campos maduros, garantizar el incremento de producción y la correcta operación de los campos.</w:t>
      </w:r>
    </w:p>
    <w:p w14:paraId="1612871B" w14:textId="77777777" w:rsidR="00102E95" w:rsidRPr="0012332C" w:rsidRDefault="00102E95" w:rsidP="00102E95">
      <w:pPr>
        <w:pStyle w:val="Textoindependiente"/>
        <w:ind w:right="424"/>
        <w:jc w:val="both"/>
        <w:rPr>
          <w:rFonts w:asciiTheme="majorHAnsi" w:eastAsia="Calibri" w:hAnsiTheme="majorHAnsi" w:cstheme="majorHAnsi"/>
          <w:sz w:val="22"/>
        </w:rPr>
      </w:pPr>
      <w:r w:rsidRPr="0012332C">
        <w:rPr>
          <w:rFonts w:asciiTheme="majorHAnsi" w:eastAsia="Calibri" w:hAnsiTheme="majorHAnsi" w:cstheme="majorHAnsi"/>
          <w:sz w:val="22"/>
        </w:rPr>
        <w:t xml:space="preserve">De los Contratos de Prestación de Servicios para la Exploración y Explotación de Hidrocarburos (Petróleo crudo), en el 2024, se visualiza que el Bloque petrolero con mayor inversión es Mauro Dávalos Cordero MDC (46), operado por </w:t>
      </w:r>
      <w:proofErr w:type="spellStart"/>
      <w:r w:rsidRPr="0012332C">
        <w:rPr>
          <w:rFonts w:asciiTheme="majorHAnsi" w:eastAsia="Calibri" w:hAnsiTheme="majorHAnsi" w:cstheme="majorHAnsi"/>
          <w:sz w:val="22"/>
        </w:rPr>
        <w:t>Enap</w:t>
      </w:r>
      <w:proofErr w:type="spellEnd"/>
      <w:r w:rsidRPr="0012332C">
        <w:rPr>
          <w:rFonts w:asciiTheme="majorHAnsi" w:eastAsia="Calibri" w:hAnsiTheme="majorHAnsi" w:cstheme="majorHAnsi"/>
          <w:sz w:val="22"/>
        </w:rPr>
        <w:t xml:space="preserve"> </w:t>
      </w:r>
      <w:proofErr w:type="spellStart"/>
      <w:r w:rsidRPr="0012332C">
        <w:rPr>
          <w:rFonts w:asciiTheme="majorHAnsi" w:eastAsia="Calibri" w:hAnsiTheme="majorHAnsi" w:cstheme="majorHAnsi"/>
          <w:sz w:val="22"/>
        </w:rPr>
        <w:t>Sipetrol</w:t>
      </w:r>
      <w:proofErr w:type="spellEnd"/>
      <w:r w:rsidRPr="0012332C">
        <w:rPr>
          <w:rFonts w:asciiTheme="majorHAnsi" w:eastAsia="Calibri" w:hAnsiTheme="majorHAnsi" w:cstheme="majorHAnsi"/>
          <w:sz w:val="22"/>
        </w:rPr>
        <w:t xml:space="preserve"> S.A., que alcanza un monto de inversiones ejecutadas acumuladas de US$ 80 millones de dólares.</w:t>
      </w:r>
    </w:p>
    <w:p w14:paraId="5FD5DA9E" w14:textId="2FE767EE" w:rsidR="00102E95" w:rsidRPr="00D56429" w:rsidRDefault="00102E95" w:rsidP="003A5515">
      <w:pPr>
        <w:pStyle w:val="Tablas"/>
        <w:spacing w:after="0"/>
        <w:rPr>
          <w:rFonts w:asciiTheme="majorHAnsi" w:hAnsiTheme="majorHAnsi"/>
        </w:rPr>
      </w:pPr>
      <w:bookmarkStart w:id="125" w:name="_Toc197334704"/>
      <w:bookmarkStart w:id="126" w:name="_Toc199757562"/>
      <w:r w:rsidRPr="00D56429">
        <w:rPr>
          <w:rFonts w:asciiTheme="majorHAnsi" w:hAnsiTheme="majorHAnsi"/>
        </w:rPr>
        <w:t xml:space="preserve">Figura </w:t>
      </w:r>
      <w:r w:rsidR="002026B0" w:rsidRPr="00D56429">
        <w:rPr>
          <w:rFonts w:asciiTheme="majorHAnsi" w:hAnsiTheme="majorHAnsi"/>
        </w:rPr>
        <w:fldChar w:fldCharType="begin"/>
      </w:r>
      <w:r w:rsidR="002026B0" w:rsidRPr="00D56429">
        <w:rPr>
          <w:rFonts w:asciiTheme="majorHAnsi" w:hAnsiTheme="majorHAnsi"/>
        </w:rPr>
        <w:instrText xml:space="preserve"> SEQ Figura \* ARABIC </w:instrText>
      </w:r>
      <w:r w:rsidR="002026B0" w:rsidRPr="00D56429">
        <w:rPr>
          <w:rFonts w:asciiTheme="majorHAnsi" w:hAnsiTheme="majorHAnsi"/>
        </w:rPr>
        <w:fldChar w:fldCharType="separate"/>
      </w:r>
      <w:r w:rsidR="0016337C">
        <w:rPr>
          <w:rFonts w:asciiTheme="majorHAnsi" w:hAnsiTheme="majorHAnsi"/>
          <w:noProof/>
        </w:rPr>
        <w:t>19</w:t>
      </w:r>
      <w:r w:rsidR="002026B0" w:rsidRPr="00D56429">
        <w:rPr>
          <w:rFonts w:asciiTheme="majorHAnsi" w:hAnsiTheme="majorHAnsi"/>
        </w:rPr>
        <w:fldChar w:fldCharType="end"/>
      </w:r>
      <w:r w:rsidRPr="00D56429">
        <w:rPr>
          <w:rFonts w:asciiTheme="majorHAnsi" w:hAnsiTheme="majorHAnsi"/>
        </w:rPr>
        <w:t xml:space="preserve">: Inversión Ejecutada Contratos de Prestación de Servicios año </w:t>
      </w:r>
      <w:r w:rsidRPr="00D56429">
        <w:rPr>
          <w:rFonts w:asciiTheme="majorHAnsi" w:hAnsiTheme="majorHAnsi"/>
          <w:spacing w:val="-4"/>
        </w:rPr>
        <w:t>2024</w:t>
      </w:r>
      <w:bookmarkEnd w:id="125"/>
      <w:bookmarkEnd w:id="126"/>
    </w:p>
    <w:p w14:paraId="6A826278" w14:textId="0F195C8E" w:rsidR="003A5515" w:rsidRPr="006E30AC" w:rsidRDefault="00067DE4" w:rsidP="003A5515">
      <w:pPr>
        <w:pStyle w:val="Textoindependiente"/>
        <w:spacing w:before="6"/>
        <w:ind w:right="472"/>
        <w:rPr>
          <w:rFonts w:eastAsia="Calibri"/>
          <w:color w:val="7F7F7F"/>
          <w:sz w:val="16"/>
          <w:szCs w:val="16"/>
        </w:rPr>
      </w:pPr>
      <w:r w:rsidRPr="00D56429">
        <w:rPr>
          <w:rFonts w:asciiTheme="majorHAnsi" w:hAnsiTheme="majorHAnsi"/>
          <w:noProof/>
        </w:rPr>
        <w:drawing>
          <wp:anchor distT="0" distB="0" distL="0" distR="0" simplePos="0" relativeHeight="251673600" behindDoc="1" locked="0" layoutInCell="1" allowOverlap="1" wp14:anchorId="13E92327" wp14:editId="55ED63C5">
            <wp:simplePos x="0" y="0"/>
            <wp:positionH relativeFrom="margin">
              <wp:posOffset>638175</wp:posOffset>
            </wp:positionH>
            <wp:positionV relativeFrom="paragraph">
              <wp:posOffset>139065</wp:posOffset>
            </wp:positionV>
            <wp:extent cx="3680460" cy="1851660"/>
            <wp:effectExtent l="0" t="0" r="0" b="0"/>
            <wp:wrapTopAndBottom/>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0460"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939BC" w14:textId="0818A3DE" w:rsidR="00102E95" w:rsidRPr="00F7193D" w:rsidRDefault="003A5515" w:rsidP="00F7193D">
      <w:pPr>
        <w:pStyle w:val="Textoindependiente"/>
        <w:spacing w:before="6"/>
        <w:ind w:right="472"/>
        <w:rPr>
          <w:rFonts w:eastAsia="Calibri"/>
          <w:color w:val="7F7F7F"/>
          <w:sz w:val="16"/>
          <w:szCs w:val="16"/>
        </w:rPr>
      </w:pPr>
      <w:r>
        <w:rPr>
          <w:rFonts w:eastAsia="Calibri"/>
          <w:sz w:val="22"/>
        </w:rPr>
        <w:t xml:space="preserve">                   </w:t>
      </w:r>
      <w:r w:rsidRPr="0012332C">
        <w:rPr>
          <w:rFonts w:eastAsia="Calibri"/>
          <w:color w:val="7F7F7F"/>
          <w:sz w:val="16"/>
          <w:szCs w:val="16"/>
        </w:rPr>
        <w:t>Fuente: MEM-</w:t>
      </w:r>
      <w:r w:rsidRPr="0012332C">
        <w:rPr>
          <w:sz w:val="16"/>
          <w:szCs w:val="16"/>
        </w:rPr>
        <w:t xml:space="preserve"> </w:t>
      </w:r>
      <w:r w:rsidRPr="0012332C">
        <w:rPr>
          <w:rFonts w:eastAsia="Calibri"/>
          <w:color w:val="7F7F7F"/>
          <w:sz w:val="16"/>
          <w:szCs w:val="16"/>
        </w:rPr>
        <w:t>DPPSTCHAA.</w:t>
      </w:r>
    </w:p>
    <w:p w14:paraId="4FA7BB0C" w14:textId="3DCB7767" w:rsidR="00102E95" w:rsidRPr="00A51E6E" w:rsidRDefault="00102E95" w:rsidP="00102E95">
      <w:pPr>
        <w:pStyle w:val="Textoindependiente"/>
        <w:ind w:right="424"/>
        <w:jc w:val="both"/>
        <w:rPr>
          <w:rFonts w:eastAsia="Calibri"/>
          <w:sz w:val="22"/>
        </w:rPr>
      </w:pPr>
      <w:r w:rsidRPr="0012332C">
        <w:rPr>
          <w:rFonts w:asciiTheme="majorHAnsi" w:eastAsia="Calibri" w:hAnsiTheme="majorHAnsi" w:cstheme="majorHAnsi"/>
          <w:sz w:val="22"/>
        </w:rPr>
        <w:t xml:space="preserve">Por su parte, de los Contratos de Participación para la Exploración y Explotación de Hidrocarburos (Petróleo crudo), en el período 2024, se muestra que el Bloque petrolero con mayor inversión es </w:t>
      </w:r>
      <w:proofErr w:type="spellStart"/>
      <w:r w:rsidRPr="0012332C">
        <w:rPr>
          <w:rFonts w:asciiTheme="majorHAnsi" w:eastAsia="Calibri" w:hAnsiTheme="majorHAnsi" w:cstheme="majorHAnsi"/>
          <w:sz w:val="22"/>
        </w:rPr>
        <w:t>Chanangue</w:t>
      </w:r>
      <w:proofErr w:type="spellEnd"/>
      <w:r w:rsidRPr="0012332C">
        <w:rPr>
          <w:rFonts w:asciiTheme="majorHAnsi" w:eastAsia="Calibri" w:hAnsiTheme="majorHAnsi" w:cstheme="majorHAnsi"/>
          <w:sz w:val="22"/>
        </w:rPr>
        <w:t xml:space="preserve"> (51), operado por Gran Tierra Energy, que alcanza un monto de inversiones ejecutadas acumuladas de US$ 59 millones de dólares</w:t>
      </w:r>
      <w:r w:rsidRPr="00A51E6E">
        <w:rPr>
          <w:rFonts w:eastAsia="Calibri"/>
          <w:sz w:val="22"/>
        </w:rPr>
        <w:t>.</w:t>
      </w:r>
    </w:p>
    <w:p w14:paraId="70BF8DA1" w14:textId="616F6C4A" w:rsidR="00102E95" w:rsidRPr="00D56429" w:rsidRDefault="00102E95" w:rsidP="00FE7273">
      <w:pPr>
        <w:pStyle w:val="Tablas"/>
        <w:spacing w:after="0"/>
        <w:rPr>
          <w:rFonts w:asciiTheme="majorHAnsi" w:hAnsiTheme="majorHAnsi"/>
        </w:rPr>
      </w:pPr>
      <w:bookmarkStart w:id="127" w:name="_Toc197334705"/>
      <w:bookmarkStart w:id="128" w:name="_Toc199757563"/>
      <w:r w:rsidRPr="00D56429">
        <w:rPr>
          <w:rFonts w:asciiTheme="majorHAnsi" w:hAnsiTheme="majorHAnsi"/>
          <w:noProof/>
        </w:rPr>
        <w:lastRenderedPageBreak/>
        <w:drawing>
          <wp:anchor distT="0" distB="0" distL="0" distR="0" simplePos="0" relativeHeight="251674624" behindDoc="1" locked="0" layoutInCell="1" allowOverlap="1" wp14:anchorId="71F65A18" wp14:editId="028D072E">
            <wp:simplePos x="0" y="0"/>
            <wp:positionH relativeFrom="page">
              <wp:posOffset>1802130</wp:posOffset>
            </wp:positionH>
            <wp:positionV relativeFrom="paragraph">
              <wp:posOffset>267970</wp:posOffset>
            </wp:positionV>
            <wp:extent cx="3414395" cy="1421765"/>
            <wp:effectExtent l="0" t="0" r="0" b="6985"/>
            <wp:wrapTopAndBottom/>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439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429">
        <w:rPr>
          <w:rFonts w:asciiTheme="majorHAnsi" w:hAnsiTheme="majorHAnsi"/>
        </w:rPr>
        <w:t xml:space="preserve">Figura </w:t>
      </w:r>
      <w:r w:rsidR="002026B0" w:rsidRPr="00D56429">
        <w:rPr>
          <w:rFonts w:asciiTheme="majorHAnsi" w:hAnsiTheme="majorHAnsi"/>
        </w:rPr>
        <w:fldChar w:fldCharType="begin"/>
      </w:r>
      <w:r w:rsidR="002026B0" w:rsidRPr="00D56429">
        <w:rPr>
          <w:rFonts w:asciiTheme="majorHAnsi" w:hAnsiTheme="majorHAnsi"/>
        </w:rPr>
        <w:instrText xml:space="preserve"> SEQ Figura \* ARABIC </w:instrText>
      </w:r>
      <w:r w:rsidR="002026B0" w:rsidRPr="00D56429">
        <w:rPr>
          <w:rFonts w:asciiTheme="majorHAnsi" w:hAnsiTheme="majorHAnsi"/>
        </w:rPr>
        <w:fldChar w:fldCharType="separate"/>
      </w:r>
      <w:r w:rsidR="0016337C">
        <w:rPr>
          <w:rFonts w:asciiTheme="majorHAnsi" w:hAnsiTheme="majorHAnsi"/>
          <w:noProof/>
        </w:rPr>
        <w:t>20</w:t>
      </w:r>
      <w:r w:rsidR="002026B0" w:rsidRPr="00D56429">
        <w:rPr>
          <w:rFonts w:asciiTheme="majorHAnsi" w:hAnsiTheme="majorHAnsi"/>
        </w:rPr>
        <w:fldChar w:fldCharType="end"/>
      </w:r>
      <w:r w:rsidRPr="00D56429">
        <w:rPr>
          <w:rFonts w:asciiTheme="majorHAnsi" w:hAnsiTheme="majorHAnsi"/>
        </w:rPr>
        <w:t xml:space="preserve">: Inversión Ejecutada Contratos de Participación año </w:t>
      </w:r>
      <w:r w:rsidRPr="00D56429">
        <w:rPr>
          <w:rFonts w:asciiTheme="majorHAnsi" w:hAnsiTheme="majorHAnsi"/>
          <w:spacing w:val="-4"/>
        </w:rPr>
        <w:t>2024</w:t>
      </w:r>
      <w:bookmarkEnd w:id="127"/>
      <w:bookmarkEnd w:id="128"/>
    </w:p>
    <w:p w14:paraId="1BAC920A" w14:textId="44606E40" w:rsidR="00102E95" w:rsidRPr="00D56429" w:rsidRDefault="00D56429" w:rsidP="00D56429">
      <w:pPr>
        <w:pStyle w:val="Textoindependiente"/>
        <w:spacing w:before="6"/>
        <w:ind w:right="472"/>
        <w:rPr>
          <w:rFonts w:asciiTheme="majorHAnsi" w:eastAsia="Calibri" w:hAnsiTheme="majorHAnsi"/>
          <w:color w:val="7F7F7F"/>
          <w:sz w:val="16"/>
          <w:szCs w:val="16"/>
        </w:rPr>
      </w:pPr>
      <w:r>
        <w:rPr>
          <w:sz w:val="17"/>
        </w:rPr>
        <w:t xml:space="preserve">                             </w:t>
      </w:r>
    </w:p>
    <w:p w14:paraId="466B3910" w14:textId="4272563B" w:rsidR="00102E95" w:rsidRPr="00A51E6E" w:rsidRDefault="00FE7273" w:rsidP="00FE7273">
      <w:pPr>
        <w:pStyle w:val="Textoindependiente"/>
        <w:spacing w:before="6"/>
        <w:ind w:left="1459" w:right="472"/>
        <w:rPr>
          <w:sz w:val="22"/>
        </w:rPr>
      </w:pPr>
      <w:r w:rsidRPr="00D56429">
        <w:rPr>
          <w:rFonts w:asciiTheme="majorHAnsi" w:eastAsia="Calibri" w:hAnsiTheme="majorHAnsi"/>
          <w:color w:val="7F7F7F"/>
          <w:sz w:val="16"/>
          <w:szCs w:val="16"/>
        </w:rPr>
        <w:t>Fuente: MEM-</w:t>
      </w:r>
      <w:r w:rsidRPr="00D56429">
        <w:rPr>
          <w:rFonts w:asciiTheme="majorHAnsi" w:hAnsiTheme="majorHAnsi"/>
          <w:sz w:val="16"/>
          <w:szCs w:val="16"/>
        </w:rPr>
        <w:t xml:space="preserve"> </w:t>
      </w:r>
      <w:r w:rsidRPr="00D56429">
        <w:rPr>
          <w:rFonts w:asciiTheme="majorHAnsi" w:eastAsia="Calibri" w:hAnsiTheme="majorHAnsi"/>
          <w:color w:val="7F7F7F"/>
          <w:sz w:val="16"/>
          <w:szCs w:val="16"/>
        </w:rPr>
        <w:t>DPPSTCHAA.</w:t>
      </w:r>
    </w:p>
    <w:p w14:paraId="20A15185" w14:textId="75B3F6C3" w:rsidR="002B52C2" w:rsidRDefault="00102E95" w:rsidP="00F7193D">
      <w:pPr>
        <w:jc w:val="both"/>
        <w:rPr>
          <w:rFonts w:ascii="Calibri Light" w:hAnsi="Calibri Light" w:cs="Calibri Light"/>
          <w:sz w:val="22"/>
        </w:rPr>
      </w:pPr>
      <w:r w:rsidRPr="00A51E6E">
        <w:rPr>
          <w:rFonts w:ascii="Calibri Light" w:hAnsi="Calibri Light" w:cs="Calibri Light"/>
          <w:sz w:val="22"/>
        </w:rPr>
        <w:t>Es importante indicar que los datos de este informe fueron tomados de los informes mensuales de ejecución presupuestaria que presentan las compañías privadas al Ministerio de Energía y Minas.</w:t>
      </w:r>
    </w:p>
    <w:p w14:paraId="140E7E78" w14:textId="77777777" w:rsidR="00F7193D" w:rsidRPr="00F7193D" w:rsidRDefault="00F7193D" w:rsidP="00F7193D">
      <w:pPr>
        <w:jc w:val="both"/>
        <w:rPr>
          <w:rFonts w:ascii="Calibri Light" w:hAnsi="Calibri Light" w:cs="Calibri Light"/>
          <w:sz w:val="22"/>
        </w:rPr>
      </w:pPr>
    </w:p>
    <w:p w14:paraId="60AD31F6" w14:textId="0FFD4CAA" w:rsidR="00F7193D" w:rsidRPr="00067DE4" w:rsidRDefault="00102E95" w:rsidP="00067DE4">
      <w:pPr>
        <w:pStyle w:val="Ttulo4"/>
        <w:rPr>
          <w:i w:val="0"/>
          <w:sz w:val="22"/>
          <w:szCs w:val="22"/>
        </w:rPr>
      </w:pPr>
      <w:bookmarkStart w:id="129" w:name="_bookmark4"/>
      <w:bookmarkEnd w:id="129"/>
      <w:r w:rsidRPr="00067DE4">
        <w:rPr>
          <w:i w:val="0"/>
          <w:sz w:val="22"/>
          <w:szCs w:val="22"/>
        </w:rPr>
        <w:t>Cumplimiento del Acuerdo 033 para el pago del Fondo de Desarrollo Sostenible Amazónico</w:t>
      </w:r>
    </w:p>
    <w:p w14:paraId="0372D47A" w14:textId="77777777" w:rsidR="00F7193D" w:rsidRPr="00F7193D" w:rsidRDefault="00F7193D" w:rsidP="00F7193D"/>
    <w:p w14:paraId="5C2F1B72" w14:textId="6ADCA3F5" w:rsidR="00F7193D" w:rsidRPr="00067DE4" w:rsidRDefault="00102E95" w:rsidP="00067DE4">
      <w:pPr>
        <w:jc w:val="both"/>
        <w:rPr>
          <w:rFonts w:ascii="Calibri Light" w:hAnsi="Calibri Light" w:cs="Calibri Light"/>
          <w:sz w:val="22"/>
        </w:rPr>
      </w:pPr>
      <w:r w:rsidRPr="00A51E6E">
        <w:rPr>
          <w:rFonts w:ascii="Calibri Light" w:hAnsi="Calibri Light" w:cs="Calibri Light"/>
          <w:sz w:val="22"/>
        </w:rPr>
        <w:t>De enero a diciembre del año 2024, se realizó el pago de USD 98,66 millones de dólares al Fondo para el Desarrollo Sostenible Amazónico, en cumplimiento con la Ley Orgánica para la planificación integral de la Circunscripción Territorial Especial Amazónica, del Acuerdo Ministerial No. 033 del Ministerio de Economía y Finanzas – MEF y de la Resolución No. ARCERNNR-029/2023 de la Agencia de Regulación y Control de Recursos Naturales No Renovables – ARCERRNR, de acuerdo al siguiente detalle:</w:t>
      </w:r>
    </w:p>
    <w:p w14:paraId="43BF1DB5" w14:textId="77777777" w:rsidR="00F7193D" w:rsidRPr="00D36769" w:rsidRDefault="00F7193D" w:rsidP="00102E95">
      <w:pPr>
        <w:pStyle w:val="Textoindependiente"/>
        <w:ind w:left="862" w:right="138"/>
        <w:jc w:val="both"/>
        <w:rPr>
          <w:rFonts w:asciiTheme="majorHAnsi" w:hAnsiTheme="majorHAnsi" w:cstheme="majorHAnsi"/>
          <w:i/>
        </w:rPr>
      </w:pPr>
    </w:p>
    <w:p w14:paraId="77D63E83" w14:textId="56B33E0A" w:rsidR="00102E95" w:rsidRPr="00D36769" w:rsidRDefault="00102E95" w:rsidP="00140159">
      <w:pPr>
        <w:pStyle w:val="Tablas"/>
        <w:spacing w:after="0"/>
        <w:rPr>
          <w:rFonts w:asciiTheme="majorHAnsi" w:hAnsiTheme="majorHAnsi" w:cstheme="majorHAnsi"/>
        </w:rPr>
      </w:pPr>
      <w:bookmarkStart w:id="130" w:name="_Toc197334667"/>
      <w:bookmarkStart w:id="131" w:name="_Toc199759679"/>
      <w:r w:rsidRPr="00D36769">
        <w:rPr>
          <w:rFonts w:asciiTheme="majorHAnsi" w:hAnsiTheme="majorHAnsi" w:cstheme="majorHAnsi"/>
        </w:rPr>
        <w:t xml:space="preserve">Tabla </w:t>
      </w:r>
      <w:r w:rsidR="003A269C" w:rsidRPr="00D36769">
        <w:rPr>
          <w:rFonts w:asciiTheme="majorHAnsi" w:hAnsiTheme="majorHAnsi" w:cstheme="majorHAnsi"/>
        </w:rPr>
        <w:fldChar w:fldCharType="begin"/>
      </w:r>
      <w:r w:rsidR="003A269C" w:rsidRPr="00D36769">
        <w:rPr>
          <w:rFonts w:asciiTheme="majorHAnsi" w:hAnsiTheme="majorHAnsi" w:cstheme="majorHAnsi"/>
        </w:rPr>
        <w:instrText xml:space="preserve"> SEQ Tabla \* ARABIC </w:instrText>
      </w:r>
      <w:r w:rsidR="003A269C" w:rsidRPr="00D36769">
        <w:rPr>
          <w:rFonts w:asciiTheme="majorHAnsi" w:hAnsiTheme="majorHAnsi" w:cstheme="majorHAnsi"/>
        </w:rPr>
        <w:fldChar w:fldCharType="separate"/>
      </w:r>
      <w:r w:rsidR="00CF0AD2">
        <w:rPr>
          <w:rFonts w:asciiTheme="majorHAnsi" w:hAnsiTheme="majorHAnsi" w:cstheme="majorHAnsi"/>
          <w:noProof/>
        </w:rPr>
        <w:t>9</w:t>
      </w:r>
      <w:r w:rsidR="003A269C" w:rsidRPr="00D36769">
        <w:rPr>
          <w:rFonts w:asciiTheme="majorHAnsi" w:hAnsiTheme="majorHAnsi" w:cstheme="majorHAnsi"/>
          <w:noProof/>
        </w:rPr>
        <w:fldChar w:fldCharType="end"/>
      </w:r>
      <w:r w:rsidRPr="00D36769">
        <w:rPr>
          <w:rFonts w:asciiTheme="majorHAnsi" w:hAnsiTheme="majorHAnsi" w:cstheme="majorHAnsi"/>
        </w:rPr>
        <w:t>:</w:t>
      </w:r>
      <w:r w:rsidRPr="00D36769">
        <w:rPr>
          <w:rFonts w:asciiTheme="majorHAnsi" w:hAnsiTheme="majorHAnsi" w:cstheme="majorHAnsi"/>
          <w:color w:val="44536A"/>
          <w:spacing w:val="-2"/>
        </w:rPr>
        <w:t xml:space="preserve"> </w:t>
      </w:r>
      <w:r w:rsidRPr="00D36769">
        <w:rPr>
          <w:rFonts w:asciiTheme="majorHAnsi" w:hAnsiTheme="majorHAnsi" w:cstheme="majorHAnsi"/>
          <w:color w:val="44536A"/>
        </w:rPr>
        <w:t>Pagos</w:t>
      </w:r>
      <w:r w:rsidRPr="00D36769">
        <w:rPr>
          <w:rFonts w:asciiTheme="majorHAnsi" w:hAnsiTheme="majorHAnsi" w:cstheme="majorHAnsi"/>
          <w:color w:val="44536A"/>
          <w:spacing w:val="-4"/>
        </w:rPr>
        <w:t xml:space="preserve"> </w:t>
      </w:r>
      <w:r w:rsidRPr="00D36769">
        <w:rPr>
          <w:rFonts w:asciiTheme="majorHAnsi" w:hAnsiTheme="majorHAnsi" w:cstheme="majorHAnsi"/>
          <w:color w:val="44536A"/>
        </w:rPr>
        <w:t>Ley</w:t>
      </w:r>
      <w:r w:rsidRPr="00D36769">
        <w:rPr>
          <w:rFonts w:asciiTheme="majorHAnsi" w:hAnsiTheme="majorHAnsi" w:cstheme="majorHAnsi"/>
          <w:color w:val="44536A"/>
          <w:spacing w:val="-1"/>
        </w:rPr>
        <w:t xml:space="preserve"> </w:t>
      </w:r>
      <w:r w:rsidRPr="00D36769">
        <w:rPr>
          <w:rFonts w:asciiTheme="majorHAnsi" w:hAnsiTheme="majorHAnsi" w:cstheme="majorHAnsi"/>
          <w:color w:val="44536A"/>
        </w:rPr>
        <w:t>Amazónica</w:t>
      </w:r>
      <w:r w:rsidRPr="00D36769">
        <w:rPr>
          <w:rFonts w:asciiTheme="majorHAnsi" w:hAnsiTheme="majorHAnsi" w:cstheme="majorHAnsi"/>
          <w:color w:val="44536A"/>
          <w:spacing w:val="-3"/>
        </w:rPr>
        <w:t xml:space="preserve"> </w:t>
      </w:r>
      <w:r w:rsidRPr="00D36769">
        <w:rPr>
          <w:rFonts w:asciiTheme="majorHAnsi" w:hAnsiTheme="majorHAnsi" w:cstheme="majorHAnsi"/>
          <w:color w:val="44536A"/>
        </w:rPr>
        <w:t>en</w:t>
      </w:r>
      <w:r w:rsidRPr="00D36769">
        <w:rPr>
          <w:rFonts w:asciiTheme="majorHAnsi" w:hAnsiTheme="majorHAnsi" w:cstheme="majorHAnsi"/>
          <w:color w:val="44536A"/>
          <w:spacing w:val="-4"/>
        </w:rPr>
        <w:t xml:space="preserve"> </w:t>
      </w:r>
      <w:r w:rsidRPr="00D36769">
        <w:rPr>
          <w:rFonts w:asciiTheme="majorHAnsi" w:hAnsiTheme="majorHAnsi" w:cstheme="majorHAnsi"/>
          <w:color w:val="44536A"/>
        </w:rPr>
        <w:t>cumplimiento</w:t>
      </w:r>
      <w:r w:rsidRPr="00D36769">
        <w:rPr>
          <w:rFonts w:asciiTheme="majorHAnsi" w:hAnsiTheme="majorHAnsi" w:cstheme="majorHAnsi"/>
          <w:color w:val="44536A"/>
          <w:spacing w:val="-5"/>
        </w:rPr>
        <w:t xml:space="preserve"> </w:t>
      </w:r>
      <w:r w:rsidRPr="00D36769">
        <w:rPr>
          <w:rFonts w:asciiTheme="majorHAnsi" w:hAnsiTheme="majorHAnsi" w:cstheme="majorHAnsi"/>
          <w:color w:val="44536A"/>
        </w:rPr>
        <w:t>Acuerdo</w:t>
      </w:r>
      <w:r w:rsidRPr="00D36769">
        <w:rPr>
          <w:rFonts w:asciiTheme="majorHAnsi" w:hAnsiTheme="majorHAnsi" w:cstheme="majorHAnsi"/>
          <w:color w:val="44536A"/>
          <w:spacing w:val="-4"/>
        </w:rPr>
        <w:t xml:space="preserve"> </w:t>
      </w:r>
      <w:r w:rsidRPr="00D36769">
        <w:rPr>
          <w:rFonts w:asciiTheme="majorHAnsi" w:hAnsiTheme="majorHAnsi" w:cstheme="majorHAnsi"/>
          <w:color w:val="44536A"/>
        </w:rPr>
        <w:t>033</w:t>
      </w:r>
      <w:r w:rsidRPr="00D36769">
        <w:rPr>
          <w:rFonts w:asciiTheme="majorHAnsi" w:hAnsiTheme="majorHAnsi" w:cstheme="majorHAnsi"/>
          <w:color w:val="44536A"/>
          <w:spacing w:val="-2"/>
        </w:rPr>
        <w:t xml:space="preserve"> </w:t>
      </w:r>
      <w:r w:rsidRPr="00D36769">
        <w:rPr>
          <w:rFonts w:asciiTheme="majorHAnsi" w:hAnsiTheme="majorHAnsi" w:cstheme="majorHAnsi"/>
          <w:color w:val="44536A"/>
          <w:spacing w:val="-5"/>
        </w:rPr>
        <w:t>MEF</w:t>
      </w:r>
      <w:bookmarkEnd w:id="130"/>
      <w:bookmarkEnd w:id="131"/>
    </w:p>
    <w:tbl>
      <w:tblPr>
        <w:tblStyle w:val="GridTable4-Accent1"/>
        <w:tblW w:w="0" w:type="auto"/>
        <w:jc w:val="center"/>
        <w:tblLayout w:type="fixed"/>
        <w:tblLook w:val="01E0" w:firstRow="1" w:lastRow="1" w:firstColumn="1" w:lastColumn="1" w:noHBand="0" w:noVBand="0"/>
      </w:tblPr>
      <w:tblGrid>
        <w:gridCol w:w="771"/>
        <w:gridCol w:w="4163"/>
        <w:gridCol w:w="1495"/>
      </w:tblGrid>
      <w:tr w:rsidR="00102E95" w:rsidRPr="00A51E6E" w14:paraId="52363083" w14:textId="77777777" w:rsidTr="00140159">
        <w:trPr>
          <w:cnfStyle w:val="100000000000" w:firstRow="1" w:lastRow="0" w:firstColumn="0" w:lastColumn="0" w:oddVBand="0" w:evenVBand="0" w:oddHBand="0"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6429" w:type="dxa"/>
            <w:gridSpan w:val="3"/>
          </w:tcPr>
          <w:p w14:paraId="71292325" w14:textId="77777777" w:rsidR="00102E95" w:rsidRPr="00140159" w:rsidRDefault="00102E95" w:rsidP="00140159">
            <w:pPr>
              <w:pStyle w:val="TableParagraph"/>
              <w:spacing w:before="206"/>
              <w:ind w:left="397" w:right="326" w:firstLine="507"/>
              <w:rPr>
                <w:rFonts w:asciiTheme="majorHAnsi" w:hAnsiTheme="majorHAnsi" w:cstheme="majorHAnsi"/>
                <w:sz w:val="18"/>
                <w:szCs w:val="18"/>
              </w:rPr>
            </w:pPr>
            <w:r w:rsidRPr="00140159">
              <w:rPr>
                <w:rFonts w:asciiTheme="majorHAnsi" w:hAnsiTheme="majorHAnsi" w:cstheme="majorHAnsi"/>
                <w:color w:val="212121"/>
                <w:sz w:val="18"/>
                <w:szCs w:val="18"/>
              </w:rPr>
              <w:t>FONDO PARA EL DESARROLLO SOSTENIBLE AMAZÓNICO DETALLE</w:t>
            </w:r>
            <w:r w:rsidRPr="00140159">
              <w:rPr>
                <w:rFonts w:asciiTheme="majorHAnsi" w:hAnsiTheme="majorHAnsi" w:cstheme="majorHAnsi"/>
                <w:color w:val="212121"/>
                <w:spacing w:val="-12"/>
                <w:sz w:val="18"/>
                <w:szCs w:val="18"/>
              </w:rPr>
              <w:t xml:space="preserve"> </w:t>
            </w:r>
            <w:r w:rsidRPr="00140159">
              <w:rPr>
                <w:rFonts w:asciiTheme="majorHAnsi" w:hAnsiTheme="majorHAnsi" w:cstheme="majorHAnsi"/>
                <w:color w:val="212121"/>
                <w:sz w:val="18"/>
                <w:szCs w:val="18"/>
              </w:rPr>
              <w:t>DE</w:t>
            </w:r>
            <w:r w:rsidRPr="00140159">
              <w:rPr>
                <w:rFonts w:asciiTheme="majorHAnsi" w:hAnsiTheme="majorHAnsi" w:cstheme="majorHAnsi"/>
                <w:color w:val="212121"/>
                <w:spacing w:val="-12"/>
                <w:sz w:val="18"/>
                <w:szCs w:val="18"/>
              </w:rPr>
              <w:t xml:space="preserve"> </w:t>
            </w:r>
            <w:r w:rsidRPr="00140159">
              <w:rPr>
                <w:rFonts w:asciiTheme="majorHAnsi" w:hAnsiTheme="majorHAnsi" w:cstheme="majorHAnsi"/>
                <w:color w:val="212121"/>
                <w:sz w:val="18"/>
                <w:szCs w:val="18"/>
              </w:rPr>
              <w:t>PAGOS</w:t>
            </w:r>
            <w:r w:rsidRPr="00140159">
              <w:rPr>
                <w:rFonts w:asciiTheme="majorHAnsi" w:hAnsiTheme="majorHAnsi" w:cstheme="majorHAnsi"/>
                <w:color w:val="212121"/>
                <w:spacing w:val="-12"/>
                <w:sz w:val="18"/>
                <w:szCs w:val="18"/>
              </w:rPr>
              <w:t xml:space="preserve"> </w:t>
            </w:r>
            <w:r w:rsidRPr="00140159">
              <w:rPr>
                <w:rFonts w:asciiTheme="majorHAnsi" w:hAnsiTheme="majorHAnsi" w:cstheme="majorHAnsi"/>
                <w:color w:val="212121"/>
                <w:sz w:val="18"/>
                <w:szCs w:val="18"/>
              </w:rPr>
              <w:t>REALIZADOS</w:t>
            </w:r>
            <w:r w:rsidRPr="00140159">
              <w:rPr>
                <w:rFonts w:asciiTheme="majorHAnsi" w:hAnsiTheme="majorHAnsi" w:cstheme="majorHAnsi"/>
                <w:color w:val="212121"/>
                <w:spacing w:val="-12"/>
                <w:sz w:val="18"/>
                <w:szCs w:val="18"/>
              </w:rPr>
              <w:t xml:space="preserve"> </w:t>
            </w:r>
            <w:r w:rsidRPr="00140159">
              <w:rPr>
                <w:rFonts w:asciiTheme="majorHAnsi" w:hAnsiTheme="majorHAnsi" w:cstheme="majorHAnsi"/>
                <w:color w:val="212121"/>
                <w:sz w:val="18"/>
                <w:szCs w:val="18"/>
              </w:rPr>
              <w:t>A</w:t>
            </w:r>
            <w:r w:rsidRPr="00140159">
              <w:rPr>
                <w:rFonts w:asciiTheme="majorHAnsi" w:hAnsiTheme="majorHAnsi" w:cstheme="majorHAnsi"/>
                <w:color w:val="212121"/>
                <w:spacing w:val="-12"/>
                <w:sz w:val="18"/>
                <w:szCs w:val="18"/>
              </w:rPr>
              <w:t xml:space="preserve"> </w:t>
            </w:r>
            <w:r w:rsidRPr="00140159">
              <w:rPr>
                <w:rFonts w:asciiTheme="majorHAnsi" w:hAnsiTheme="majorHAnsi" w:cstheme="majorHAnsi"/>
                <w:color w:val="212121"/>
                <w:sz w:val="18"/>
                <w:szCs w:val="18"/>
              </w:rPr>
              <w:t>LA</w:t>
            </w:r>
            <w:r w:rsidRPr="00140159">
              <w:rPr>
                <w:rFonts w:asciiTheme="majorHAnsi" w:hAnsiTheme="majorHAnsi" w:cstheme="majorHAnsi"/>
                <w:color w:val="212121"/>
                <w:spacing w:val="-12"/>
                <w:sz w:val="18"/>
                <w:szCs w:val="18"/>
              </w:rPr>
              <w:t xml:space="preserve"> </w:t>
            </w:r>
            <w:r w:rsidRPr="00140159">
              <w:rPr>
                <w:rFonts w:asciiTheme="majorHAnsi" w:hAnsiTheme="majorHAnsi" w:cstheme="majorHAnsi"/>
                <w:color w:val="212121"/>
                <w:sz w:val="18"/>
                <w:szCs w:val="18"/>
              </w:rPr>
              <w:t>DEUDA</w:t>
            </w:r>
            <w:r w:rsidRPr="00140159">
              <w:rPr>
                <w:rFonts w:asciiTheme="majorHAnsi" w:hAnsiTheme="majorHAnsi" w:cstheme="majorHAnsi"/>
                <w:color w:val="212121"/>
                <w:spacing w:val="-12"/>
                <w:sz w:val="18"/>
                <w:szCs w:val="18"/>
              </w:rPr>
              <w:t xml:space="preserve"> </w:t>
            </w:r>
            <w:r w:rsidRPr="00140159">
              <w:rPr>
                <w:rFonts w:asciiTheme="majorHAnsi" w:hAnsiTheme="majorHAnsi" w:cstheme="majorHAnsi"/>
                <w:color w:val="212121"/>
                <w:sz w:val="18"/>
                <w:szCs w:val="18"/>
              </w:rPr>
              <w:t>POR</w:t>
            </w:r>
            <w:r w:rsidRPr="00140159">
              <w:rPr>
                <w:rFonts w:asciiTheme="majorHAnsi" w:hAnsiTheme="majorHAnsi" w:cstheme="majorHAnsi"/>
                <w:color w:val="212121"/>
                <w:spacing w:val="-11"/>
                <w:sz w:val="18"/>
                <w:szCs w:val="18"/>
              </w:rPr>
              <w:t xml:space="preserve"> </w:t>
            </w:r>
            <w:r w:rsidRPr="00140159">
              <w:rPr>
                <w:rFonts w:asciiTheme="majorHAnsi" w:hAnsiTheme="majorHAnsi" w:cstheme="majorHAnsi"/>
                <w:color w:val="212121"/>
                <w:sz w:val="18"/>
                <w:szCs w:val="18"/>
              </w:rPr>
              <w:t>ACUERDO</w:t>
            </w:r>
            <w:r w:rsidRPr="00140159">
              <w:rPr>
                <w:rFonts w:asciiTheme="majorHAnsi" w:hAnsiTheme="majorHAnsi" w:cstheme="majorHAnsi"/>
                <w:color w:val="212121"/>
                <w:spacing w:val="-12"/>
                <w:sz w:val="18"/>
                <w:szCs w:val="18"/>
              </w:rPr>
              <w:t xml:space="preserve"> </w:t>
            </w:r>
            <w:r w:rsidRPr="00140159">
              <w:rPr>
                <w:rFonts w:asciiTheme="majorHAnsi" w:hAnsiTheme="majorHAnsi" w:cstheme="majorHAnsi"/>
                <w:color w:val="212121"/>
                <w:sz w:val="18"/>
                <w:szCs w:val="18"/>
              </w:rPr>
              <w:t>No.</w:t>
            </w:r>
            <w:r w:rsidRPr="00140159">
              <w:rPr>
                <w:rFonts w:asciiTheme="majorHAnsi" w:hAnsiTheme="majorHAnsi" w:cstheme="majorHAnsi"/>
                <w:color w:val="212121"/>
                <w:spacing w:val="-12"/>
                <w:sz w:val="18"/>
                <w:szCs w:val="18"/>
              </w:rPr>
              <w:t xml:space="preserve"> </w:t>
            </w:r>
            <w:r w:rsidRPr="00140159">
              <w:rPr>
                <w:rFonts w:asciiTheme="majorHAnsi" w:hAnsiTheme="majorHAnsi" w:cstheme="majorHAnsi"/>
                <w:color w:val="212121"/>
                <w:sz w:val="18"/>
                <w:szCs w:val="18"/>
              </w:rPr>
              <w:t>033</w:t>
            </w:r>
          </w:p>
        </w:tc>
      </w:tr>
      <w:tr w:rsidR="00102E95" w:rsidRPr="00A51E6E" w14:paraId="53C737F6" w14:textId="77777777" w:rsidTr="00140159">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771" w:type="dxa"/>
          </w:tcPr>
          <w:p w14:paraId="03EFE4FD" w14:textId="77777777" w:rsidR="00102E95" w:rsidRPr="00140159" w:rsidRDefault="00102E95" w:rsidP="006E30AC">
            <w:pPr>
              <w:pStyle w:val="TableParagraph"/>
              <w:spacing w:before="130"/>
              <w:ind w:left="25" w:right="-15"/>
              <w:jc w:val="center"/>
              <w:rPr>
                <w:rFonts w:asciiTheme="majorHAnsi" w:hAnsiTheme="majorHAnsi" w:cstheme="majorHAnsi"/>
                <w:sz w:val="18"/>
                <w:szCs w:val="18"/>
              </w:rPr>
            </w:pPr>
            <w:r w:rsidRPr="00140159">
              <w:rPr>
                <w:rFonts w:asciiTheme="majorHAnsi" w:hAnsiTheme="majorHAnsi" w:cstheme="majorHAnsi"/>
                <w:spacing w:val="-5"/>
                <w:sz w:val="18"/>
                <w:szCs w:val="18"/>
              </w:rPr>
              <w:t>AÑO</w:t>
            </w:r>
          </w:p>
        </w:tc>
        <w:tc>
          <w:tcPr>
            <w:cnfStyle w:val="000010000000" w:firstRow="0" w:lastRow="0" w:firstColumn="0" w:lastColumn="0" w:oddVBand="1" w:evenVBand="0" w:oddHBand="0" w:evenHBand="0" w:firstRowFirstColumn="0" w:firstRowLastColumn="0" w:lastRowFirstColumn="0" w:lastRowLastColumn="0"/>
            <w:tcW w:w="4163" w:type="dxa"/>
          </w:tcPr>
          <w:p w14:paraId="253077C2" w14:textId="77777777" w:rsidR="00102E95" w:rsidRPr="00140159" w:rsidRDefault="00102E95" w:rsidP="006E30AC">
            <w:pPr>
              <w:pStyle w:val="TableParagraph"/>
              <w:spacing w:line="265" w:lineRule="exact"/>
              <w:ind w:left="16"/>
              <w:jc w:val="center"/>
              <w:rPr>
                <w:rFonts w:asciiTheme="majorHAnsi" w:hAnsiTheme="majorHAnsi" w:cstheme="majorHAnsi"/>
                <w:sz w:val="18"/>
                <w:szCs w:val="18"/>
              </w:rPr>
            </w:pPr>
            <w:r w:rsidRPr="00140159">
              <w:rPr>
                <w:rFonts w:asciiTheme="majorHAnsi" w:hAnsiTheme="majorHAnsi" w:cstheme="majorHAnsi"/>
                <w:sz w:val="18"/>
                <w:szCs w:val="18"/>
              </w:rPr>
              <w:t>Monto</w:t>
            </w:r>
            <w:r w:rsidRPr="00140159">
              <w:rPr>
                <w:rFonts w:asciiTheme="majorHAnsi" w:hAnsiTheme="majorHAnsi" w:cstheme="majorHAnsi"/>
                <w:spacing w:val="-5"/>
                <w:sz w:val="18"/>
                <w:szCs w:val="18"/>
              </w:rPr>
              <w:t xml:space="preserve"> </w:t>
            </w:r>
            <w:r w:rsidRPr="00140159">
              <w:rPr>
                <w:rFonts w:asciiTheme="majorHAnsi" w:hAnsiTheme="majorHAnsi" w:cstheme="majorHAnsi"/>
                <w:sz w:val="18"/>
                <w:szCs w:val="18"/>
              </w:rPr>
              <w:t>Pagado</w:t>
            </w:r>
            <w:r w:rsidRPr="00140159">
              <w:rPr>
                <w:rFonts w:asciiTheme="majorHAnsi" w:hAnsiTheme="majorHAnsi" w:cstheme="majorHAnsi"/>
                <w:spacing w:val="-5"/>
                <w:sz w:val="18"/>
                <w:szCs w:val="18"/>
              </w:rPr>
              <w:t xml:space="preserve"> </w:t>
            </w:r>
            <w:r w:rsidRPr="00140159">
              <w:rPr>
                <w:rFonts w:asciiTheme="majorHAnsi" w:hAnsiTheme="majorHAnsi" w:cstheme="majorHAnsi"/>
                <w:sz w:val="18"/>
                <w:szCs w:val="18"/>
              </w:rPr>
              <w:t>de</w:t>
            </w:r>
            <w:r w:rsidRPr="00140159">
              <w:rPr>
                <w:rFonts w:asciiTheme="majorHAnsi" w:hAnsiTheme="majorHAnsi" w:cstheme="majorHAnsi"/>
                <w:spacing w:val="-4"/>
                <w:sz w:val="18"/>
                <w:szCs w:val="18"/>
              </w:rPr>
              <w:t xml:space="preserve"> </w:t>
            </w:r>
            <w:r w:rsidRPr="00140159">
              <w:rPr>
                <w:rFonts w:asciiTheme="majorHAnsi" w:hAnsiTheme="majorHAnsi" w:cstheme="majorHAnsi"/>
                <w:sz w:val="18"/>
                <w:szCs w:val="18"/>
              </w:rPr>
              <w:t>enero</w:t>
            </w:r>
            <w:r w:rsidRPr="00140159">
              <w:rPr>
                <w:rFonts w:asciiTheme="majorHAnsi" w:hAnsiTheme="majorHAnsi" w:cstheme="majorHAnsi"/>
                <w:spacing w:val="-3"/>
                <w:sz w:val="18"/>
                <w:szCs w:val="18"/>
              </w:rPr>
              <w:t xml:space="preserve"> </w:t>
            </w:r>
            <w:r w:rsidRPr="00140159">
              <w:rPr>
                <w:rFonts w:asciiTheme="majorHAnsi" w:hAnsiTheme="majorHAnsi" w:cstheme="majorHAnsi"/>
                <w:sz w:val="18"/>
                <w:szCs w:val="18"/>
              </w:rPr>
              <w:t>a</w:t>
            </w:r>
            <w:r w:rsidRPr="00140159">
              <w:rPr>
                <w:rFonts w:asciiTheme="majorHAnsi" w:hAnsiTheme="majorHAnsi" w:cstheme="majorHAnsi"/>
                <w:spacing w:val="-8"/>
                <w:sz w:val="18"/>
                <w:szCs w:val="18"/>
              </w:rPr>
              <w:t xml:space="preserve"> </w:t>
            </w:r>
            <w:r w:rsidRPr="00140159">
              <w:rPr>
                <w:rFonts w:asciiTheme="majorHAnsi" w:hAnsiTheme="majorHAnsi" w:cstheme="majorHAnsi"/>
                <w:sz w:val="18"/>
                <w:szCs w:val="18"/>
              </w:rPr>
              <w:t>diciembre</w:t>
            </w:r>
            <w:r w:rsidRPr="00140159">
              <w:rPr>
                <w:rFonts w:asciiTheme="majorHAnsi" w:hAnsiTheme="majorHAnsi" w:cstheme="majorHAnsi"/>
                <w:spacing w:val="-1"/>
                <w:sz w:val="18"/>
                <w:szCs w:val="18"/>
              </w:rPr>
              <w:t xml:space="preserve"> </w:t>
            </w:r>
            <w:r w:rsidRPr="00140159">
              <w:rPr>
                <w:rFonts w:asciiTheme="majorHAnsi" w:hAnsiTheme="majorHAnsi" w:cstheme="majorHAnsi"/>
                <w:sz w:val="18"/>
                <w:szCs w:val="18"/>
              </w:rPr>
              <w:t>2024</w:t>
            </w:r>
            <w:r w:rsidRPr="00140159">
              <w:rPr>
                <w:rFonts w:asciiTheme="majorHAnsi" w:hAnsiTheme="majorHAnsi" w:cstheme="majorHAnsi"/>
                <w:spacing w:val="-4"/>
                <w:sz w:val="18"/>
                <w:szCs w:val="18"/>
              </w:rPr>
              <w:t xml:space="preserve"> </w:t>
            </w:r>
            <w:r w:rsidRPr="00140159">
              <w:rPr>
                <w:rFonts w:asciiTheme="majorHAnsi" w:hAnsiTheme="majorHAnsi" w:cstheme="majorHAnsi"/>
                <w:spacing w:val="-5"/>
                <w:sz w:val="18"/>
                <w:szCs w:val="18"/>
              </w:rPr>
              <w:t>por</w:t>
            </w:r>
          </w:p>
          <w:p w14:paraId="4F6F09A5" w14:textId="77777777" w:rsidR="00102E95" w:rsidRPr="00140159" w:rsidRDefault="00102E95" w:rsidP="006E30AC">
            <w:pPr>
              <w:pStyle w:val="TableParagraph"/>
              <w:spacing w:line="251" w:lineRule="exact"/>
              <w:ind w:left="16" w:right="4"/>
              <w:jc w:val="center"/>
              <w:rPr>
                <w:rFonts w:asciiTheme="majorHAnsi" w:hAnsiTheme="majorHAnsi" w:cstheme="majorHAnsi"/>
                <w:sz w:val="18"/>
                <w:szCs w:val="18"/>
              </w:rPr>
            </w:pPr>
            <w:r w:rsidRPr="00140159">
              <w:rPr>
                <w:rFonts w:asciiTheme="majorHAnsi" w:hAnsiTheme="majorHAnsi" w:cstheme="majorHAnsi"/>
                <w:sz w:val="18"/>
                <w:szCs w:val="18"/>
              </w:rPr>
              <w:t>Acuerdo</w:t>
            </w:r>
            <w:r w:rsidRPr="00140159">
              <w:rPr>
                <w:rFonts w:asciiTheme="majorHAnsi" w:hAnsiTheme="majorHAnsi" w:cstheme="majorHAnsi"/>
                <w:spacing w:val="-6"/>
                <w:sz w:val="18"/>
                <w:szCs w:val="18"/>
              </w:rPr>
              <w:t xml:space="preserve"> </w:t>
            </w:r>
            <w:r w:rsidRPr="00140159">
              <w:rPr>
                <w:rFonts w:asciiTheme="majorHAnsi" w:hAnsiTheme="majorHAnsi" w:cstheme="majorHAnsi"/>
                <w:sz w:val="18"/>
                <w:szCs w:val="18"/>
              </w:rPr>
              <w:t>No.</w:t>
            </w:r>
            <w:r w:rsidRPr="00140159">
              <w:rPr>
                <w:rFonts w:asciiTheme="majorHAnsi" w:hAnsiTheme="majorHAnsi" w:cstheme="majorHAnsi"/>
                <w:spacing w:val="-5"/>
                <w:sz w:val="18"/>
                <w:szCs w:val="18"/>
              </w:rPr>
              <w:t xml:space="preserve"> 033</w:t>
            </w:r>
          </w:p>
        </w:tc>
        <w:tc>
          <w:tcPr>
            <w:cnfStyle w:val="000100000000" w:firstRow="0" w:lastRow="0" w:firstColumn="0" w:lastColumn="1" w:oddVBand="0" w:evenVBand="0" w:oddHBand="0" w:evenHBand="0" w:firstRowFirstColumn="0" w:firstRowLastColumn="0" w:lastRowFirstColumn="0" w:lastRowLastColumn="0"/>
            <w:tcW w:w="1494" w:type="dxa"/>
          </w:tcPr>
          <w:p w14:paraId="71D1D34F" w14:textId="77777777" w:rsidR="00102E95" w:rsidRPr="00140159" w:rsidRDefault="00102E95" w:rsidP="006E30AC">
            <w:pPr>
              <w:pStyle w:val="TableParagraph"/>
              <w:spacing w:line="265" w:lineRule="exact"/>
              <w:ind w:left="173"/>
              <w:jc w:val="center"/>
              <w:rPr>
                <w:rFonts w:asciiTheme="majorHAnsi" w:hAnsiTheme="majorHAnsi" w:cstheme="majorHAnsi"/>
                <w:sz w:val="18"/>
                <w:szCs w:val="18"/>
              </w:rPr>
            </w:pPr>
            <w:r w:rsidRPr="00140159">
              <w:rPr>
                <w:rFonts w:asciiTheme="majorHAnsi" w:hAnsiTheme="majorHAnsi" w:cstheme="majorHAnsi"/>
                <w:sz w:val="18"/>
                <w:szCs w:val="18"/>
              </w:rPr>
              <w:t>Saldo</w:t>
            </w:r>
            <w:r w:rsidRPr="00140159">
              <w:rPr>
                <w:rFonts w:asciiTheme="majorHAnsi" w:hAnsiTheme="majorHAnsi" w:cstheme="majorHAnsi"/>
                <w:spacing w:val="-5"/>
                <w:sz w:val="18"/>
                <w:szCs w:val="18"/>
              </w:rPr>
              <w:t xml:space="preserve"> </w:t>
            </w:r>
            <w:r w:rsidRPr="00140159">
              <w:rPr>
                <w:rFonts w:asciiTheme="majorHAnsi" w:hAnsiTheme="majorHAnsi" w:cstheme="majorHAnsi"/>
                <w:sz w:val="18"/>
                <w:szCs w:val="18"/>
              </w:rPr>
              <w:t>al</w:t>
            </w:r>
            <w:r w:rsidRPr="00140159">
              <w:rPr>
                <w:rFonts w:asciiTheme="majorHAnsi" w:hAnsiTheme="majorHAnsi" w:cstheme="majorHAnsi"/>
                <w:spacing w:val="-3"/>
                <w:sz w:val="18"/>
                <w:szCs w:val="18"/>
              </w:rPr>
              <w:t xml:space="preserve"> </w:t>
            </w:r>
            <w:r w:rsidRPr="00140159">
              <w:rPr>
                <w:rFonts w:asciiTheme="majorHAnsi" w:hAnsiTheme="majorHAnsi" w:cstheme="majorHAnsi"/>
                <w:sz w:val="18"/>
                <w:szCs w:val="18"/>
              </w:rPr>
              <w:t>31</w:t>
            </w:r>
            <w:r w:rsidRPr="00140159">
              <w:rPr>
                <w:rFonts w:asciiTheme="majorHAnsi" w:hAnsiTheme="majorHAnsi" w:cstheme="majorHAnsi"/>
                <w:spacing w:val="-3"/>
                <w:sz w:val="18"/>
                <w:szCs w:val="18"/>
              </w:rPr>
              <w:t xml:space="preserve"> </w:t>
            </w:r>
            <w:r w:rsidRPr="00140159">
              <w:rPr>
                <w:rFonts w:asciiTheme="majorHAnsi" w:hAnsiTheme="majorHAnsi" w:cstheme="majorHAnsi"/>
                <w:spacing w:val="-7"/>
                <w:sz w:val="18"/>
                <w:szCs w:val="18"/>
              </w:rPr>
              <w:t>de</w:t>
            </w:r>
          </w:p>
          <w:p w14:paraId="19A46BC6" w14:textId="77777777" w:rsidR="00102E95" w:rsidRPr="00140159" w:rsidRDefault="00102E95" w:rsidP="006E30AC">
            <w:pPr>
              <w:pStyle w:val="TableParagraph"/>
              <w:spacing w:line="251" w:lineRule="exact"/>
              <w:ind w:left="87"/>
              <w:jc w:val="center"/>
              <w:rPr>
                <w:rFonts w:asciiTheme="majorHAnsi" w:hAnsiTheme="majorHAnsi" w:cstheme="majorHAnsi"/>
                <w:sz w:val="18"/>
                <w:szCs w:val="18"/>
              </w:rPr>
            </w:pPr>
            <w:r w:rsidRPr="00140159">
              <w:rPr>
                <w:rFonts w:asciiTheme="majorHAnsi" w:hAnsiTheme="majorHAnsi" w:cstheme="majorHAnsi"/>
                <w:sz w:val="18"/>
                <w:szCs w:val="18"/>
              </w:rPr>
              <w:t>Diciembre</w:t>
            </w:r>
            <w:r w:rsidRPr="00140159">
              <w:rPr>
                <w:rFonts w:asciiTheme="majorHAnsi" w:hAnsiTheme="majorHAnsi" w:cstheme="majorHAnsi"/>
                <w:spacing w:val="-7"/>
                <w:sz w:val="18"/>
                <w:szCs w:val="18"/>
              </w:rPr>
              <w:t xml:space="preserve"> </w:t>
            </w:r>
            <w:r w:rsidRPr="00140159">
              <w:rPr>
                <w:rFonts w:asciiTheme="majorHAnsi" w:hAnsiTheme="majorHAnsi" w:cstheme="majorHAnsi"/>
                <w:spacing w:val="-4"/>
                <w:sz w:val="18"/>
                <w:szCs w:val="18"/>
              </w:rPr>
              <w:t>2024</w:t>
            </w:r>
          </w:p>
        </w:tc>
      </w:tr>
      <w:tr w:rsidR="00102E95" w:rsidRPr="00A51E6E" w14:paraId="3711BFDF" w14:textId="77777777" w:rsidTr="00140159">
        <w:trPr>
          <w:cnfStyle w:val="010000000000" w:firstRow="0" w:lastRow="1"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771" w:type="dxa"/>
          </w:tcPr>
          <w:p w14:paraId="1CBAB894" w14:textId="77777777" w:rsidR="00102E95" w:rsidRPr="00140159" w:rsidRDefault="00102E95" w:rsidP="006E30AC">
            <w:pPr>
              <w:pStyle w:val="TableParagraph"/>
              <w:spacing w:line="242" w:lineRule="exact"/>
              <w:ind w:left="6" w:right="-29"/>
              <w:jc w:val="center"/>
              <w:rPr>
                <w:rFonts w:asciiTheme="majorHAnsi" w:hAnsiTheme="majorHAnsi" w:cstheme="majorHAnsi"/>
                <w:sz w:val="18"/>
                <w:szCs w:val="18"/>
              </w:rPr>
            </w:pPr>
            <w:r w:rsidRPr="00140159">
              <w:rPr>
                <w:rFonts w:asciiTheme="majorHAnsi" w:hAnsiTheme="majorHAnsi" w:cstheme="majorHAnsi"/>
                <w:spacing w:val="-4"/>
                <w:sz w:val="18"/>
                <w:szCs w:val="18"/>
              </w:rPr>
              <w:t>2024</w:t>
            </w:r>
          </w:p>
        </w:tc>
        <w:tc>
          <w:tcPr>
            <w:cnfStyle w:val="000010000000" w:firstRow="0" w:lastRow="0" w:firstColumn="0" w:lastColumn="0" w:oddVBand="1" w:evenVBand="0" w:oddHBand="0" w:evenHBand="0" w:firstRowFirstColumn="0" w:firstRowLastColumn="0" w:lastRowFirstColumn="0" w:lastRowLastColumn="0"/>
            <w:tcW w:w="4163" w:type="dxa"/>
          </w:tcPr>
          <w:p w14:paraId="4247C1EF" w14:textId="77777777" w:rsidR="00102E95" w:rsidRPr="00140159" w:rsidRDefault="00102E95" w:rsidP="006E30AC">
            <w:pPr>
              <w:pStyle w:val="TableParagraph"/>
              <w:spacing w:line="242" w:lineRule="exact"/>
              <w:ind w:left="16" w:right="1"/>
              <w:jc w:val="center"/>
              <w:rPr>
                <w:rFonts w:asciiTheme="majorHAnsi" w:hAnsiTheme="majorHAnsi" w:cstheme="majorHAnsi"/>
                <w:sz w:val="18"/>
                <w:szCs w:val="18"/>
              </w:rPr>
            </w:pPr>
            <w:r w:rsidRPr="00140159">
              <w:rPr>
                <w:rFonts w:asciiTheme="majorHAnsi" w:hAnsiTheme="majorHAnsi" w:cstheme="majorHAnsi"/>
                <w:sz w:val="18"/>
                <w:szCs w:val="18"/>
              </w:rPr>
              <w:t xml:space="preserve">$ </w:t>
            </w:r>
            <w:r w:rsidRPr="00140159">
              <w:rPr>
                <w:rFonts w:asciiTheme="majorHAnsi" w:hAnsiTheme="majorHAnsi" w:cstheme="majorHAnsi"/>
                <w:spacing w:val="-2"/>
                <w:sz w:val="18"/>
                <w:szCs w:val="18"/>
              </w:rPr>
              <w:t>98.664.287,84</w:t>
            </w:r>
          </w:p>
        </w:tc>
        <w:tc>
          <w:tcPr>
            <w:cnfStyle w:val="000100000000" w:firstRow="0" w:lastRow="0" w:firstColumn="0" w:lastColumn="1" w:oddVBand="0" w:evenVBand="0" w:oddHBand="0" w:evenHBand="0" w:firstRowFirstColumn="0" w:firstRowLastColumn="0" w:lastRowFirstColumn="0" w:lastRowLastColumn="0"/>
            <w:tcW w:w="1494" w:type="dxa"/>
          </w:tcPr>
          <w:p w14:paraId="55E7C231" w14:textId="77777777" w:rsidR="00102E95" w:rsidRPr="00140159" w:rsidRDefault="00102E95" w:rsidP="006E30AC">
            <w:pPr>
              <w:pStyle w:val="TableParagraph"/>
              <w:spacing w:line="242" w:lineRule="exact"/>
              <w:ind w:left="12" w:right="-15"/>
              <w:jc w:val="center"/>
              <w:rPr>
                <w:rFonts w:asciiTheme="majorHAnsi" w:hAnsiTheme="majorHAnsi" w:cstheme="majorHAnsi"/>
                <w:sz w:val="18"/>
                <w:szCs w:val="18"/>
              </w:rPr>
            </w:pPr>
            <w:r w:rsidRPr="00140159">
              <w:rPr>
                <w:rFonts w:asciiTheme="majorHAnsi" w:hAnsiTheme="majorHAnsi" w:cstheme="majorHAnsi"/>
                <w:sz w:val="18"/>
                <w:szCs w:val="18"/>
              </w:rPr>
              <w:t xml:space="preserve">$ </w:t>
            </w:r>
            <w:r w:rsidRPr="00140159">
              <w:rPr>
                <w:rFonts w:asciiTheme="majorHAnsi" w:hAnsiTheme="majorHAnsi" w:cstheme="majorHAnsi"/>
                <w:spacing w:val="-2"/>
                <w:sz w:val="18"/>
                <w:szCs w:val="18"/>
              </w:rPr>
              <w:t>302.736.885,10</w:t>
            </w:r>
          </w:p>
        </w:tc>
      </w:tr>
    </w:tbl>
    <w:p w14:paraId="631A65F9" w14:textId="21B4E484" w:rsidR="006E30AC" w:rsidRPr="00140159" w:rsidRDefault="00D56429" w:rsidP="00140159">
      <w:pPr>
        <w:rPr>
          <w:rFonts w:ascii="Calibri Light" w:hAnsi="Calibri Light" w:cs="Calibri Light"/>
          <w:i/>
          <w:sz w:val="18"/>
          <w:szCs w:val="18"/>
        </w:rPr>
      </w:pPr>
      <w:r>
        <w:rPr>
          <w:rFonts w:ascii="Calibri Light" w:hAnsi="Calibri Light" w:cs="Calibri Light"/>
          <w:color w:val="7F7F7F"/>
          <w:sz w:val="18"/>
          <w:szCs w:val="18"/>
        </w:rPr>
        <w:t xml:space="preserve">                    </w:t>
      </w:r>
      <w:r w:rsidR="00140159">
        <w:rPr>
          <w:rFonts w:ascii="Calibri Light" w:hAnsi="Calibri Light" w:cs="Calibri Light"/>
          <w:color w:val="7F7F7F"/>
          <w:sz w:val="18"/>
          <w:szCs w:val="18"/>
        </w:rPr>
        <w:t xml:space="preserve">         </w:t>
      </w:r>
      <w:r w:rsidR="00102E95" w:rsidRPr="00D56429">
        <w:rPr>
          <w:rFonts w:ascii="Calibri Light" w:hAnsi="Calibri Light" w:cs="Calibri Light"/>
          <w:i/>
          <w:color w:val="7F7F7F"/>
          <w:sz w:val="18"/>
          <w:szCs w:val="18"/>
        </w:rPr>
        <w:t>Fuente: MEM-</w:t>
      </w:r>
      <w:r w:rsidR="00102E95" w:rsidRPr="00D56429">
        <w:rPr>
          <w:i/>
          <w:sz w:val="18"/>
          <w:szCs w:val="18"/>
        </w:rPr>
        <w:t xml:space="preserve"> </w:t>
      </w:r>
      <w:r w:rsidR="00102E95" w:rsidRPr="00D56429">
        <w:rPr>
          <w:rFonts w:ascii="Calibri Light" w:hAnsi="Calibri Light" w:cs="Calibri Light"/>
          <w:i/>
          <w:color w:val="7F7F7F"/>
          <w:sz w:val="18"/>
          <w:szCs w:val="18"/>
        </w:rPr>
        <w:t>DECIP</w:t>
      </w:r>
    </w:p>
    <w:p w14:paraId="1AB46C49" w14:textId="77777777" w:rsidR="006E30AC" w:rsidRPr="00A51E6E" w:rsidRDefault="006E30AC" w:rsidP="00102E95">
      <w:pPr>
        <w:jc w:val="both"/>
        <w:rPr>
          <w:rFonts w:ascii="Calibri Light" w:hAnsi="Calibri Light" w:cs="Calibri Light"/>
          <w:sz w:val="22"/>
        </w:rPr>
      </w:pPr>
    </w:p>
    <w:p w14:paraId="5A464C8D" w14:textId="77777777" w:rsidR="00102E95" w:rsidRPr="00A51E6E" w:rsidRDefault="00102E95" w:rsidP="00102E95">
      <w:pPr>
        <w:jc w:val="both"/>
        <w:rPr>
          <w:rFonts w:ascii="Calibri Light" w:hAnsi="Calibri Light" w:cs="Calibri Light"/>
          <w:sz w:val="22"/>
        </w:rPr>
      </w:pPr>
      <w:r w:rsidRPr="00A51E6E">
        <w:rPr>
          <w:rFonts w:ascii="Calibri Light" w:hAnsi="Calibri Light" w:cs="Calibri Light"/>
          <w:sz w:val="22"/>
        </w:rPr>
        <w:t>El Monto pagado a diciembre 2024 representa el 24 % de la deuda que fue de $ 407.736.837,18 al 31 de octubre de 2023.</w:t>
      </w:r>
    </w:p>
    <w:p w14:paraId="686FD628" w14:textId="77777777" w:rsidR="00140159" w:rsidRDefault="00140159" w:rsidP="00140159">
      <w:pPr>
        <w:pStyle w:val="Ttulo4"/>
        <w:rPr>
          <w:rFonts w:ascii="Calibri Light" w:eastAsiaTheme="minorHAnsi" w:hAnsi="Calibri Light" w:cs="Calibri Light"/>
          <w:i w:val="0"/>
          <w:iCs w:val="0"/>
          <w:color w:val="auto"/>
          <w:sz w:val="22"/>
        </w:rPr>
      </w:pPr>
    </w:p>
    <w:p w14:paraId="7C16DC92" w14:textId="33AF5580" w:rsidR="00102E95" w:rsidRPr="00067DE4" w:rsidRDefault="00102E95" w:rsidP="00067DE4">
      <w:pPr>
        <w:pStyle w:val="Ttulo4"/>
        <w:rPr>
          <w:i w:val="0"/>
          <w:sz w:val="22"/>
          <w:szCs w:val="22"/>
        </w:rPr>
      </w:pPr>
      <w:r w:rsidRPr="00067DE4">
        <w:rPr>
          <w:i w:val="0"/>
          <w:sz w:val="22"/>
          <w:szCs w:val="22"/>
        </w:rPr>
        <w:t>Valores recaudados de conformidad con la Ley de Hidrocarburos y los Contratos para la exploración y explotación de hidrocarburos</w:t>
      </w:r>
    </w:p>
    <w:p w14:paraId="12E33F2D" w14:textId="77777777" w:rsidR="00102E95" w:rsidRDefault="00102E95" w:rsidP="0012332C">
      <w:pPr>
        <w:pStyle w:val="Textoindependiente"/>
      </w:pPr>
    </w:p>
    <w:p w14:paraId="32FB53DA" w14:textId="77777777" w:rsidR="00102E95" w:rsidRPr="00A51E6E" w:rsidRDefault="00102E95" w:rsidP="00102E95">
      <w:pPr>
        <w:jc w:val="both"/>
        <w:rPr>
          <w:rFonts w:ascii="Calibri Light" w:hAnsi="Calibri Light" w:cs="Calibri Light"/>
          <w:sz w:val="22"/>
        </w:rPr>
      </w:pPr>
      <w:r w:rsidRPr="00A51E6E">
        <w:rPr>
          <w:rFonts w:ascii="Calibri Light" w:hAnsi="Calibri Light" w:cs="Calibri Light"/>
          <w:sz w:val="22"/>
        </w:rPr>
        <w:t>En el año 2024, las compañías privadas realizaron pagos establecidos por la Ley de Hidrocarburos que ascienden a USD 58,36 millones de dólares.</w:t>
      </w:r>
    </w:p>
    <w:p w14:paraId="6ECC9601" w14:textId="77777777" w:rsidR="00102E95" w:rsidRPr="00A51E6E" w:rsidRDefault="00102E95" w:rsidP="00102E95">
      <w:pPr>
        <w:jc w:val="both"/>
        <w:rPr>
          <w:rFonts w:ascii="Calibri Light" w:hAnsi="Calibri Light" w:cs="Calibri Light"/>
          <w:sz w:val="22"/>
        </w:rPr>
      </w:pPr>
    </w:p>
    <w:p w14:paraId="39A38CF7" w14:textId="77777777" w:rsidR="00102E95" w:rsidRPr="00A51E6E" w:rsidRDefault="00102E95" w:rsidP="00102E95">
      <w:pPr>
        <w:jc w:val="both"/>
        <w:rPr>
          <w:rFonts w:ascii="Calibri Light" w:hAnsi="Calibri Light" w:cs="Calibri Light"/>
          <w:sz w:val="22"/>
        </w:rPr>
      </w:pPr>
      <w:r w:rsidRPr="00A51E6E">
        <w:rPr>
          <w:rFonts w:ascii="Calibri Light" w:hAnsi="Calibri Light" w:cs="Calibri Light"/>
          <w:sz w:val="22"/>
        </w:rPr>
        <w:t>De acuerdo a la Ley de Hidrocarburos las obligaciones que deben cumplir las empresas son las siguientes:</w:t>
      </w:r>
    </w:p>
    <w:p w14:paraId="5263A916" w14:textId="77777777" w:rsidR="00102E95" w:rsidRPr="00A51E6E" w:rsidRDefault="00102E95" w:rsidP="00102E95">
      <w:pPr>
        <w:jc w:val="both"/>
        <w:rPr>
          <w:rFonts w:ascii="Calibri Light" w:hAnsi="Calibri Light" w:cs="Calibri Light"/>
          <w:sz w:val="22"/>
        </w:rPr>
      </w:pPr>
    </w:p>
    <w:p w14:paraId="545A8429" w14:textId="77777777" w:rsidR="00102E95" w:rsidRPr="00A51E6E" w:rsidRDefault="00102E95" w:rsidP="00102E95">
      <w:pPr>
        <w:pStyle w:val="Prrafodelista"/>
        <w:numPr>
          <w:ilvl w:val="0"/>
          <w:numId w:val="76"/>
        </w:numPr>
        <w:jc w:val="both"/>
        <w:rPr>
          <w:rFonts w:ascii="Calibri Light" w:hAnsi="Calibri Light" w:cs="Calibri Light"/>
          <w:sz w:val="22"/>
        </w:rPr>
      </w:pPr>
      <w:r w:rsidRPr="00A51E6E">
        <w:rPr>
          <w:rFonts w:ascii="Calibri Light" w:hAnsi="Calibri Light" w:cs="Calibri Light"/>
          <w:sz w:val="22"/>
        </w:rPr>
        <w:t>Artículo 52: Uso de Aguas y Materiales de Construcción;</w:t>
      </w:r>
    </w:p>
    <w:p w14:paraId="2F8D0A90" w14:textId="77777777" w:rsidR="00102E95" w:rsidRPr="00A51E6E" w:rsidRDefault="00102E95" w:rsidP="00102E95">
      <w:pPr>
        <w:pStyle w:val="Prrafodelista"/>
        <w:numPr>
          <w:ilvl w:val="0"/>
          <w:numId w:val="76"/>
        </w:numPr>
        <w:jc w:val="both"/>
        <w:rPr>
          <w:rFonts w:ascii="Calibri Light" w:hAnsi="Calibri Light" w:cs="Calibri Light"/>
          <w:sz w:val="22"/>
        </w:rPr>
      </w:pPr>
      <w:r w:rsidRPr="00A51E6E">
        <w:rPr>
          <w:rFonts w:ascii="Calibri Light" w:hAnsi="Calibri Light" w:cs="Calibri Light"/>
          <w:sz w:val="22"/>
        </w:rPr>
        <w:t>Artículo 54: Contribución para la Investigación Científica y Tecnología; y,</w:t>
      </w:r>
    </w:p>
    <w:p w14:paraId="50DAFED8" w14:textId="77777777" w:rsidR="00102E95" w:rsidRPr="00A51E6E" w:rsidRDefault="00102E95" w:rsidP="00102E95">
      <w:pPr>
        <w:pStyle w:val="Prrafodelista"/>
        <w:numPr>
          <w:ilvl w:val="0"/>
          <w:numId w:val="76"/>
        </w:numPr>
        <w:jc w:val="both"/>
        <w:rPr>
          <w:rFonts w:ascii="Calibri Light" w:hAnsi="Calibri Light" w:cs="Calibri Light"/>
          <w:sz w:val="22"/>
        </w:rPr>
      </w:pPr>
      <w:r w:rsidRPr="00A51E6E">
        <w:rPr>
          <w:rFonts w:ascii="Calibri Light" w:hAnsi="Calibri Light" w:cs="Calibri Light"/>
          <w:sz w:val="22"/>
        </w:rPr>
        <w:t>Artículo 94: Proyectos de Inversión Social.</w:t>
      </w:r>
    </w:p>
    <w:p w14:paraId="7C6F77B6" w14:textId="77777777" w:rsidR="00102E95" w:rsidRDefault="00102E95" w:rsidP="00102E95">
      <w:pPr>
        <w:pStyle w:val="Textoindependiente"/>
        <w:spacing w:before="1"/>
      </w:pPr>
    </w:p>
    <w:p w14:paraId="1FB90A87" w14:textId="368BE495" w:rsidR="00D56429" w:rsidRDefault="00102E95" w:rsidP="00F7193D">
      <w:pPr>
        <w:jc w:val="both"/>
        <w:rPr>
          <w:rFonts w:ascii="Calibri Light" w:hAnsi="Calibri Light" w:cs="Calibri Light"/>
          <w:sz w:val="22"/>
        </w:rPr>
      </w:pPr>
      <w:r w:rsidRPr="00A51E6E">
        <w:rPr>
          <w:rFonts w:ascii="Calibri Light" w:hAnsi="Calibri Light" w:cs="Calibri Light"/>
          <w:sz w:val="22"/>
        </w:rPr>
        <w:lastRenderedPageBreak/>
        <w:t>Los valores recaudados por cada uno de los rubros se muestran a continuación:</w:t>
      </w:r>
    </w:p>
    <w:p w14:paraId="2FCD0830" w14:textId="77777777" w:rsidR="00F7193D" w:rsidRPr="00F7193D" w:rsidRDefault="00F7193D" w:rsidP="00F7193D">
      <w:pPr>
        <w:jc w:val="both"/>
        <w:rPr>
          <w:rFonts w:ascii="Calibri Light" w:hAnsi="Calibri Light" w:cs="Calibri Light"/>
          <w:sz w:val="22"/>
        </w:rPr>
      </w:pPr>
    </w:p>
    <w:p w14:paraId="0BEF990B" w14:textId="1BB9A02C" w:rsidR="00102E95" w:rsidRPr="00D56429" w:rsidRDefault="00102E95" w:rsidP="00140159">
      <w:pPr>
        <w:pStyle w:val="Tablas"/>
        <w:spacing w:after="0"/>
        <w:rPr>
          <w:rFonts w:asciiTheme="majorHAnsi" w:hAnsiTheme="majorHAnsi"/>
        </w:rPr>
      </w:pPr>
      <w:bookmarkStart w:id="132" w:name="_Toc197334668"/>
      <w:bookmarkStart w:id="133" w:name="_Toc199759680"/>
      <w:r w:rsidRPr="00D56429">
        <w:rPr>
          <w:rFonts w:asciiTheme="majorHAnsi" w:hAnsiTheme="majorHAnsi"/>
        </w:rPr>
        <w:t xml:space="preserve">Tabla </w:t>
      </w:r>
      <w:r w:rsidR="003A269C" w:rsidRPr="00D56429">
        <w:rPr>
          <w:rFonts w:asciiTheme="majorHAnsi" w:hAnsiTheme="majorHAnsi"/>
        </w:rPr>
        <w:fldChar w:fldCharType="begin"/>
      </w:r>
      <w:r w:rsidR="003A269C" w:rsidRPr="00D56429">
        <w:rPr>
          <w:rFonts w:asciiTheme="majorHAnsi" w:hAnsiTheme="majorHAnsi"/>
        </w:rPr>
        <w:instrText xml:space="preserve"> SEQ Tabla \* ARABIC </w:instrText>
      </w:r>
      <w:r w:rsidR="003A269C" w:rsidRPr="00D56429">
        <w:rPr>
          <w:rFonts w:asciiTheme="majorHAnsi" w:hAnsiTheme="majorHAnsi"/>
        </w:rPr>
        <w:fldChar w:fldCharType="separate"/>
      </w:r>
      <w:r w:rsidR="00CF0AD2">
        <w:rPr>
          <w:rFonts w:asciiTheme="majorHAnsi" w:hAnsiTheme="majorHAnsi"/>
          <w:noProof/>
        </w:rPr>
        <w:t>10</w:t>
      </w:r>
      <w:r w:rsidR="003A269C" w:rsidRPr="00D56429">
        <w:rPr>
          <w:rFonts w:asciiTheme="majorHAnsi" w:hAnsiTheme="majorHAnsi"/>
          <w:noProof/>
        </w:rPr>
        <w:fldChar w:fldCharType="end"/>
      </w:r>
      <w:r w:rsidRPr="00D56429">
        <w:rPr>
          <w:rFonts w:asciiTheme="majorHAnsi" w:hAnsiTheme="majorHAnsi"/>
        </w:rPr>
        <w:t xml:space="preserve">: </w:t>
      </w:r>
      <w:r w:rsidRPr="00D56429">
        <w:rPr>
          <w:rFonts w:asciiTheme="majorHAnsi" w:hAnsiTheme="majorHAnsi"/>
          <w:spacing w:val="-6"/>
        </w:rPr>
        <w:t xml:space="preserve"> </w:t>
      </w:r>
      <w:r w:rsidRPr="00D56429">
        <w:rPr>
          <w:rFonts w:asciiTheme="majorHAnsi" w:hAnsiTheme="majorHAnsi"/>
          <w:color w:val="44536A"/>
          <w:spacing w:val="-2"/>
        </w:rPr>
        <w:t xml:space="preserve"> </w:t>
      </w:r>
      <w:r w:rsidRPr="00D56429">
        <w:rPr>
          <w:rFonts w:asciiTheme="majorHAnsi" w:hAnsiTheme="majorHAnsi"/>
          <w:color w:val="44536A"/>
        </w:rPr>
        <w:t>Valores</w:t>
      </w:r>
      <w:r w:rsidRPr="00D56429">
        <w:rPr>
          <w:rFonts w:asciiTheme="majorHAnsi" w:hAnsiTheme="majorHAnsi"/>
          <w:color w:val="44536A"/>
          <w:spacing w:val="-4"/>
        </w:rPr>
        <w:t xml:space="preserve"> </w:t>
      </w:r>
      <w:r w:rsidRPr="00D56429">
        <w:rPr>
          <w:rFonts w:asciiTheme="majorHAnsi" w:hAnsiTheme="majorHAnsi"/>
          <w:color w:val="44536A"/>
        </w:rPr>
        <w:t>Recaudados</w:t>
      </w:r>
      <w:r w:rsidRPr="00D56429">
        <w:rPr>
          <w:rFonts w:asciiTheme="majorHAnsi" w:hAnsiTheme="majorHAnsi"/>
          <w:color w:val="44536A"/>
          <w:spacing w:val="-4"/>
        </w:rPr>
        <w:t xml:space="preserve"> </w:t>
      </w:r>
      <w:r w:rsidRPr="00D56429">
        <w:rPr>
          <w:rFonts w:asciiTheme="majorHAnsi" w:hAnsiTheme="majorHAnsi"/>
          <w:color w:val="44536A"/>
        </w:rPr>
        <w:t>cumplimento</w:t>
      </w:r>
      <w:r w:rsidRPr="00D56429">
        <w:rPr>
          <w:rFonts w:asciiTheme="majorHAnsi" w:hAnsiTheme="majorHAnsi"/>
          <w:color w:val="44536A"/>
          <w:spacing w:val="-5"/>
        </w:rPr>
        <w:t xml:space="preserve"> </w:t>
      </w:r>
      <w:r w:rsidRPr="00D56429">
        <w:rPr>
          <w:rFonts w:asciiTheme="majorHAnsi" w:hAnsiTheme="majorHAnsi"/>
          <w:color w:val="44536A"/>
        </w:rPr>
        <w:t>Ley</w:t>
      </w:r>
      <w:r w:rsidRPr="00D56429">
        <w:rPr>
          <w:rFonts w:asciiTheme="majorHAnsi" w:hAnsiTheme="majorHAnsi"/>
          <w:color w:val="44536A"/>
          <w:spacing w:val="-2"/>
        </w:rPr>
        <w:t xml:space="preserve"> </w:t>
      </w:r>
      <w:r w:rsidRPr="00D56429">
        <w:rPr>
          <w:rFonts w:asciiTheme="majorHAnsi" w:hAnsiTheme="majorHAnsi"/>
          <w:color w:val="44536A"/>
        </w:rPr>
        <w:t>de</w:t>
      </w:r>
      <w:r w:rsidRPr="00D56429">
        <w:rPr>
          <w:rFonts w:asciiTheme="majorHAnsi" w:hAnsiTheme="majorHAnsi"/>
          <w:color w:val="44536A"/>
          <w:spacing w:val="-5"/>
        </w:rPr>
        <w:t xml:space="preserve"> </w:t>
      </w:r>
      <w:r w:rsidRPr="00D56429">
        <w:rPr>
          <w:rFonts w:asciiTheme="majorHAnsi" w:hAnsiTheme="majorHAnsi"/>
          <w:color w:val="44536A"/>
          <w:spacing w:val="-2"/>
        </w:rPr>
        <w:t>Hidrocarburos</w:t>
      </w:r>
      <w:bookmarkEnd w:id="132"/>
      <w:bookmarkEnd w:id="133"/>
    </w:p>
    <w:tbl>
      <w:tblPr>
        <w:tblStyle w:val="GridTable4-Accent1"/>
        <w:tblW w:w="0" w:type="auto"/>
        <w:jc w:val="center"/>
        <w:tblLayout w:type="fixed"/>
        <w:tblLook w:val="01E0" w:firstRow="1" w:lastRow="1" w:firstColumn="1" w:lastColumn="1" w:noHBand="0" w:noVBand="0"/>
      </w:tblPr>
      <w:tblGrid>
        <w:gridCol w:w="833"/>
        <w:gridCol w:w="1682"/>
        <w:gridCol w:w="1661"/>
        <w:gridCol w:w="1677"/>
        <w:gridCol w:w="1626"/>
      </w:tblGrid>
      <w:tr w:rsidR="00102E95" w:rsidRPr="00A51E6E" w14:paraId="26AAEDEF" w14:textId="77777777" w:rsidTr="00067DE4">
        <w:trPr>
          <w:cnfStyle w:val="100000000000" w:firstRow="1" w:lastRow="0" w:firstColumn="0" w:lastColumn="0" w:oddVBand="0" w:evenVBand="0" w:oddHBand="0" w:evenHBand="0" w:firstRowFirstColumn="0" w:firstRowLastColumn="0" w:lastRowFirstColumn="0" w:lastRowLastColumn="0"/>
          <w:trHeight w:val="877"/>
          <w:jc w:val="center"/>
        </w:trPr>
        <w:tc>
          <w:tcPr>
            <w:cnfStyle w:val="001000000000" w:firstRow="0" w:lastRow="0" w:firstColumn="1" w:lastColumn="0" w:oddVBand="0" w:evenVBand="0" w:oddHBand="0" w:evenHBand="0" w:firstRowFirstColumn="0" w:firstRowLastColumn="0" w:lastRowFirstColumn="0" w:lastRowLastColumn="0"/>
            <w:tcW w:w="833" w:type="dxa"/>
          </w:tcPr>
          <w:p w14:paraId="01CF0182" w14:textId="77777777" w:rsidR="00102E95" w:rsidRPr="00140159" w:rsidRDefault="00102E95" w:rsidP="006E30AC">
            <w:pPr>
              <w:pStyle w:val="TableParagraph"/>
              <w:spacing w:before="122"/>
              <w:jc w:val="center"/>
              <w:rPr>
                <w:rFonts w:asciiTheme="majorHAnsi" w:hAnsiTheme="majorHAnsi" w:cstheme="majorHAnsi"/>
                <w:i/>
                <w:sz w:val="18"/>
                <w:szCs w:val="18"/>
              </w:rPr>
            </w:pPr>
          </w:p>
          <w:p w14:paraId="7D7988C7" w14:textId="77777777" w:rsidR="00102E95" w:rsidRPr="00140159" w:rsidRDefault="00102E95" w:rsidP="006E30AC">
            <w:pPr>
              <w:pStyle w:val="TableParagraph"/>
              <w:ind w:left="18"/>
              <w:jc w:val="center"/>
              <w:rPr>
                <w:rFonts w:asciiTheme="majorHAnsi" w:hAnsiTheme="majorHAnsi" w:cstheme="majorHAnsi"/>
                <w:sz w:val="18"/>
                <w:szCs w:val="18"/>
              </w:rPr>
            </w:pPr>
            <w:r w:rsidRPr="00140159">
              <w:rPr>
                <w:rFonts w:asciiTheme="majorHAnsi" w:hAnsiTheme="majorHAnsi" w:cstheme="majorHAnsi"/>
                <w:spacing w:val="-5"/>
                <w:sz w:val="18"/>
                <w:szCs w:val="18"/>
              </w:rPr>
              <w:t>AÑO</w:t>
            </w:r>
          </w:p>
        </w:tc>
        <w:tc>
          <w:tcPr>
            <w:cnfStyle w:val="000010000000" w:firstRow="0" w:lastRow="0" w:firstColumn="0" w:lastColumn="0" w:oddVBand="1" w:evenVBand="0" w:oddHBand="0" w:evenHBand="0" w:firstRowFirstColumn="0" w:firstRowLastColumn="0" w:lastRowFirstColumn="0" w:lastRowLastColumn="0"/>
            <w:tcW w:w="1682" w:type="dxa"/>
          </w:tcPr>
          <w:p w14:paraId="3A812F1C" w14:textId="77777777" w:rsidR="00102E95" w:rsidRPr="00140159" w:rsidRDefault="00102E95" w:rsidP="006E30AC">
            <w:pPr>
              <w:pStyle w:val="TableParagraph"/>
              <w:ind w:left="144" w:right="114" w:firstLine="1"/>
              <w:jc w:val="center"/>
              <w:rPr>
                <w:rFonts w:asciiTheme="majorHAnsi" w:hAnsiTheme="majorHAnsi" w:cstheme="majorHAnsi"/>
                <w:sz w:val="18"/>
                <w:szCs w:val="18"/>
              </w:rPr>
            </w:pPr>
            <w:r w:rsidRPr="00140159">
              <w:rPr>
                <w:rFonts w:asciiTheme="majorHAnsi" w:hAnsiTheme="majorHAnsi" w:cstheme="majorHAnsi"/>
                <w:spacing w:val="-2"/>
                <w:sz w:val="18"/>
                <w:szCs w:val="18"/>
              </w:rPr>
              <w:t xml:space="preserve">Valores </w:t>
            </w:r>
            <w:r w:rsidRPr="00140159">
              <w:rPr>
                <w:rFonts w:asciiTheme="majorHAnsi" w:hAnsiTheme="majorHAnsi" w:cstheme="majorHAnsi"/>
                <w:sz w:val="18"/>
                <w:szCs w:val="18"/>
              </w:rPr>
              <w:t>recaudados</w:t>
            </w:r>
            <w:r w:rsidRPr="00140159">
              <w:rPr>
                <w:rFonts w:asciiTheme="majorHAnsi" w:hAnsiTheme="majorHAnsi" w:cstheme="majorHAnsi"/>
                <w:spacing w:val="-13"/>
                <w:sz w:val="18"/>
                <w:szCs w:val="18"/>
              </w:rPr>
              <w:t xml:space="preserve"> </w:t>
            </w:r>
            <w:r w:rsidRPr="00140159">
              <w:rPr>
                <w:rFonts w:asciiTheme="majorHAnsi" w:hAnsiTheme="majorHAnsi" w:cstheme="majorHAnsi"/>
                <w:sz w:val="18"/>
                <w:szCs w:val="18"/>
              </w:rPr>
              <w:t>por ART. 52</w:t>
            </w:r>
          </w:p>
          <w:p w14:paraId="08F91679" w14:textId="77777777" w:rsidR="00102E95" w:rsidRPr="00140159" w:rsidRDefault="00102E95" w:rsidP="006E30AC">
            <w:pPr>
              <w:pStyle w:val="TableParagraph"/>
              <w:spacing w:line="251" w:lineRule="exact"/>
              <w:ind w:left="28"/>
              <w:jc w:val="center"/>
              <w:rPr>
                <w:rFonts w:asciiTheme="majorHAnsi" w:hAnsiTheme="majorHAnsi" w:cstheme="majorHAnsi"/>
                <w:sz w:val="18"/>
                <w:szCs w:val="18"/>
              </w:rPr>
            </w:pPr>
            <w:r w:rsidRPr="00140159">
              <w:rPr>
                <w:rFonts w:asciiTheme="majorHAnsi" w:hAnsiTheme="majorHAnsi" w:cstheme="majorHAnsi"/>
                <w:spacing w:val="-2"/>
                <w:sz w:val="18"/>
                <w:szCs w:val="18"/>
              </w:rPr>
              <w:t>Dólares</w:t>
            </w:r>
          </w:p>
        </w:tc>
        <w:tc>
          <w:tcPr>
            <w:tcW w:w="1661" w:type="dxa"/>
          </w:tcPr>
          <w:p w14:paraId="56DFD681" w14:textId="77777777" w:rsidR="00102E95" w:rsidRPr="00140159" w:rsidRDefault="00102E95" w:rsidP="006E30AC">
            <w:pPr>
              <w:pStyle w:val="TableParagraph"/>
              <w:ind w:left="301" w:right="281" w:hanging="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40159">
              <w:rPr>
                <w:rFonts w:asciiTheme="majorHAnsi" w:hAnsiTheme="majorHAnsi" w:cstheme="majorHAnsi"/>
                <w:spacing w:val="-2"/>
                <w:sz w:val="18"/>
                <w:szCs w:val="18"/>
              </w:rPr>
              <w:t xml:space="preserve">Valores recaudados </w:t>
            </w:r>
            <w:r w:rsidRPr="00140159">
              <w:rPr>
                <w:rFonts w:asciiTheme="majorHAnsi" w:hAnsiTheme="majorHAnsi" w:cstheme="majorHAnsi"/>
                <w:sz w:val="18"/>
                <w:szCs w:val="18"/>
              </w:rPr>
              <w:t>por</w:t>
            </w:r>
            <w:r w:rsidRPr="00140159">
              <w:rPr>
                <w:rFonts w:asciiTheme="majorHAnsi" w:hAnsiTheme="majorHAnsi" w:cstheme="majorHAnsi"/>
                <w:spacing w:val="-1"/>
                <w:sz w:val="18"/>
                <w:szCs w:val="18"/>
              </w:rPr>
              <w:t xml:space="preserve"> </w:t>
            </w:r>
            <w:r w:rsidRPr="00140159">
              <w:rPr>
                <w:rFonts w:asciiTheme="majorHAnsi" w:hAnsiTheme="majorHAnsi" w:cstheme="majorHAnsi"/>
                <w:sz w:val="18"/>
                <w:szCs w:val="18"/>
              </w:rPr>
              <w:t>ART.</w:t>
            </w:r>
            <w:r w:rsidRPr="00140159">
              <w:rPr>
                <w:rFonts w:asciiTheme="majorHAnsi" w:hAnsiTheme="majorHAnsi" w:cstheme="majorHAnsi"/>
                <w:spacing w:val="-2"/>
                <w:sz w:val="18"/>
                <w:szCs w:val="18"/>
              </w:rPr>
              <w:t xml:space="preserve"> </w:t>
            </w:r>
            <w:r w:rsidRPr="00140159">
              <w:rPr>
                <w:rFonts w:asciiTheme="majorHAnsi" w:hAnsiTheme="majorHAnsi" w:cstheme="majorHAnsi"/>
                <w:spacing w:val="-5"/>
                <w:sz w:val="18"/>
                <w:szCs w:val="18"/>
              </w:rPr>
              <w:t>54</w:t>
            </w:r>
          </w:p>
          <w:p w14:paraId="6434F5B1" w14:textId="77777777" w:rsidR="00102E95" w:rsidRPr="00140159" w:rsidRDefault="00102E95" w:rsidP="006E30AC">
            <w:pPr>
              <w:pStyle w:val="TableParagraph"/>
              <w:spacing w:line="251" w:lineRule="exact"/>
              <w:ind w:left="18"/>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40159">
              <w:rPr>
                <w:rFonts w:asciiTheme="majorHAnsi" w:hAnsiTheme="majorHAnsi" w:cstheme="majorHAnsi"/>
                <w:spacing w:val="-2"/>
                <w:sz w:val="18"/>
                <w:szCs w:val="18"/>
              </w:rPr>
              <w:t>Dólares</w:t>
            </w:r>
          </w:p>
        </w:tc>
        <w:tc>
          <w:tcPr>
            <w:cnfStyle w:val="000010000000" w:firstRow="0" w:lastRow="0" w:firstColumn="0" w:lastColumn="0" w:oddVBand="1" w:evenVBand="0" w:oddHBand="0" w:evenHBand="0" w:firstRowFirstColumn="0" w:firstRowLastColumn="0" w:lastRowFirstColumn="0" w:lastRowLastColumn="0"/>
            <w:tcW w:w="1677" w:type="dxa"/>
          </w:tcPr>
          <w:p w14:paraId="5EC2778B" w14:textId="77777777" w:rsidR="00102E95" w:rsidRPr="00140159" w:rsidRDefault="00102E95" w:rsidP="006E30AC">
            <w:pPr>
              <w:pStyle w:val="TableParagraph"/>
              <w:ind w:left="311" w:right="295" w:hanging="3"/>
              <w:jc w:val="center"/>
              <w:rPr>
                <w:rFonts w:asciiTheme="majorHAnsi" w:hAnsiTheme="majorHAnsi" w:cstheme="majorHAnsi"/>
                <w:sz w:val="18"/>
                <w:szCs w:val="18"/>
              </w:rPr>
            </w:pPr>
            <w:r w:rsidRPr="00140159">
              <w:rPr>
                <w:rFonts w:asciiTheme="majorHAnsi" w:hAnsiTheme="majorHAnsi" w:cstheme="majorHAnsi"/>
                <w:spacing w:val="-2"/>
                <w:sz w:val="18"/>
                <w:szCs w:val="18"/>
              </w:rPr>
              <w:t xml:space="preserve">Valores recaudados </w:t>
            </w:r>
            <w:r w:rsidRPr="00140159">
              <w:rPr>
                <w:rFonts w:asciiTheme="majorHAnsi" w:hAnsiTheme="majorHAnsi" w:cstheme="majorHAnsi"/>
                <w:sz w:val="18"/>
                <w:szCs w:val="18"/>
              </w:rPr>
              <w:t>por</w:t>
            </w:r>
            <w:r w:rsidRPr="00140159">
              <w:rPr>
                <w:rFonts w:asciiTheme="majorHAnsi" w:hAnsiTheme="majorHAnsi" w:cstheme="majorHAnsi"/>
                <w:spacing w:val="-1"/>
                <w:sz w:val="18"/>
                <w:szCs w:val="18"/>
              </w:rPr>
              <w:t xml:space="preserve"> </w:t>
            </w:r>
            <w:r w:rsidRPr="00140159">
              <w:rPr>
                <w:rFonts w:asciiTheme="majorHAnsi" w:hAnsiTheme="majorHAnsi" w:cstheme="majorHAnsi"/>
                <w:sz w:val="18"/>
                <w:szCs w:val="18"/>
              </w:rPr>
              <w:t>ART.</w:t>
            </w:r>
            <w:r w:rsidRPr="00140159">
              <w:rPr>
                <w:rFonts w:asciiTheme="majorHAnsi" w:hAnsiTheme="majorHAnsi" w:cstheme="majorHAnsi"/>
                <w:spacing w:val="-2"/>
                <w:sz w:val="18"/>
                <w:szCs w:val="18"/>
              </w:rPr>
              <w:t xml:space="preserve"> </w:t>
            </w:r>
            <w:r w:rsidRPr="00140159">
              <w:rPr>
                <w:rFonts w:asciiTheme="majorHAnsi" w:hAnsiTheme="majorHAnsi" w:cstheme="majorHAnsi"/>
                <w:spacing w:val="-5"/>
                <w:sz w:val="18"/>
                <w:szCs w:val="18"/>
              </w:rPr>
              <w:t>94</w:t>
            </w:r>
          </w:p>
          <w:p w14:paraId="6570ED14" w14:textId="77777777" w:rsidR="00102E95" w:rsidRPr="00140159" w:rsidRDefault="00102E95" w:rsidP="006E30AC">
            <w:pPr>
              <w:pStyle w:val="TableParagraph"/>
              <w:spacing w:line="251" w:lineRule="exact"/>
              <w:ind w:left="14"/>
              <w:jc w:val="center"/>
              <w:rPr>
                <w:rFonts w:asciiTheme="majorHAnsi" w:hAnsiTheme="majorHAnsi" w:cstheme="majorHAnsi"/>
                <w:sz w:val="18"/>
                <w:szCs w:val="18"/>
              </w:rPr>
            </w:pPr>
            <w:r w:rsidRPr="00140159">
              <w:rPr>
                <w:rFonts w:asciiTheme="majorHAnsi" w:hAnsiTheme="majorHAnsi" w:cstheme="majorHAnsi"/>
                <w:spacing w:val="-2"/>
                <w:sz w:val="18"/>
                <w:szCs w:val="18"/>
              </w:rPr>
              <w:t>Dólares</w:t>
            </w:r>
          </w:p>
        </w:tc>
        <w:tc>
          <w:tcPr>
            <w:cnfStyle w:val="000100000000" w:firstRow="0" w:lastRow="0" w:firstColumn="0" w:lastColumn="1" w:oddVBand="0" w:evenVBand="0" w:oddHBand="0" w:evenHBand="0" w:firstRowFirstColumn="0" w:firstRowLastColumn="0" w:lastRowFirstColumn="0" w:lastRowLastColumn="0"/>
            <w:tcW w:w="1626" w:type="dxa"/>
          </w:tcPr>
          <w:p w14:paraId="38441373" w14:textId="77777777" w:rsidR="00102E95" w:rsidRPr="00140159" w:rsidRDefault="00102E95" w:rsidP="00140159">
            <w:pPr>
              <w:pStyle w:val="TableParagraph"/>
              <w:spacing w:before="256"/>
              <w:ind w:left="10" w:right="-15" w:firstLine="513"/>
              <w:rPr>
                <w:rFonts w:asciiTheme="majorHAnsi" w:hAnsiTheme="majorHAnsi" w:cstheme="majorHAnsi"/>
                <w:sz w:val="18"/>
                <w:szCs w:val="18"/>
              </w:rPr>
            </w:pPr>
            <w:proofErr w:type="gramStart"/>
            <w:r w:rsidRPr="00140159">
              <w:rPr>
                <w:rFonts w:asciiTheme="majorHAnsi" w:hAnsiTheme="majorHAnsi" w:cstheme="majorHAnsi"/>
                <w:spacing w:val="-2"/>
                <w:sz w:val="18"/>
                <w:szCs w:val="18"/>
              </w:rPr>
              <w:t>TOTAL</w:t>
            </w:r>
            <w:proofErr w:type="gramEnd"/>
            <w:r w:rsidRPr="00140159">
              <w:rPr>
                <w:rFonts w:asciiTheme="majorHAnsi" w:hAnsiTheme="majorHAnsi" w:cstheme="majorHAnsi"/>
                <w:spacing w:val="-2"/>
                <w:sz w:val="18"/>
                <w:szCs w:val="18"/>
              </w:rPr>
              <w:t xml:space="preserve"> CONTRIBUCIONES</w:t>
            </w:r>
          </w:p>
        </w:tc>
      </w:tr>
      <w:tr w:rsidR="00102E95" w:rsidRPr="00A51E6E" w14:paraId="49F8F567" w14:textId="77777777" w:rsidTr="00067DE4">
        <w:trPr>
          <w:cnfStyle w:val="010000000000" w:firstRow="0" w:lastRow="1"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33" w:type="dxa"/>
          </w:tcPr>
          <w:p w14:paraId="0676A46C" w14:textId="77777777" w:rsidR="00102E95" w:rsidRPr="00140159" w:rsidRDefault="00102E95" w:rsidP="006E30AC">
            <w:pPr>
              <w:pStyle w:val="TableParagraph"/>
              <w:spacing w:before="10" w:line="255" w:lineRule="exact"/>
              <w:ind w:left="18" w:right="2"/>
              <w:jc w:val="center"/>
              <w:rPr>
                <w:rFonts w:asciiTheme="majorHAnsi" w:hAnsiTheme="majorHAnsi" w:cstheme="majorHAnsi"/>
                <w:sz w:val="18"/>
                <w:szCs w:val="18"/>
              </w:rPr>
            </w:pPr>
            <w:r w:rsidRPr="00140159">
              <w:rPr>
                <w:rFonts w:asciiTheme="majorHAnsi" w:hAnsiTheme="majorHAnsi" w:cstheme="majorHAnsi"/>
                <w:spacing w:val="-4"/>
                <w:sz w:val="18"/>
                <w:szCs w:val="18"/>
              </w:rPr>
              <w:t>2024</w:t>
            </w:r>
          </w:p>
        </w:tc>
        <w:tc>
          <w:tcPr>
            <w:cnfStyle w:val="000010000000" w:firstRow="0" w:lastRow="0" w:firstColumn="0" w:lastColumn="0" w:oddVBand="1" w:evenVBand="0" w:oddHBand="0" w:evenHBand="0" w:firstRowFirstColumn="0" w:firstRowLastColumn="0" w:lastRowFirstColumn="0" w:lastRowLastColumn="0"/>
            <w:tcW w:w="1682" w:type="dxa"/>
          </w:tcPr>
          <w:p w14:paraId="108E785D" w14:textId="77777777" w:rsidR="00102E95" w:rsidRPr="00140159" w:rsidRDefault="00102E95" w:rsidP="006E30AC">
            <w:pPr>
              <w:pStyle w:val="TableParagraph"/>
              <w:spacing w:before="10" w:line="255" w:lineRule="exact"/>
              <w:ind w:left="255"/>
              <w:jc w:val="center"/>
              <w:rPr>
                <w:rFonts w:asciiTheme="majorHAnsi" w:hAnsiTheme="majorHAnsi" w:cstheme="majorHAnsi"/>
                <w:sz w:val="18"/>
                <w:szCs w:val="18"/>
              </w:rPr>
            </w:pPr>
            <w:r w:rsidRPr="00140159">
              <w:rPr>
                <w:rFonts w:asciiTheme="majorHAnsi" w:hAnsiTheme="majorHAnsi" w:cstheme="majorHAnsi"/>
                <w:sz w:val="18"/>
                <w:szCs w:val="18"/>
              </w:rPr>
              <w:t xml:space="preserve">$ </w:t>
            </w:r>
            <w:r w:rsidRPr="00140159">
              <w:rPr>
                <w:rFonts w:asciiTheme="majorHAnsi" w:hAnsiTheme="majorHAnsi" w:cstheme="majorHAnsi"/>
                <w:spacing w:val="-2"/>
                <w:sz w:val="18"/>
                <w:szCs w:val="18"/>
              </w:rPr>
              <w:t>909.029,23</w:t>
            </w:r>
          </w:p>
        </w:tc>
        <w:tc>
          <w:tcPr>
            <w:tcW w:w="1661" w:type="dxa"/>
          </w:tcPr>
          <w:p w14:paraId="44AC32F2" w14:textId="77777777" w:rsidR="00102E95" w:rsidRPr="00140159" w:rsidRDefault="00102E95" w:rsidP="006E30AC">
            <w:pPr>
              <w:pStyle w:val="TableParagraph"/>
              <w:spacing w:before="10" w:line="255" w:lineRule="exact"/>
              <w:ind w:left="152"/>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40159">
              <w:rPr>
                <w:rFonts w:asciiTheme="majorHAnsi" w:hAnsiTheme="majorHAnsi" w:cstheme="majorHAnsi"/>
                <w:sz w:val="18"/>
                <w:szCs w:val="18"/>
              </w:rPr>
              <w:t xml:space="preserve">$ </w:t>
            </w:r>
            <w:r w:rsidRPr="00140159">
              <w:rPr>
                <w:rFonts w:asciiTheme="majorHAnsi" w:hAnsiTheme="majorHAnsi" w:cstheme="majorHAnsi"/>
                <w:spacing w:val="-2"/>
                <w:sz w:val="18"/>
                <w:szCs w:val="18"/>
              </w:rPr>
              <w:t>5.455.762,52</w:t>
            </w:r>
          </w:p>
        </w:tc>
        <w:tc>
          <w:tcPr>
            <w:cnfStyle w:val="000010000000" w:firstRow="0" w:lastRow="0" w:firstColumn="0" w:lastColumn="0" w:oddVBand="1" w:evenVBand="0" w:oddHBand="0" w:evenHBand="0" w:firstRowFirstColumn="0" w:firstRowLastColumn="0" w:lastRowFirstColumn="0" w:lastRowLastColumn="0"/>
            <w:tcW w:w="1677" w:type="dxa"/>
          </w:tcPr>
          <w:p w14:paraId="1D2B395F" w14:textId="77777777" w:rsidR="00102E95" w:rsidRPr="00140159" w:rsidRDefault="00102E95" w:rsidP="006E30AC">
            <w:pPr>
              <w:pStyle w:val="TableParagraph"/>
              <w:spacing w:before="10" w:line="255" w:lineRule="exact"/>
              <w:ind w:left="107"/>
              <w:jc w:val="center"/>
              <w:rPr>
                <w:rFonts w:asciiTheme="majorHAnsi" w:hAnsiTheme="majorHAnsi" w:cstheme="majorHAnsi"/>
                <w:sz w:val="18"/>
                <w:szCs w:val="18"/>
              </w:rPr>
            </w:pPr>
            <w:r w:rsidRPr="00140159">
              <w:rPr>
                <w:rFonts w:asciiTheme="majorHAnsi" w:hAnsiTheme="majorHAnsi" w:cstheme="majorHAnsi"/>
                <w:sz w:val="18"/>
                <w:szCs w:val="18"/>
              </w:rPr>
              <w:t xml:space="preserve">$ </w:t>
            </w:r>
            <w:r w:rsidRPr="00140159">
              <w:rPr>
                <w:rFonts w:asciiTheme="majorHAnsi" w:hAnsiTheme="majorHAnsi" w:cstheme="majorHAnsi"/>
                <w:spacing w:val="-2"/>
                <w:sz w:val="18"/>
                <w:szCs w:val="18"/>
              </w:rPr>
              <w:t>51.988.331,72</w:t>
            </w:r>
          </w:p>
        </w:tc>
        <w:tc>
          <w:tcPr>
            <w:cnfStyle w:val="000100000000" w:firstRow="0" w:lastRow="0" w:firstColumn="0" w:lastColumn="1" w:oddVBand="0" w:evenVBand="0" w:oddHBand="0" w:evenHBand="0" w:firstRowFirstColumn="0" w:firstRowLastColumn="0" w:lastRowFirstColumn="0" w:lastRowLastColumn="0"/>
            <w:tcW w:w="1626" w:type="dxa"/>
          </w:tcPr>
          <w:p w14:paraId="1E44A19E" w14:textId="77777777" w:rsidR="00102E95" w:rsidRPr="00140159" w:rsidRDefault="00102E95" w:rsidP="006E30AC">
            <w:pPr>
              <w:pStyle w:val="TableParagraph"/>
              <w:spacing w:before="10" w:line="255" w:lineRule="exact"/>
              <w:ind w:left="92"/>
              <w:jc w:val="center"/>
              <w:rPr>
                <w:rFonts w:asciiTheme="majorHAnsi" w:hAnsiTheme="majorHAnsi" w:cstheme="majorHAnsi"/>
                <w:sz w:val="18"/>
                <w:szCs w:val="18"/>
              </w:rPr>
            </w:pPr>
            <w:r w:rsidRPr="00140159">
              <w:rPr>
                <w:rFonts w:asciiTheme="majorHAnsi" w:hAnsiTheme="majorHAnsi" w:cstheme="majorHAnsi"/>
                <w:sz w:val="18"/>
                <w:szCs w:val="18"/>
              </w:rPr>
              <w:t xml:space="preserve">$ </w:t>
            </w:r>
            <w:r w:rsidRPr="00140159">
              <w:rPr>
                <w:rFonts w:asciiTheme="majorHAnsi" w:hAnsiTheme="majorHAnsi" w:cstheme="majorHAnsi"/>
                <w:spacing w:val="-2"/>
                <w:sz w:val="18"/>
                <w:szCs w:val="18"/>
              </w:rPr>
              <w:t>58.364.123,47</w:t>
            </w:r>
          </w:p>
        </w:tc>
      </w:tr>
    </w:tbl>
    <w:p w14:paraId="5287036B" w14:textId="2D3BF7ED" w:rsidR="00102E95" w:rsidRPr="00EE578D" w:rsidRDefault="00D56429" w:rsidP="00D56429">
      <w:pPr>
        <w:pStyle w:val="Textoindependiente"/>
        <w:spacing w:before="6"/>
        <w:ind w:right="472"/>
        <w:rPr>
          <w:rFonts w:asciiTheme="majorHAnsi" w:eastAsia="Calibri" w:hAnsiTheme="majorHAnsi" w:cstheme="majorHAnsi"/>
          <w:color w:val="7F7F7F"/>
          <w:sz w:val="16"/>
          <w:szCs w:val="16"/>
        </w:rPr>
      </w:pPr>
      <w:r>
        <w:rPr>
          <w:rFonts w:ascii="Calibri"/>
          <w:i/>
          <w:sz w:val="15"/>
        </w:rPr>
        <w:t xml:space="preserve">               </w:t>
      </w:r>
      <w:r w:rsidR="00102E95" w:rsidRPr="00EE578D">
        <w:rPr>
          <w:rFonts w:asciiTheme="majorHAnsi" w:eastAsia="Calibri" w:hAnsiTheme="majorHAnsi" w:cstheme="majorHAnsi"/>
          <w:color w:val="7F7F7F"/>
          <w:sz w:val="16"/>
          <w:szCs w:val="16"/>
        </w:rPr>
        <w:t>Fuente: MEM-</w:t>
      </w:r>
      <w:r w:rsidR="00102E95" w:rsidRPr="00EE578D">
        <w:rPr>
          <w:rFonts w:asciiTheme="majorHAnsi" w:hAnsiTheme="majorHAnsi" w:cstheme="majorHAnsi"/>
          <w:sz w:val="16"/>
          <w:szCs w:val="16"/>
        </w:rPr>
        <w:t xml:space="preserve"> </w:t>
      </w:r>
      <w:r w:rsidR="00102E95" w:rsidRPr="00EE578D">
        <w:rPr>
          <w:rFonts w:asciiTheme="majorHAnsi" w:eastAsia="Calibri" w:hAnsiTheme="majorHAnsi" w:cstheme="majorHAnsi"/>
          <w:color w:val="7F7F7F"/>
          <w:sz w:val="16"/>
          <w:szCs w:val="16"/>
        </w:rPr>
        <w:t>DECEIP.</w:t>
      </w:r>
    </w:p>
    <w:p w14:paraId="209AF0B9" w14:textId="77777777" w:rsidR="00102E95" w:rsidRDefault="00102E95" w:rsidP="00102E95">
      <w:pPr>
        <w:pStyle w:val="Textoindependiente"/>
        <w:spacing w:before="7"/>
        <w:rPr>
          <w:rFonts w:ascii="Calibri"/>
          <w:i/>
          <w:sz w:val="15"/>
        </w:rPr>
      </w:pPr>
    </w:p>
    <w:p w14:paraId="77ECFADA" w14:textId="0CAFB2B7" w:rsidR="00102E95" w:rsidRPr="00D56429" w:rsidRDefault="00D56429" w:rsidP="00D56429">
      <w:pPr>
        <w:pStyle w:val="Tablas"/>
        <w:rPr>
          <w:rFonts w:asciiTheme="majorHAnsi" w:hAnsiTheme="majorHAnsi"/>
        </w:rPr>
      </w:pPr>
      <w:bookmarkStart w:id="134" w:name="_Toc197334706"/>
      <w:bookmarkStart w:id="135" w:name="_Toc199757564"/>
      <w:r>
        <w:rPr>
          <w:noProof/>
        </w:rPr>
        <w:drawing>
          <wp:anchor distT="0" distB="0" distL="0" distR="0" simplePos="0" relativeHeight="251675648" behindDoc="1" locked="0" layoutInCell="1" allowOverlap="1" wp14:anchorId="12EB3D23" wp14:editId="4EFE3D37">
            <wp:simplePos x="0" y="0"/>
            <wp:positionH relativeFrom="page">
              <wp:posOffset>2195830</wp:posOffset>
            </wp:positionH>
            <wp:positionV relativeFrom="paragraph">
              <wp:posOffset>167640</wp:posOffset>
            </wp:positionV>
            <wp:extent cx="3472815" cy="1656715"/>
            <wp:effectExtent l="0" t="0" r="0" b="635"/>
            <wp:wrapTopAndBottom/>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7281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02E95" w:rsidRPr="00D56429">
        <w:rPr>
          <w:rFonts w:asciiTheme="majorHAnsi" w:hAnsiTheme="majorHAnsi"/>
        </w:rPr>
        <w:t xml:space="preserve">Figura </w:t>
      </w:r>
      <w:r w:rsidR="002026B0" w:rsidRPr="00D56429">
        <w:rPr>
          <w:rFonts w:asciiTheme="majorHAnsi" w:hAnsiTheme="majorHAnsi"/>
        </w:rPr>
        <w:fldChar w:fldCharType="begin"/>
      </w:r>
      <w:r w:rsidR="002026B0" w:rsidRPr="00D56429">
        <w:rPr>
          <w:rFonts w:asciiTheme="majorHAnsi" w:hAnsiTheme="majorHAnsi"/>
        </w:rPr>
        <w:instrText xml:space="preserve"> SEQ Figura \* ARABIC </w:instrText>
      </w:r>
      <w:r w:rsidR="002026B0" w:rsidRPr="00D56429">
        <w:rPr>
          <w:rFonts w:asciiTheme="majorHAnsi" w:hAnsiTheme="majorHAnsi"/>
        </w:rPr>
        <w:fldChar w:fldCharType="separate"/>
      </w:r>
      <w:r w:rsidR="0016337C">
        <w:rPr>
          <w:rFonts w:asciiTheme="majorHAnsi" w:hAnsiTheme="majorHAnsi"/>
          <w:noProof/>
        </w:rPr>
        <w:t>21</w:t>
      </w:r>
      <w:r w:rsidR="002026B0" w:rsidRPr="00D56429">
        <w:rPr>
          <w:rFonts w:asciiTheme="majorHAnsi" w:hAnsiTheme="majorHAnsi"/>
        </w:rPr>
        <w:fldChar w:fldCharType="end"/>
      </w:r>
      <w:r w:rsidR="00102E95" w:rsidRPr="00D56429">
        <w:rPr>
          <w:rFonts w:asciiTheme="majorHAnsi" w:hAnsiTheme="majorHAnsi"/>
        </w:rPr>
        <w:t xml:space="preserve">: Recaudación Contribuciones Ley de Hidrocarburos año </w:t>
      </w:r>
      <w:r w:rsidR="00102E95" w:rsidRPr="00D56429">
        <w:rPr>
          <w:rFonts w:asciiTheme="majorHAnsi" w:hAnsiTheme="majorHAnsi"/>
          <w:spacing w:val="-4"/>
        </w:rPr>
        <w:t>2024</w:t>
      </w:r>
      <w:bookmarkEnd w:id="134"/>
      <w:bookmarkEnd w:id="135"/>
    </w:p>
    <w:p w14:paraId="5986B3E6" w14:textId="2B60CA5C" w:rsidR="00102E95" w:rsidRPr="00D56429" w:rsidRDefault="00D56429" w:rsidP="00D56429">
      <w:pPr>
        <w:pStyle w:val="Textoindependiente"/>
        <w:spacing w:before="7"/>
        <w:rPr>
          <w:rFonts w:ascii="Calibri"/>
          <w:i/>
          <w:sz w:val="18"/>
          <w:szCs w:val="18"/>
        </w:rPr>
      </w:pPr>
      <w:r>
        <w:rPr>
          <w:rFonts w:ascii="Calibri"/>
          <w:i/>
          <w:sz w:val="18"/>
        </w:rPr>
        <w:t xml:space="preserve">                                                  </w:t>
      </w:r>
      <w:r w:rsidR="00102E95" w:rsidRPr="00D56429">
        <w:rPr>
          <w:rFonts w:asciiTheme="majorHAnsi" w:eastAsia="Calibri" w:hAnsiTheme="majorHAnsi" w:cstheme="majorHAnsi"/>
          <w:i/>
          <w:color w:val="7F7F7F"/>
          <w:sz w:val="18"/>
          <w:szCs w:val="18"/>
        </w:rPr>
        <w:t>Fuente: MEM-</w:t>
      </w:r>
      <w:r w:rsidR="00102E95" w:rsidRPr="00D56429">
        <w:rPr>
          <w:rFonts w:asciiTheme="majorHAnsi" w:hAnsiTheme="majorHAnsi" w:cstheme="majorHAnsi"/>
          <w:i/>
          <w:sz w:val="18"/>
          <w:szCs w:val="18"/>
        </w:rPr>
        <w:t xml:space="preserve"> </w:t>
      </w:r>
      <w:r w:rsidR="00102E95" w:rsidRPr="00D56429">
        <w:rPr>
          <w:rFonts w:asciiTheme="majorHAnsi" w:eastAsia="Calibri" w:hAnsiTheme="majorHAnsi" w:cstheme="majorHAnsi"/>
          <w:i/>
          <w:color w:val="7F7F7F"/>
          <w:sz w:val="18"/>
          <w:szCs w:val="18"/>
        </w:rPr>
        <w:t>DECEIP.</w:t>
      </w:r>
    </w:p>
    <w:p w14:paraId="1FB051E1" w14:textId="77777777" w:rsidR="00102E95" w:rsidRPr="00A51E6E" w:rsidRDefault="00102E95" w:rsidP="00102E95">
      <w:pPr>
        <w:jc w:val="both"/>
        <w:rPr>
          <w:rFonts w:ascii="Calibri Light" w:hAnsi="Calibri Light" w:cs="Calibri Light"/>
          <w:sz w:val="22"/>
        </w:rPr>
      </w:pPr>
    </w:p>
    <w:p w14:paraId="4A41D79D" w14:textId="672BF704" w:rsidR="00102E95" w:rsidRDefault="00102E95" w:rsidP="00102E95">
      <w:pPr>
        <w:jc w:val="both"/>
        <w:rPr>
          <w:rFonts w:ascii="Calibri Light" w:hAnsi="Calibri Light" w:cs="Calibri Light"/>
          <w:sz w:val="22"/>
        </w:rPr>
      </w:pPr>
      <w:r w:rsidRPr="00A51E6E">
        <w:rPr>
          <w:rFonts w:ascii="Calibri Light" w:hAnsi="Calibri Light" w:cs="Calibri Light"/>
          <w:sz w:val="22"/>
        </w:rPr>
        <w:t>Se cuantificó los valores de ingresos que ha recibido el Estado por concepto de las contribuciones establecidas en la ley de hidrocarburos; así como el cumplimiento de las obligaciones con respecto al Fondo de Desarrollo Sostenible establecido en la Ley Reformatoria a la Ley Orgánica para la Planificación Integral de la Circunscripción Territorial Especial Amazónica.</w:t>
      </w:r>
    </w:p>
    <w:p w14:paraId="0F1B6E00" w14:textId="77777777" w:rsidR="00140159" w:rsidRDefault="00140159" w:rsidP="00140159">
      <w:pPr>
        <w:pStyle w:val="Ttulo4"/>
        <w:rPr>
          <w:rFonts w:asciiTheme="minorHAnsi" w:eastAsiaTheme="minorHAnsi" w:hAnsiTheme="minorHAnsi" w:cstheme="minorBidi"/>
          <w:i w:val="0"/>
          <w:iCs w:val="0"/>
          <w:color w:val="auto"/>
        </w:rPr>
      </w:pPr>
    </w:p>
    <w:p w14:paraId="31FD9BEF" w14:textId="6096AA98" w:rsidR="00102E95" w:rsidRPr="00213F2B" w:rsidRDefault="00102E95" w:rsidP="00213F2B">
      <w:pPr>
        <w:pStyle w:val="Ttulo4"/>
        <w:rPr>
          <w:i w:val="0"/>
          <w:sz w:val="22"/>
          <w:szCs w:val="22"/>
        </w:rPr>
      </w:pPr>
      <w:r w:rsidRPr="00213F2B">
        <w:rPr>
          <w:i w:val="0"/>
          <w:sz w:val="22"/>
          <w:szCs w:val="22"/>
        </w:rPr>
        <w:t>Seguimiento a los montos asignados a los gobiernos autónomos descentralizados amazónicos a través del Fondo Común</w:t>
      </w:r>
    </w:p>
    <w:p w14:paraId="20496CAC" w14:textId="77777777" w:rsidR="00102E95" w:rsidRPr="00A51E6E" w:rsidRDefault="00102E95" w:rsidP="00102E95">
      <w:pPr>
        <w:jc w:val="both"/>
        <w:rPr>
          <w:rFonts w:ascii="Calibri Light" w:hAnsi="Calibri Light" w:cs="Calibri Light"/>
          <w:sz w:val="22"/>
        </w:rPr>
      </w:pPr>
      <w:bookmarkStart w:id="136" w:name="_bookmark7"/>
      <w:bookmarkEnd w:id="136"/>
    </w:p>
    <w:p w14:paraId="3BDAD462" w14:textId="77777777" w:rsidR="00102E95" w:rsidRPr="00A51E6E" w:rsidRDefault="00102E95" w:rsidP="00102E95">
      <w:pPr>
        <w:jc w:val="both"/>
        <w:rPr>
          <w:rFonts w:ascii="Calibri Light" w:hAnsi="Calibri Light" w:cs="Calibri Light"/>
          <w:sz w:val="22"/>
        </w:rPr>
      </w:pPr>
      <w:r w:rsidRPr="00A51E6E">
        <w:rPr>
          <w:rFonts w:ascii="Calibri Light" w:hAnsi="Calibri Light" w:cs="Calibri Light"/>
          <w:sz w:val="22"/>
        </w:rPr>
        <w:t>La Subsecretaría de Administración de Contratos y Áreas Asignadas fue miembro del Comité de Transición de la Compañía OCP – ECUADOR S.A., conformado por 4 comisiones de transición. Esta Subsecretaría, a través de sus funcionarios/analistas tanto del área de la DECIP como de la DPPSTCHAA, en cumplimiento de la delegación emitida, conformó dos Subcomisiones:</w:t>
      </w:r>
    </w:p>
    <w:p w14:paraId="55127B88" w14:textId="77777777" w:rsidR="00102E95" w:rsidRPr="00A51E6E" w:rsidRDefault="00102E95" w:rsidP="00102E95">
      <w:pPr>
        <w:pStyle w:val="Textoindependiente"/>
        <w:spacing w:before="2"/>
        <w:rPr>
          <w:rFonts w:eastAsia="Calibri"/>
          <w:sz w:val="22"/>
          <w:szCs w:val="22"/>
        </w:rPr>
      </w:pPr>
    </w:p>
    <w:p w14:paraId="4119F8A2" w14:textId="77777777" w:rsidR="00102E95" w:rsidRPr="00A51E6E" w:rsidRDefault="00102E95" w:rsidP="00102E95">
      <w:pPr>
        <w:pStyle w:val="Prrafodelista"/>
        <w:widowControl w:val="0"/>
        <w:numPr>
          <w:ilvl w:val="0"/>
          <w:numId w:val="72"/>
        </w:numPr>
        <w:tabs>
          <w:tab w:val="left" w:pos="849"/>
          <w:tab w:val="left" w:pos="862"/>
        </w:tabs>
        <w:autoSpaceDE w:val="0"/>
        <w:autoSpaceDN w:val="0"/>
        <w:ind w:right="136"/>
        <w:jc w:val="both"/>
        <w:rPr>
          <w:rFonts w:ascii="Calibri Light" w:hAnsi="Calibri Light" w:cs="Calibri Light"/>
          <w:sz w:val="22"/>
          <w:szCs w:val="22"/>
        </w:rPr>
      </w:pPr>
      <w:r w:rsidRPr="00A51E6E">
        <w:rPr>
          <w:rFonts w:ascii="Calibri Light" w:hAnsi="Calibri Light" w:cs="Calibri Light"/>
          <w:sz w:val="22"/>
          <w:szCs w:val="22"/>
        </w:rPr>
        <w:t>Subcomisión De Bienes en el Proceso de Transición de la Compañía OCP – ECUADOR S.A..- Durante el año 2024, La Subcomisión de Bienes ( con delegados del Ministerio de Energía y Minas - MEM, de la Agencia de Regulación y Control de Hidrocarburos – ARCH, (anterior ARCERNNR); y, de la Compañía Oleoducto de Crudos Pesados (OCP) Ecuador S.A.), emitió tres Informes (20 de enero, 5 de julio y 15 de noviembre), de las verificaciones en Campo de los activos de OCP, de una “Muestra representativa”, seleccionados conforme a la Metodología de la Subcomisión de Operaciones, para conocimiento del Comité de Transición, dentro del proceso de transferencia de la compañía Oleoducto de Crudos Pesados (OCP) Ecuador S.A, al Estado Ecuatoriano.</w:t>
      </w:r>
    </w:p>
    <w:p w14:paraId="1C642BBB" w14:textId="77777777" w:rsidR="00102E95" w:rsidRPr="00A51E6E" w:rsidRDefault="00102E95" w:rsidP="00102E95">
      <w:pPr>
        <w:pStyle w:val="Textoindependiente"/>
        <w:rPr>
          <w:rFonts w:eastAsia="Calibri"/>
          <w:sz w:val="22"/>
          <w:szCs w:val="22"/>
        </w:rPr>
      </w:pPr>
    </w:p>
    <w:p w14:paraId="01D0CAB1" w14:textId="038741E5" w:rsidR="00140159" w:rsidRPr="00512E79" w:rsidRDefault="00102E95" w:rsidP="00512E79">
      <w:pPr>
        <w:pStyle w:val="Prrafodelista"/>
        <w:widowControl w:val="0"/>
        <w:numPr>
          <w:ilvl w:val="0"/>
          <w:numId w:val="72"/>
        </w:numPr>
        <w:tabs>
          <w:tab w:val="left" w:pos="849"/>
          <w:tab w:val="left" w:pos="862"/>
        </w:tabs>
        <w:autoSpaceDE w:val="0"/>
        <w:autoSpaceDN w:val="0"/>
        <w:spacing w:before="1"/>
        <w:ind w:right="133"/>
        <w:jc w:val="both"/>
        <w:rPr>
          <w:rFonts w:ascii="Calibri Light" w:hAnsi="Calibri Light" w:cs="Calibri Light"/>
          <w:sz w:val="22"/>
          <w:szCs w:val="22"/>
        </w:rPr>
      </w:pPr>
      <w:r w:rsidRPr="00A51E6E">
        <w:rPr>
          <w:rFonts w:ascii="Calibri Light" w:hAnsi="Calibri Light" w:cs="Calibri Light"/>
          <w:sz w:val="22"/>
          <w:szCs w:val="22"/>
        </w:rPr>
        <w:t xml:space="preserve">Subcomisión Económica-Financiera en Proceso de Transición de la Compañía OCP – ECUADOR S.A.- Durante el año 2024, La Subcomisión Financiera (con delegados del Ministerio de Energía y Minas - MEM, de la Agencia de Regulación y Control de Hidrocarburos – ARCH, (anterior ARCERNNR); y, de la Compañía Oleoducto de Crudos </w:t>
      </w:r>
      <w:r w:rsidRPr="00A51E6E">
        <w:rPr>
          <w:rFonts w:ascii="Calibri Light" w:hAnsi="Calibri Light" w:cs="Calibri Light"/>
          <w:sz w:val="22"/>
          <w:szCs w:val="22"/>
        </w:rPr>
        <w:lastRenderedPageBreak/>
        <w:t>Pesados (OCP) Ecuador S.A.), emitió tres Informes, que consistían en la revisión del estado de las pólizas y de los seguros.</w:t>
      </w:r>
    </w:p>
    <w:p w14:paraId="396A096B" w14:textId="2E424D14" w:rsidR="006E30AC" w:rsidRDefault="0016337C" w:rsidP="00EE578D">
      <w:pPr>
        <w:spacing w:before="240" w:after="240"/>
        <w:jc w:val="both"/>
        <w:rPr>
          <w:rFonts w:ascii="Calibri Light" w:hAnsi="Calibri Light" w:cs="Calibri Light"/>
          <w:sz w:val="22"/>
          <w:szCs w:val="22"/>
        </w:rPr>
      </w:pPr>
      <w:r>
        <w:rPr>
          <w:rFonts w:ascii="Calibri Light" w:hAnsi="Calibri Light" w:cs="Calibri Light"/>
          <w:sz w:val="22"/>
          <w:szCs w:val="22"/>
        </w:rPr>
        <w:t xml:space="preserve">El </w:t>
      </w:r>
      <w:r w:rsidR="00102E95" w:rsidRPr="00A51E6E">
        <w:rPr>
          <w:rFonts w:ascii="Calibri Light" w:hAnsi="Calibri Light" w:cs="Calibri Light"/>
          <w:sz w:val="22"/>
          <w:szCs w:val="22"/>
        </w:rPr>
        <w:t>proceso de transferencia concluyó el 30 de noviembre de 2024, con el traspaso de la titularidad de las acciones de la Compañía OCP al Estado Ecuatoriano.</w:t>
      </w:r>
    </w:p>
    <w:p w14:paraId="25A51598" w14:textId="74B6C300" w:rsidR="00102E95" w:rsidRPr="00E23641" w:rsidRDefault="00140159" w:rsidP="00E23641">
      <w:pPr>
        <w:pStyle w:val="Ttulo2"/>
        <w:rPr>
          <w:sz w:val="24"/>
          <w:szCs w:val="24"/>
        </w:rPr>
      </w:pPr>
      <w:bookmarkStart w:id="137" w:name="_Toc197335094"/>
      <w:bookmarkStart w:id="138" w:name="_Toc199759558"/>
      <w:r w:rsidRPr="00E23641">
        <w:rPr>
          <w:sz w:val="24"/>
          <w:szCs w:val="24"/>
        </w:rPr>
        <w:t xml:space="preserve">Gestión de la Agencia de Regulación y Control De Hidrocarburos – </w:t>
      </w:r>
      <w:bookmarkEnd w:id="137"/>
      <w:r w:rsidRPr="00E23641">
        <w:rPr>
          <w:sz w:val="24"/>
          <w:szCs w:val="24"/>
        </w:rPr>
        <w:t>ARCH</w:t>
      </w:r>
      <w:bookmarkEnd w:id="138"/>
    </w:p>
    <w:p w14:paraId="493A3CF6" w14:textId="77777777" w:rsidR="00102E95" w:rsidRDefault="00102E95" w:rsidP="00102E95"/>
    <w:p w14:paraId="5A4193EA" w14:textId="77777777" w:rsidR="00102E95" w:rsidRPr="00213F2B" w:rsidRDefault="00102E95" w:rsidP="00213F2B">
      <w:pPr>
        <w:pStyle w:val="Ttulo4"/>
        <w:rPr>
          <w:i w:val="0"/>
        </w:rPr>
      </w:pPr>
      <w:bookmarkStart w:id="139" w:name="_Toc157161402"/>
      <w:r w:rsidRPr="00213F2B">
        <w:rPr>
          <w:i w:val="0"/>
        </w:rPr>
        <w:t xml:space="preserve">Gestión </w:t>
      </w:r>
      <w:bookmarkEnd w:id="139"/>
      <w:r w:rsidRPr="00213F2B">
        <w:rPr>
          <w:i w:val="0"/>
        </w:rPr>
        <w:t>Técnica de Control de Transporte, Almacenamiento y Movimiento</w:t>
      </w:r>
    </w:p>
    <w:p w14:paraId="20D45D17" w14:textId="77777777" w:rsidR="00102E95" w:rsidRPr="004A2F4E" w:rsidRDefault="00102E95" w:rsidP="00102E95"/>
    <w:p w14:paraId="481F10DA" w14:textId="60C96386" w:rsidR="00102E95" w:rsidRPr="00140159" w:rsidRDefault="00102E95" w:rsidP="00140159">
      <w:pPr>
        <w:widowControl w:val="0"/>
        <w:tabs>
          <w:tab w:val="left" w:pos="849"/>
          <w:tab w:val="left" w:pos="862"/>
        </w:tabs>
        <w:autoSpaceDE w:val="0"/>
        <w:autoSpaceDN w:val="0"/>
        <w:spacing w:before="1"/>
        <w:ind w:right="133"/>
        <w:jc w:val="both"/>
        <w:rPr>
          <w:rFonts w:ascii="Calibri Light" w:hAnsi="Calibri Light" w:cs="Calibri Light"/>
          <w:sz w:val="22"/>
          <w:szCs w:val="22"/>
        </w:rPr>
      </w:pPr>
      <w:r w:rsidRPr="00140159">
        <w:rPr>
          <w:rFonts w:ascii="Calibri Light" w:hAnsi="Calibri Light" w:cs="Calibri Light"/>
          <w:sz w:val="22"/>
          <w:szCs w:val="22"/>
        </w:rPr>
        <w:t xml:space="preserve">Entrega de 1.318 certificados de control anual 2024 para los sujetos de control correspondiente a la gestión de transporte terrestre como autotanques, cisternas de GLP y vehículos de GLP cilindros. </w:t>
      </w:r>
    </w:p>
    <w:p w14:paraId="6AD65B40" w14:textId="6F27D2C4" w:rsidR="00102E95" w:rsidRPr="00D36769" w:rsidRDefault="00102E95" w:rsidP="00140159">
      <w:pPr>
        <w:pStyle w:val="Tablas"/>
        <w:spacing w:after="0"/>
        <w:rPr>
          <w:rFonts w:asciiTheme="majorHAnsi" w:hAnsiTheme="majorHAnsi" w:cstheme="majorHAnsi"/>
          <w:sz w:val="22"/>
          <w:szCs w:val="22"/>
        </w:rPr>
      </w:pPr>
      <w:bookmarkStart w:id="140" w:name="_Toc197334669"/>
      <w:bookmarkStart w:id="141" w:name="_Toc199759681"/>
      <w:r w:rsidRPr="00D36769">
        <w:rPr>
          <w:rFonts w:asciiTheme="majorHAnsi" w:hAnsiTheme="majorHAnsi" w:cstheme="majorHAnsi"/>
        </w:rPr>
        <w:t xml:space="preserve">Tabla </w:t>
      </w:r>
      <w:r w:rsidR="003A269C" w:rsidRPr="00D36769">
        <w:rPr>
          <w:rFonts w:asciiTheme="majorHAnsi" w:hAnsiTheme="majorHAnsi" w:cstheme="majorHAnsi"/>
        </w:rPr>
        <w:fldChar w:fldCharType="begin"/>
      </w:r>
      <w:r w:rsidR="003A269C" w:rsidRPr="00D36769">
        <w:rPr>
          <w:rFonts w:asciiTheme="majorHAnsi" w:hAnsiTheme="majorHAnsi" w:cstheme="majorHAnsi"/>
        </w:rPr>
        <w:instrText xml:space="preserve"> SEQ Tabla \* ARABIC </w:instrText>
      </w:r>
      <w:r w:rsidR="003A269C" w:rsidRPr="00D36769">
        <w:rPr>
          <w:rFonts w:asciiTheme="majorHAnsi" w:hAnsiTheme="majorHAnsi" w:cstheme="majorHAnsi"/>
        </w:rPr>
        <w:fldChar w:fldCharType="separate"/>
      </w:r>
      <w:r w:rsidR="00CF0AD2">
        <w:rPr>
          <w:rFonts w:asciiTheme="majorHAnsi" w:hAnsiTheme="majorHAnsi" w:cstheme="majorHAnsi"/>
          <w:noProof/>
        </w:rPr>
        <w:t>11</w:t>
      </w:r>
      <w:r w:rsidR="003A269C" w:rsidRPr="00D36769">
        <w:rPr>
          <w:rFonts w:asciiTheme="majorHAnsi" w:hAnsiTheme="majorHAnsi" w:cstheme="majorHAnsi"/>
          <w:noProof/>
        </w:rPr>
        <w:fldChar w:fldCharType="end"/>
      </w:r>
      <w:r w:rsidRPr="00D36769">
        <w:rPr>
          <w:rFonts w:asciiTheme="majorHAnsi" w:hAnsiTheme="majorHAnsi" w:cstheme="majorHAnsi"/>
        </w:rPr>
        <w:t>: Número de Sujetos de Control de Transporte Terrestre Emitidos el Control Anual</w:t>
      </w:r>
      <w:bookmarkEnd w:id="140"/>
      <w:bookmarkEnd w:id="141"/>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551"/>
        <w:gridCol w:w="3835"/>
        <w:gridCol w:w="581"/>
        <w:gridCol w:w="843"/>
        <w:gridCol w:w="1389"/>
      </w:tblGrid>
      <w:tr w:rsidR="00102E95" w:rsidRPr="00A51E6E" w14:paraId="07E3AA30" w14:textId="77777777" w:rsidTr="00E86A22">
        <w:trPr>
          <w:trHeight w:val="117"/>
          <w:jc w:val="center"/>
        </w:trPr>
        <w:tc>
          <w:tcPr>
            <w:tcW w:w="0" w:type="auto"/>
            <w:tcBorders>
              <w:top w:val="single" w:sz="4" w:space="0" w:color="4472C4"/>
              <w:left w:val="single" w:sz="4" w:space="0" w:color="4472C4"/>
              <w:bottom w:val="single" w:sz="4" w:space="0" w:color="4472C4"/>
              <w:right w:val="nil"/>
            </w:tcBorders>
            <w:shd w:val="clear" w:color="auto" w:fill="4472C4"/>
            <w:noWrap/>
            <w:hideMark/>
          </w:tcPr>
          <w:p w14:paraId="3C77A135" w14:textId="77777777" w:rsidR="00102E95" w:rsidRPr="00A51E6E" w:rsidRDefault="00102E95" w:rsidP="00E86A22">
            <w:pPr>
              <w:spacing w:line="276" w:lineRule="auto"/>
              <w:jc w:val="center"/>
              <w:rPr>
                <w:rFonts w:ascii="Calibri Light" w:hAnsi="Calibri Light" w:cs="Calibri Light"/>
                <w:b/>
                <w:bCs/>
                <w:color w:val="FFFFFF"/>
                <w:sz w:val="18"/>
                <w:szCs w:val="18"/>
                <w:lang w:eastAsia="es-EC"/>
              </w:rPr>
            </w:pPr>
            <w:r w:rsidRPr="00A51E6E">
              <w:rPr>
                <w:rFonts w:ascii="Calibri Light" w:hAnsi="Calibri Light" w:cs="Calibri Light"/>
                <w:b/>
                <w:bCs/>
                <w:color w:val="FFFFFF"/>
                <w:sz w:val="18"/>
                <w:szCs w:val="18"/>
                <w:lang w:eastAsia="es-EC"/>
              </w:rPr>
              <w:t>Ítem</w:t>
            </w:r>
          </w:p>
        </w:tc>
        <w:tc>
          <w:tcPr>
            <w:tcW w:w="0" w:type="auto"/>
            <w:tcBorders>
              <w:top w:val="single" w:sz="4" w:space="0" w:color="4472C4"/>
              <w:left w:val="nil"/>
              <w:bottom w:val="single" w:sz="4" w:space="0" w:color="4472C4"/>
              <w:right w:val="nil"/>
            </w:tcBorders>
            <w:shd w:val="clear" w:color="auto" w:fill="4472C4"/>
            <w:noWrap/>
            <w:hideMark/>
          </w:tcPr>
          <w:p w14:paraId="54704AF0" w14:textId="77777777" w:rsidR="00102E95" w:rsidRPr="00A51E6E" w:rsidRDefault="00102E95" w:rsidP="00E86A22">
            <w:pPr>
              <w:spacing w:line="276" w:lineRule="auto"/>
              <w:jc w:val="center"/>
              <w:rPr>
                <w:rFonts w:ascii="Calibri Light" w:hAnsi="Calibri Light" w:cs="Calibri Light"/>
                <w:b/>
                <w:bCs/>
                <w:color w:val="FFFFFF"/>
                <w:sz w:val="18"/>
                <w:szCs w:val="18"/>
                <w:lang w:eastAsia="es-EC"/>
              </w:rPr>
            </w:pPr>
            <w:r w:rsidRPr="00A51E6E">
              <w:rPr>
                <w:rFonts w:ascii="Calibri Light" w:hAnsi="Calibri Light" w:cs="Calibri Light"/>
                <w:b/>
                <w:bCs/>
                <w:color w:val="FFFFFF"/>
                <w:sz w:val="18"/>
                <w:szCs w:val="18"/>
                <w:lang w:eastAsia="es-EC"/>
              </w:rPr>
              <w:t>Infraestructura</w:t>
            </w:r>
          </w:p>
        </w:tc>
        <w:tc>
          <w:tcPr>
            <w:tcW w:w="0" w:type="auto"/>
            <w:tcBorders>
              <w:top w:val="single" w:sz="4" w:space="0" w:color="4472C4"/>
              <w:left w:val="nil"/>
              <w:bottom w:val="single" w:sz="4" w:space="0" w:color="4472C4"/>
              <w:right w:val="nil"/>
            </w:tcBorders>
            <w:shd w:val="clear" w:color="auto" w:fill="4472C4"/>
          </w:tcPr>
          <w:p w14:paraId="72F7CD79" w14:textId="77777777" w:rsidR="00102E95" w:rsidRPr="00A51E6E" w:rsidRDefault="00102E95" w:rsidP="00E86A22">
            <w:pPr>
              <w:spacing w:line="276" w:lineRule="auto"/>
              <w:jc w:val="center"/>
              <w:rPr>
                <w:rFonts w:ascii="Calibri Light" w:hAnsi="Calibri Light" w:cs="Calibri Light"/>
                <w:b/>
                <w:bCs/>
                <w:color w:val="FFFFFF"/>
                <w:sz w:val="18"/>
                <w:szCs w:val="18"/>
                <w:lang w:eastAsia="es-EC"/>
              </w:rPr>
            </w:pPr>
            <w:r w:rsidRPr="00A51E6E">
              <w:rPr>
                <w:rFonts w:ascii="Calibri Light" w:hAnsi="Calibri Light" w:cs="Calibri Light"/>
                <w:b/>
                <w:bCs/>
                <w:color w:val="FFFFFF"/>
                <w:sz w:val="18"/>
                <w:szCs w:val="18"/>
                <w:lang w:eastAsia="es-EC"/>
              </w:rPr>
              <w:t>Total</w:t>
            </w:r>
          </w:p>
        </w:tc>
        <w:tc>
          <w:tcPr>
            <w:tcW w:w="0" w:type="auto"/>
            <w:tcBorders>
              <w:top w:val="single" w:sz="4" w:space="0" w:color="4472C4"/>
              <w:left w:val="nil"/>
              <w:bottom w:val="single" w:sz="4" w:space="0" w:color="4472C4"/>
              <w:right w:val="nil"/>
            </w:tcBorders>
            <w:shd w:val="clear" w:color="auto" w:fill="4472C4"/>
          </w:tcPr>
          <w:p w14:paraId="27929791" w14:textId="77777777" w:rsidR="00102E95" w:rsidRPr="00A51E6E" w:rsidRDefault="00102E95" w:rsidP="00E86A22">
            <w:pPr>
              <w:spacing w:line="276" w:lineRule="auto"/>
              <w:jc w:val="center"/>
              <w:rPr>
                <w:rFonts w:ascii="Calibri Light" w:hAnsi="Calibri Light" w:cs="Calibri Light"/>
                <w:b/>
                <w:bCs/>
                <w:color w:val="FFFFFF"/>
                <w:sz w:val="18"/>
                <w:szCs w:val="18"/>
                <w:lang w:eastAsia="es-EC"/>
              </w:rPr>
            </w:pPr>
            <w:r w:rsidRPr="00A51E6E">
              <w:rPr>
                <w:rFonts w:ascii="Calibri Light" w:hAnsi="Calibri Light" w:cs="Calibri Light"/>
                <w:b/>
                <w:bCs/>
                <w:color w:val="FFFFFF"/>
                <w:sz w:val="18"/>
                <w:szCs w:val="18"/>
                <w:lang w:eastAsia="es-EC"/>
              </w:rPr>
              <w:t>Emitidos</w:t>
            </w:r>
          </w:p>
        </w:tc>
        <w:tc>
          <w:tcPr>
            <w:tcW w:w="0" w:type="auto"/>
            <w:tcBorders>
              <w:top w:val="single" w:sz="4" w:space="0" w:color="4472C4"/>
              <w:left w:val="nil"/>
              <w:bottom w:val="single" w:sz="4" w:space="0" w:color="4472C4"/>
              <w:right w:val="single" w:sz="4" w:space="0" w:color="4472C4"/>
            </w:tcBorders>
            <w:shd w:val="clear" w:color="auto" w:fill="4472C4"/>
            <w:noWrap/>
            <w:hideMark/>
          </w:tcPr>
          <w:p w14:paraId="3DCD4BD9" w14:textId="77777777" w:rsidR="00102E95" w:rsidRPr="00A51E6E" w:rsidRDefault="00102E95" w:rsidP="00E86A22">
            <w:pPr>
              <w:spacing w:line="276" w:lineRule="auto"/>
              <w:jc w:val="center"/>
              <w:rPr>
                <w:rFonts w:ascii="Calibri Light" w:hAnsi="Calibri Light" w:cs="Calibri Light"/>
                <w:b/>
                <w:bCs/>
                <w:color w:val="FFFFFF"/>
                <w:sz w:val="18"/>
                <w:szCs w:val="18"/>
                <w:lang w:eastAsia="es-EC"/>
              </w:rPr>
            </w:pPr>
            <w:r w:rsidRPr="00A51E6E">
              <w:rPr>
                <w:rFonts w:ascii="Calibri Light" w:hAnsi="Calibri Light" w:cs="Calibri Light"/>
                <w:b/>
                <w:bCs/>
                <w:color w:val="FFFFFF"/>
                <w:sz w:val="18"/>
                <w:szCs w:val="18"/>
                <w:lang w:eastAsia="es-EC"/>
              </w:rPr>
              <w:t>% cumplimiento</w:t>
            </w:r>
          </w:p>
        </w:tc>
      </w:tr>
      <w:tr w:rsidR="00102E95" w:rsidRPr="00A51E6E" w14:paraId="2983E002" w14:textId="77777777" w:rsidTr="00E86A22">
        <w:trPr>
          <w:trHeight w:val="117"/>
          <w:jc w:val="center"/>
        </w:trPr>
        <w:tc>
          <w:tcPr>
            <w:tcW w:w="0" w:type="auto"/>
            <w:shd w:val="clear" w:color="auto" w:fill="D9E2F3"/>
            <w:noWrap/>
            <w:hideMark/>
          </w:tcPr>
          <w:p w14:paraId="4404AB8F" w14:textId="77777777" w:rsidR="00102E95" w:rsidRPr="00A51E6E" w:rsidRDefault="00102E95" w:rsidP="00E86A22">
            <w:pPr>
              <w:spacing w:line="276" w:lineRule="auto"/>
              <w:jc w:val="center"/>
              <w:rPr>
                <w:rFonts w:ascii="Calibri Light" w:hAnsi="Calibri Light" w:cs="Calibri Light"/>
                <w:b/>
                <w:bCs/>
                <w:color w:val="000000"/>
                <w:sz w:val="18"/>
                <w:szCs w:val="18"/>
                <w:lang w:eastAsia="es-EC"/>
              </w:rPr>
            </w:pPr>
            <w:r w:rsidRPr="00A51E6E">
              <w:rPr>
                <w:rFonts w:ascii="Calibri Light" w:hAnsi="Calibri Light" w:cs="Calibri Light"/>
                <w:b/>
                <w:bCs/>
                <w:color w:val="000000"/>
                <w:sz w:val="18"/>
                <w:szCs w:val="18"/>
                <w:lang w:eastAsia="es-EC"/>
              </w:rPr>
              <w:t>1</w:t>
            </w:r>
          </w:p>
        </w:tc>
        <w:tc>
          <w:tcPr>
            <w:tcW w:w="0" w:type="auto"/>
            <w:shd w:val="clear" w:color="auto" w:fill="D9E2F3"/>
            <w:noWrap/>
            <w:hideMark/>
          </w:tcPr>
          <w:p w14:paraId="023668AA" w14:textId="77777777" w:rsidR="00102E95" w:rsidRPr="00A51E6E" w:rsidRDefault="00102E95" w:rsidP="00E86A22">
            <w:pPr>
              <w:spacing w:line="276" w:lineRule="auto"/>
              <w:jc w:val="center"/>
              <w:rPr>
                <w:rFonts w:ascii="Calibri Light" w:hAnsi="Calibri Light" w:cs="Calibri Light"/>
                <w:color w:val="000000"/>
                <w:sz w:val="18"/>
                <w:szCs w:val="18"/>
                <w:lang w:eastAsia="es-EC"/>
              </w:rPr>
            </w:pPr>
            <w:r w:rsidRPr="00A51E6E">
              <w:rPr>
                <w:rFonts w:ascii="Calibri Light" w:hAnsi="Calibri Light" w:cs="Calibri Light"/>
                <w:color w:val="000000"/>
                <w:sz w:val="18"/>
                <w:szCs w:val="18"/>
                <w:lang w:eastAsia="es-EC"/>
              </w:rPr>
              <w:t>Autotanques Derivado de Petróleo (excluido GLP).</w:t>
            </w:r>
          </w:p>
        </w:tc>
        <w:tc>
          <w:tcPr>
            <w:tcW w:w="0" w:type="auto"/>
            <w:shd w:val="clear" w:color="auto" w:fill="D9E2F3"/>
          </w:tcPr>
          <w:p w14:paraId="7C5A01D1" w14:textId="77777777" w:rsidR="00102E95" w:rsidRPr="00A51E6E" w:rsidRDefault="00102E95" w:rsidP="00E86A22">
            <w:pPr>
              <w:spacing w:line="276" w:lineRule="auto"/>
              <w:jc w:val="center"/>
              <w:rPr>
                <w:rFonts w:ascii="Calibri Light" w:hAnsi="Calibri Light" w:cs="Calibri Light"/>
                <w:color w:val="000000"/>
                <w:sz w:val="18"/>
                <w:szCs w:val="18"/>
                <w:lang w:eastAsia="es-EC"/>
              </w:rPr>
            </w:pPr>
            <w:r w:rsidRPr="00A51E6E">
              <w:rPr>
                <w:rFonts w:ascii="Calibri Light" w:hAnsi="Calibri Light" w:cs="Calibri Light"/>
                <w:color w:val="000000"/>
                <w:sz w:val="18"/>
                <w:szCs w:val="18"/>
                <w:lang w:eastAsia="es-EC"/>
              </w:rPr>
              <w:t>438</w:t>
            </w:r>
          </w:p>
        </w:tc>
        <w:tc>
          <w:tcPr>
            <w:tcW w:w="0" w:type="auto"/>
            <w:shd w:val="clear" w:color="auto" w:fill="D9E2F3"/>
          </w:tcPr>
          <w:p w14:paraId="2404BABF" w14:textId="77777777" w:rsidR="00102E95" w:rsidRPr="00A51E6E" w:rsidRDefault="00102E95" w:rsidP="00E86A22">
            <w:pPr>
              <w:spacing w:line="276" w:lineRule="auto"/>
              <w:jc w:val="center"/>
              <w:rPr>
                <w:rFonts w:ascii="Calibri Light" w:hAnsi="Calibri Light" w:cs="Calibri Light"/>
                <w:color w:val="000000"/>
                <w:sz w:val="18"/>
                <w:szCs w:val="18"/>
                <w:lang w:eastAsia="es-EC"/>
              </w:rPr>
            </w:pPr>
            <w:r w:rsidRPr="00A51E6E">
              <w:rPr>
                <w:rFonts w:ascii="Calibri Light" w:hAnsi="Calibri Light" w:cs="Calibri Light"/>
                <w:color w:val="000000"/>
                <w:sz w:val="18"/>
                <w:szCs w:val="18"/>
                <w:lang w:eastAsia="es-EC"/>
              </w:rPr>
              <w:t>438</w:t>
            </w:r>
          </w:p>
        </w:tc>
        <w:tc>
          <w:tcPr>
            <w:tcW w:w="0" w:type="auto"/>
            <w:shd w:val="clear" w:color="auto" w:fill="D9E2F3"/>
            <w:noWrap/>
            <w:hideMark/>
          </w:tcPr>
          <w:p w14:paraId="647CF9B1" w14:textId="77777777" w:rsidR="00102E95" w:rsidRPr="00A51E6E" w:rsidRDefault="00102E95" w:rsidP="00E86A22">
            <w:pPr>
              <w:spacing w:line="276" w:lineRule="auto"/>
              <w:jc w:val="center"/>
              <w:rPr>
                <w:rFonts w:ascii="Calibri Light" w:hAnsi="Calibri Light" w:cs="Calibri Light"/>
                <w:color w:val="000000"/>
                <w:sz w:val="18"/>
                <w:szCs w:val="18"/>
                <w:lang w:eastAsia="es-EC"/>
              </w:rPr>
            </w:pPr>
            <w:r w:rsidRPr="00A51E6E">
              <w:rPr>
                <w:rFonts w:ascii="Calibri Light" w:hAnsi="Calibri Light" w:cs="Calibri Light"/>
                <w:color w:val="000000"/>
                <w:sz w:val="18"/>
                <w:szCs w:val="18"/>
                <w:lang w:eastAsia="es-EC"/>
              </w:rPr>
              <w:t>100%</w:t>
            </w:r>
          </w:p>
        </w:tc>
      </w:tr>
      <w:tr w:rsidR="00102E95" w:rsidRPr="00A51E6E" w14:paraId="679B590C" w14:textId="77777777" w:rsidTr="00E86A22">
        <w:trPr>
          <w:trHeight w:val="117"/>
          <w:jc w:val="center"/>
        </w:trPr>
        <w:tc>
          <w:tcPr>
            <w:tcW w:w="0" w:type="auto"/>
            <w:shd w:val="clear" w:color="auto" w:fill="auto"/>
            <w:noWrap/>
            <w:hideMark/>
          </w:tcPr>
          <w:p w14:paraId="433564FF" w14:textId="77777777" w:rsidR="00102E95" w:rsidRPr="00A51E6E" w:rsidRDefault="00102E95" w:rsidP="00E86A22">
            <w:pPr>
              <w:spacing w:line="276" w:lineRule="auto"/>
              <w:jc w:val="center"/>
              <w:rPr>
                <w:rFonts w:ascii="Calibri Light" w:hAnsi="Calibri Light" w:cs="Calibri Light"/>
                <w:b/>
                <w:bCs/>
                <w:color w:val="000000"/>
                <w:sz w:val="18"/>
                <w:szCs w:val="18"/>
                <w:lang w:eastAsia="es-EC"/>
              </w:rPr>
            </w:pPr>
            <w:r w:rsidRPr="00A51E6E">
              <w:rPr>
                <w:rFonts w:ascii="Calibri Light" w:hAnsi="Calibri Light" w:cs="Calibri Light"/>
                <w:b/>
                <w:bCs/>
                <w:color w:val="000000"/>
                <w:sz w:val="18"/>
                <w:szCs w:val="18"/>
                <w:lang w:eastAsia="es-EC"/>
              </w:rPr>
              <w:t>2</w:t>
            </w:r>
          </w:p>
        </w:tc>
        <w:tc>
          <w:tcPr>
            <w:tcW w:w="0" w:type="auto"/>
            <w:shd w:val="clear" w:color="auto" w:fill="auto"/>
            <w:noWrap/>
            <w:hideMark/>
          </w:tcPr>
          <w:p w14:paraId="72707448" w14:textId="77777777" w:rsidR="00102E95" w:rsidRPr="00A51E6E" w:rsidRDefault="00102E95" w:rsidP="00E86A22">
            <w:pPr>
              <w:spacing w:line="276" w:lineRule="auto"/>
              <w:jc w:val="center"/>
              <w:rPr>
                <w:rFonts w:ascii="Calibri Light" w:hAnsi="Calibri Light" w:cs="Calibri Light"/>
                <w:color w:val="000000"/>
                <w:sz w:val="18"/>
                <w:szCs w:val="18"/>
                <w:lang w:eastAsia="es-EC"/>
              </w:rPr>
            </w:pPr>
            <w:r w:rsidRPr="00A51E6E">
              <w:rPr>
                <w:rFonts w:ascii="Calibri Light" w:hAnsi="Calibri Light" w:cs="Calibri Light"/>
                <w:color w:val="000000"/>
                <w:sz w:val="18"/>
                <w:szCs w:val="18"/>
                <w:lang w:eastAsia="es-EC"/>
              </w:rPr>
              <w:t>Cisternas Gas Licuado de Petróleo (GLP).</w:t>
            </w:r>
          </w:p>
        </w:tc>
        <w:tc>
          <w:tcPr>
            <w:tcW w:w="0" w:type="auto"/>
            <w:shd w:val="clear" w:color="auto" w:fill="auto"/>
          </w:tcPr>
          <w:p w14:paraId="5F29F2B4" w14:textId="77777777" w:rsidR="00102E95" w:rsidRPr="00A51E6E" w:rsidRDefault="00102E95" w:rsidP="00E86A22">
            <w:pPr>
              <w:spacing w:line="276" w:lineRule="auto"/>
              <w:jc w:val="center"/>
              <w:rPr>
                <w:rFonts w:ascii="Calibri Light" w:hAnsi="Calibri Light" w:cs="Calibri Light"/>
                <w:color w:val="000000"/>
                <w:sz w:val="18"/>
                <w:szCs w:val="18"/>
                <w:lang w:eastAsia="es-EC"/>
              </w:rPr>
            </w:pPr>
            <w:r w:rsidRPr="00A51E6E">
              <w:rPr>
                <w:rFonts w:ascii="Calibri Light" w:hAnsi="Calibri Light" w:cs="Calibri Light"/>
                <w:color w:val="000000"/>
                <w:sz w:val="18"/>
                <w:szCs w:val="18"/>
                <w:lang w:eastAsia="es-EC"/>
              </w:rPr>
              <w:t>42</w:t>
            </w:r>
          </w:p>
        </w:tc>
        <w:tc>
          <w:tcPr>
            <w:tcW w:w="0" w:type="auto"/>
            <w:shd w:val="clear" w:color="auto" w:fill="auto"/>
          </w:tcPr>
          <w:p w14:paraId="6750C9AA" w14:textId="77777777" w:rsidR="00102E95" w:rsidRPr="00A51E6E" w:rsidRDefault="00102E95" w:rsidP="00E86A22">
            <w:pPr>
              <w:spacing w:line="276" w:lineRule="auto"/>
              <w:jc w:val="center"/>
              <w:rPr>
                <w:rFonts w:ascii="Calibri Light" w:hAnsi="Calibri Light" w:cs="Calibri Light"/>
                <w:color w:val="000000"/>
                <w:sz w:val="18"/>
                <w:szCs w:val="18"/>
                <w:lang w:eastAsia="es-EC"/>
              </w:rPr>
            </w:pPr>
            <w:r w:rsidRPr="00A51E6E">
              <w:rPr>
                <w:rFonts w:ascii="Calibri Light" w:hAnsi="Calibri Light" w:cs="Calibri Light"/>
                <w:color w:val="000000"/>
                <w:sz w:val="18"/>
                <w:szCs w:val="18"/>
                <w:lang w:eastAsia="es-EC"/>
              </w:rPr>
              <w:t>42</w:t>
            </w:r>
          </w:p>
        </w:tc>
        <w:tc>
          <w:tcPr>
            <w:tcW w:w="0" w:type="auto"/>
            <w:shd w:val="clear" w:color="auto" w:fill="auto"/>
            <w:noWrap/>
            <w:hideMark/>
          </w:tcPr>
          <w:p w14:paraId="21557CA4" w14:textId="77777777" w:rsidR="00102E95" w:rsidRPr="00A51E6E" w:rsidRDefault="00102E95" w:rsidP="00E86A22">
            <w:pPr>
              <w:spacing w:line="276" w:lineRule="auto"/>
              <w:jc w:val="center"/>
              <w:rPr>
                <w:rFonts w:ascii="Calibri Light" w:hAnsi="Calibri Light" w:cs="Calibri Light"/>
                <w:color w:val="000000"/>
                <w:sz w:val="18"/>
                <w:szCs w:val="18"/>
                <w:lang w:eastAsia="es-EC"/>
              </w:rPr>
            </w:pPr>
            <w:r w:rsidRPr="00A51E6E">
              <w:rPr>
                <w:rFonts w:ascii="Calibri Light" w:hAnsi="Calibri Light" w:cs="Calibri Light"/>
                <w:color w:val="000000"/>
                <w:sz w:val="18"/>
                <w:szCs w:val="18"/>
                <w:lang w:eastAsia="es-EC"/>
              </w:rPr>
              <w:t>100%</w:t>
            </w:r>
          </w:p>
        </w:tc>
      </w:tr>
      <w:tr w:rsidR="00102E95" w:rsidRPr="00A51E6E" w14:paraId="423B911F" w14:textId="77777777" w:rsidTr="00E86A22">
        <w:trPr>
          <w:trHeight w:val="117"/>
          <w:jc w:val="center"/>
        </w:trPr>
        <w:tc>
          <w:tcPr>
            <w:tcW w:w="0" w:type="auto"/>
            <w:shd w:val="clear" w:color="auto" w:fill="D9E2F3"/>
            <w:noWrap/>
            <w:hideMark/>
          </w:tcPr>
          <w:p w14:paraId="4DB40769" w14:textId="77777777" w:rsidR="00102E95" w:rsidRPr="00A51E6E" w:rsidRDefault="00102E95" w:rsidP="00E86A22">
            <w:pPr>
              <w:spacing w:line="276" w:lineRule="auto"/>
              <w:jc w:val="center"/>
              <w:rPr>
                <w:rFonts w:ascii="Calibri Light" w:hAnsi="Calibri Light" w:cs="Calibri Light"/>
                <w:b/>
                <w:bCs/>
                <w:color w:val="000000"/>
                <w:sz w:val="18"/>
                <w:szCs w:val="18"/>
                <w:lang w:eastAsia="es-EC"/>
              </w:rPr>
            </w:pPr>
            <w:r w:rsidRPr="00A51E6E">
              <w:rPr>
                <w:rFonts w:ascii="Calibri Light" w:hAnsi="Calibri Light" w:cs="Calibri Light"/>
                <w:b/>
                <w:bCs/>
                <w:color w:val="000000"/>
                <w:sz w:val="18"/>
                <w:szCs w:val="18"/>
                <w:lang w:eastAsia="es-EC"/>
              </w:rPr>
              <w:t>3</w:t>
            </w:r>
          </w:p>
        </w:tc>
        <w:tc>
          <w:tcPr>
            <w:tcW w:w="0" w:type="auto"/>
            <w:shd w:val="clear" w:color="auto" w:fill="D9E2F3"/>
            <w:noWrap/>
            <w:hideMark/>
          </w:tcPr>
          <w:p w14:paraId="0E8D301F" w14:textId="77777777" w:rsidR="00102E95" w:rsidRPr="00A51E6E" w:rsidRDefault="00102E95" w:rsidP="00E86A22">
            <w:pPr>
              <w:spacing w:line="276" w:lineRule="auto"/>
              <w:jc w:val="center"/>
              <w:rPr>
                <w:rFonts w:ascii="Calibri Light" w:hAnsi="Calibri Light" w:cs="Calibri Light"/>
                <w:color w:val="000000"/>
                <w:sz w:val="18"/>
                <w:szCs w:val="18"/>
                <w:lang w:eastAsia="es-EC"/>
              </w:rPr>
            </w:pPr>
            <w:r w:rsidRPr="00A51E6E">
              <w:rPr>
                <w:rFonts w:ascii="Calibri Light" w:hAnsi="Calibri Light" w:cs="Calibri Light"/>
                <w:color w:val="000000"/>
                <w:sz w:val="18"/>
                <w:szCs w:val="18"/>
                <w:lang w:eastAsia="es-EC"/>
              </w:rPr>
              <w:t>Vehículos que transportan cilindros con GLP.</w:t>
            </w:r>
          </w:p>
        </w:tc>
        <w:tc>
          <w:tcPr>
            <w:tcW w:w="0" w:type="auto"/>
            <w:shd w:val="clear" w:color="auto" w:fill="D9E2F3"/>
          </w:tcPr>
          <w:p w14:paraId="597BDB18" w14:textId="77777777" w:rsidR="00102E95" w:rsidRPr="00A51E6E" w:rsidRDefault="00102E95" w:rsidP="00E86A22">
            <w:pPr>
              <w:spacing w:line="276" w:lineRule="auto"/>
              <w:jc w:val="center"/>
              <w:rPr>
                <w:rFonts w:ascii="Calibri Light" w:hAnsi="Calibri Light" w:cs="Calibri Light"/>
                <w:color w:val="000000"/>
                <w:sz w:val="18"/>
                <w:szCs w:val="18"/>
                <w:lang w:eastAsia="es-EC"/>
              </w:rPr>
            </w:pPr>
            <w:r w:rsidRPr="00A51E6E">
              <w:rPr>
                <w:rFonts w:ascii="Calibri Light" w:hAnsi="Calibri Light" w:cs="Calibri Light"/>
                <w:color w:val="000000"/>
                <w:sz w:val="18"/>
                <w:szCs w:val="18"/>
                <w:lang w:eastAsia="es-EC"/>
              </w:rPr>
              <w:t>844</w:t>
            </w:r>
          </w:p>
        </w:tc>
        <w:tc>
          <w:tcPr>
            <w:tcW w:w="0" w:type="auto"/>
            <w:shd w:val="clear" w:color="auto" w:fill="D9E2F3"/>
          </w:tcPr>
          <w:p w14:paraId="7F910CA5" w14:textId="77777777" w:rsidR="00102E95" w:rsidRPr="00A51E6E" w:rsidRDefault="00102E95" w:rsidP="00E86A22">
            <w:pPr>
              <w:spacing w:line="276" w:lineRule="auto"/>
              <w:jc w:val="center"/>
              <w:rPr>
                <w:rFonts w:ascii="Calibri Light" w:hAnsi="Calibri Light" w:cs="Calibri Light"/>
                <w:color w:val="000000"/>
                <w:sz w:val="18"/>
                <w:szCs w:val="18"/>
                <w:lang w:eastAsia="es-EC"/>
              </w:rPr>
            </w:pPr>
            <w:r w:rsidRPr="00A51E6E">
              <w:rPr>
                <w:rFonts w:ascii="Calibri Light" w:hAnsi="Calibri Light" w:cs="Calibri Light"/>
                <w:color w:val="000000"/>
                <w:sz w:val="18"/>
                <w:szCs w:val="18"/>
                <w:lang w:eastAsia="es-EC"/>
              </w:rPr>
              <w:t>838</w:t>
            </w:r>
          </w:p>
        </w:tc>
        <w:tc>
          <w:tcPr>
            <w:tcW w:w="0" w:type="auto"/>
            <w:shd w:val="clear" w:color="auto" w:fill="D9E2F3"/>
            <w:noWrap/>
            <w:hideMark/>
          </w:tcPr>
          <w:p w14:paraId="7A9F097A" w14:textId="77777777" w:rsidR="00102E95" w:rsidRPr="00A51E6E" w:rsidRDefault="00102E95" w:rsidP="00E86A22">
            <w:pPr>
              <w:spacing w:line="276" w:lineRule="auto"/>
              <w:jc w:val="center"/>
              <w:rPr>
                <w:rFonts w:ascii="Calibri Light" w:hAnsi="Calibri Light" w:cs="Calibri Light"/>
                <w:color w:val="000000"/>
                <w:sz w:val="18"/>
                <w:szCs w:val="18"/>
                <w:lang w:eastAsia="es-EC"/>
              </w:rPr>
            </w:pPr>
            <w:r w:rsidRPr="00A51E6E">
              <w:rPr>
                <w:rFonts w:ascii="Calibri Light" w:hAnsi="Calibri Light" w:cs="Calibri Light"/>
                <w:color w:val="000000"/>
                <w:sz w:val="18"/>
                <w:szCs w:val="18"/>
                <w:lang w:eastAsia="es-EC"/>
              </w:rPr>
              <w:t>99%</w:t>
            </w:r>
          </w:p>
        </w:tc>
      </w:tr>
      <w:tr w:rsidR="00102E95" w:rsidRPr="00A51E6E" w14:paraId="3EC03D3C" w14:textId="77777777" w:rsidTr="00E86A22">
        <w:trPr>
          <w:trHeight w:val="123"/>
          <w:jc w:val="center"/>
        </w:trPr>
        <w:tc>
          <w:tcPr>
            <w:tcW w:w="0" w:type="auto"/>
            <w:gridSpan w:val="2"/>
            <w:shd w:val="clear" w:color="auto" w:fill="auto"/>
            <w:noWrap/>
            <w:hideMark/>
          </w:tcPr>
          <w:p w14:paraId="023B1939" w14:textId="77777777" w:rsidR="00102E95" w:rsidRPr="00A51E6E" w:rsidRDefault="00102E95" w:rsidP="00E86A22">
            <w:pPr>
              <w:spacing w:line="276" w:lineRule="auto"/>
              <w:jc w:val="center"/>
              <w:rPr>
                <w:rFonts w:ascii="Calibri Light" w:hAnsi="Calibri Light" w:cs="Calibri Light"/>
                <w:b/>
                <w:bCs/>
                <w:color w:val="000000"/>
                <w:sz w:val="18"/>
                <w:szCs w:val="18"/>
                <w:lang w:eastAsia="es-EC"/>
              </w:rPr>
            </w:pPr>
            <w:r w:rsidRPr="00A51E6E">
              <w:rPr>
                <w:rFonts w:ascii="Calibri Light" w:hAnsi="Calibri Light" w:cs="Calibri Light"/>
                <w:b/>
                <w:bCs/>
                <w:color w:val="000000"/>
                <w:sz w:val="18"/>
                <w:szCs w:val="18"/>
                <w:lang w:eastAsia="es-EC"/>
              </w:rPr>
              <w:t>Total</w:t>
            </w:r>
          </w:p>
        </w:tc>
        <w:tc>
          <w:tcPr>
            <w:tcW w:w="0" w:type="auto"/>
            <w:shd w:val="clear" w:color="auto" w:fill="auto"/>
          </w:tcPr>
          <w:p w14:paraId="304353B5" w14:textId="77777777" w:rsidR="00102E95" w:rsidRPr="00A51E6E" w:rsidRDefault="00102E95" w:rsidP="00E86A22">
            <w:pPr>
              <w:spacing w:line="276" w:lineRule="auto"/>
              <w:jc w:val="center"/>
              <w:rPr>
                <w:rFonts w:ascii="Calibri Light" w:hAnsi="Calibri Light" w:cs="Calibri Light"/>
                <w:color w:val="000000"/>
                <w:sz w:val="18"/>
                <w:szCs w:val="18"/>
                <w:lang w:eastAsia="es-EC"/>
              </w:rPr>
            </w:pPr>
            <w:r w:rsidRPr="00A51E6E">
              <w:rPr>
                <w:rFonts w:ascii="Calibri Light" w:hAnsi="Calibri Light" w:cs="Calibri Light"/>
                <w:color w:val="000000"/>
                <w:sz w:val="18"/>
                <w:szCs w:val="18"/>
                <w:lang w:eastAsia="es-EC"/>
              </w:rPr>
              <w:t>1324</w:t>
            </w:r>
          </w:p>
        </w:tc>
        <w:tc>
          <w:tcPr>
            <w:tcW w:w="0" w:type="auto"/>
            <w:shd w:val="clear" w:color="auto" w:fill="auto"/>
          </w:tcPr>
          <w:p w14:paraId="21EF22D8" w14:textId="77777777" w:rsidR="00102E95" w:rsidRPr="00A51E6E" w:rsidRDefault="00102E95" w:rsidP="00E86A22">
            <w:pPr>
              <w:spacing w:line="276" w:lineRule="auto"/>
              <w:jc w:val="center"/>
              <w:rPr>
                <w:rFonts w:ascii="Calibri Light" w:hAnsi="Calibri Light" w:cs="Calibri Light"/>
                <w:color w:val="000000"/>
                <w:sz w:val="18"/>
                <w:szCs w:val="18"/>
                <w:lang w:eastAsia="es-EC"/>
              </w:rPr>
            </w:pPr>
            <w:r w:rsidRPr="00A51E6E">
              <w:rPr>
                <w:rFonts w:ascii="Calibri Light" w:hAnsi="Calibri Light" w:cs="Calibri Light"/>
                <w:color w:val="000000"/>
                <w:sz w:val="18"/>
                <w:szCs w:val="18"/>
                <w:lang w:eastAsia="es-EC"/>
              </w:rPr>
              <w:t>1318</w:t>
            </w:r>
          </w:p>
        </w:tc>
        <w:tc>
          <w:tcPr>
            <w:tcW w:w="0" w:type="auto"/>
            <w:shd w:val="clear" w:color="auto" w:fill="auto"/>
            <w:noWrap/>
            <w:hideMark/>
          </w:tcPr>
          <w:p w14:paraId="6E188C03" w14:textId="77777777" w:rsidR="00102E95" w:rsidRPr="00A51E6E" w:rsidRDefault="00102E95" w:rsidP="00E86A22">
            <w:pPr>
              <w:spacing w:line="276" w:lineRule="auto"/>
              <w:jc w:val="center"/>
              <w:rPr>
                <w:rFonts w:ascii="Calibri Light" w:hAnsi="Calibri Light" w:cs="Calibri Light"/>
                <w:color w:val="000000"/>
                <w:sz w:val="18"/>
                <w:szCs w:val="18"/>
                <w:lang w:eastAsia="es-EC"/>
              </w:rPr>
            </w:pPr>
            <w:r w:rsidRPr="00A51E6E">
              <w:rPr>
                <w:rFonts w:ascii="Calibri Light" w:hAnsi="Calibri Light" w:cs="Calibri Light"/>
                <w:color w:val="000000"/>
                <w:sz w:val="18"/>
                <w:szCs w:val="18"/>
                <w:lang w:eastAsia="es-EC"/>
              </w:rPr>
              <w:t>99,5%</w:t>
            </w:r>
          </w:p>
        </w:tc>
      </w:tr>
    </w:tbl>
    <w:p w14:paraId="6FFA013C" w14:textId="77777777" w:rsidR="00102E95" w:rsidRPr="00140159" w:rsidRDefault="00102E95" w:rsidP="00102E95">
      <w:pPr>
        <w:jc w:val="center"/>
        <w:rPr>
          <w:rFonts w:ascii="Calibri Light" w:hAnsi="Calibri Light" w:cs="Calibri Light"/>
          <w:i/>
          <w:sz w:val="16"/>
          <w:szCs w:val="16"/>
        </w:rPr>
      </w:pPr>
      <w:r w:rsidRPr="00140159">
        <w:rPr>
          <w:rFonts w:ascii="Calibri Light" w:hAnsi="Calibri Light" w:cs="Calibri Light"/>
          <w:i/>
          <w:color w:val="7F7F7F"/>
          <w:sz w:val="16"/>
          <w:szCs w:val="16"/>
        </w:rPr>
        <w:t>Fuente: ARCH-Dirección Técnica de Control de Transporte, Almacenamiento y Movimiento</w:t>
      </w:r>
    </w:p>
    <w:p w14:paraId="43A385CB" w14:textId="77777777" w:rsidR="00F7193D" w:rsidRPr="00A51E6E" w:rsidRDefault="00F7193D" w:rsidP="00102E95">
      <w:pPr>
        <w:autoSpaceDE w:val="0"/>
        <w:autoSpaceDN w:val="0"/>
        <w:adjustRightInd w:val="0"/>
        <w:spacing w:after="59"/>
        <w:jc w:val="both"/>
        <w:rPr>
          <w:rFonts w:ascii="Calibri Light" w:hAnsi="Calibri Light" w:cs="Calibri Light"/>
          <w:sz w:val="22"/>
          <w:szCs w:val="22"/>
        </w:rPr>
      </w:pPr>
    </w:p>
    <w:p w14:paraId="6E67B320" w14:textId="77777777" w:rsidR="00102E95" w:rsidRPr="00A51E6E" w:rsidRDefault="00102E95" w:rsidP="00102E95">
      <w:pPr>
        <w:pStyle w:val="Prrafodelista"/>
        <w:widowControl w:val="0"/>
        <w:numPr>
          <w:ilvl w:val="0"/>
          <w:numId w:val="72"/>
        </w:numPr>
        <w:tabs>
          <w:tab w:val="left" w:pos="849"/>
          <w:tab w:val="left" w:pos="862"/>
        </w:tabs>
        <w:autoSpaceDE w:val="0"/>
        <w:autoSpaceDN w:val="0"/>
        <w:spacing w:before="1"/>
        <w:ind w:right="133"/>
        <w:jc w:val="both"/>
        <w:rPr>
          <w:rFonts w:ascii="Calibri Light" w:hAnsi="Calibri Light" w:cs="Calibri Light"/>
          <w:sz w:val="22"/>
          <w:szCs w:val="22"/>
        </w:rPr>
      </w:pPr>
      <w:r w:rsidRPr="00A51E6E">
        <w:rPr>
          <w:rFonts w:ascii="Calibri Light" w:hAnsi="Calibri Light" w:cs="Calibri Light"/>
          <w:sz w:val="22"/>
          <w:szCs w:val="22"/>
        </w:rPr>
        <w:t xml:space="preserve">Se realizaron un total de 92 inspecciones a los ductos dentro de la jurisdicción de ARCH Matriz. </w:t>
      </w:r>
    </w:p>
    <w:p w14:paraId="36E50BEB" w14:textId="15B8A169" w:rsidR="00102E95" w:rsidRPr="006E30AC" w:rsidRDefault="00102E95" w:rsidP="006E30AC">
      <w:pPr>
        <w:pStyle w:val="Prrafodelista"/>
        <w:widowControl w:val="0"/>
        <w:numPr>
          <w:ilvl w:val="0"/>
          <w:numId w:val="72"/>
        </w:numPr>
        <w:tabs>
          <w:tab w:val="left" w:pos="849"/>
          <w:tab w:val="left" w:pos="862"/>
        </w:tabs>
        <w:autoSpaceDE w:val="0"/>
        <w:autoSpaceDN w:val="0"/>
        <w:spacing w:before="1"/>
        <w:ind w:right="133"/>
        <w:jc w:val="both"/>
        <w:rPr>
          <w:rFonts w:ascii="Calibri Light" w:hAnsi="Calibri Light" w:cs="Calibri Light"/>
          <w:sz w:val="22"/>
          <w:szCs w:val="22"/>
        </w:rPr>
      </w:pPr>
      <w:r w:rsidRPr="00A51E6E">
        <w:rPr>
          <w:rFonts w:ascii="Calibri Light" w:hAnsi="Calibri Light" w:cs="Calibri Light"/>
          <w:sz w:val="22"/>
          <w:szCs w:val="22"/>
        </w:rPr>
        <w:t xml:space="preserve">Emisión de 30 certificados de control anual a oleoductos (principales y secundarios) y poliductos. </w:t>
      </w:r>
      <w:bookmarkStart w:id="142" w:name="_Toc197334670"/>
    </w:p>
    <w:p w14:paraId="0C071562" w14:textId="3F20CC97" w:rsidR="00102E95" w:rsidRPr="00D36769" w:rsidRDefault="00102E95" w:rsidP="00140159">
      <w:pPr>
        <w:pStyle w:val="Tablas"/>
        <w:spacing w:after="0"/>
        <w:rPr>
          <w:rFonts w:asciiTheme="majorHAnsi" w:hAnsiTheme="majorHAnsi" w:cstheme="majorHAnsi"/>
          <w:i w:val="0"/>
          <w:iCs w:val="0"/>
          <w:color w:val="auto"/>
          <w:sz w:val="20"/>
          <w:szCs w:val="20"/>
        </w:rPr>
      </w:pPr>
      <w:bookmarkStart w:id="143" w:name="_Toc199759682"/>
      <w:r w:rsidRPr="00D36769">
        <w:rPr>
          <w:rFonts w:asciiTheme="majorHAnsi" w:hAnsiTheme="majorHAnsi" w:cstheme="majorHAnsi"/>
        </w:rPr>
        <w:t xml:space="preserve">Tabla </w:t>
      </w:r>
      <w:r w:rsidR="003A269C" w:rsidRPr="00D36769">
        <w:rPr>
          <w:rFonts w:asciiTheme="majorHAnsi" w:hAnsiTheme="majorHAnsi" w:cstheme="majorHAnsi"/>
        </w:rPr>
        <w:fldChar w:fldCharType="begin"/>
      </w:r>
      <w:r w:rsidR="003A269C" w:rsidRPr="00D36769">
        <w:rPr>
          <w:rFonts w:asciiTheme="majorHAnsi" w:hAnsiTheme="majorHAnsi" w:cstheme="majorHAnsi"/>
        </w:rPr>
        <w:instrText xml:space="preserve"> SEQ Tabla \* ARABIC </w:instrText>
      </w:r>
      <w:r w:rsidR="003A269C" w:rsidRPr="00D36769">
        <w:rPr>
          <w:rFonts w:asciiTheme="majorHAnsi" w:hAnsiTheme="majorHAnsi" w:cstheme="majorHAnsi"/>
        </w:rPr>
        <w:fldChar w:fldCharType="separate"/>
      </w:r>
      <w:r w:rsidR="00CF0AD2">
        <w:rPr>
          <w:rFonts w:asciiTheme="majorHAnsi" w:hAnsiTheme="majorHAnsi" w:cstheme="majorHAnsi"/>
          <w:noProof/>
        </w:rPr>
        <w:t>12</w:t>
      </w:r>
      <w:r w:rsidR="003A269C" w:rsidRPr="00D36769">
        <w:rPr>
          <w:rFonts w:asciiTheme="majorHAnsi" w:hAnsiTheme="majorHAnsi" w:cstheme="majorHAnsi"/>
          <w:noProof/>
        </w:rPr>
        <w:fldChar w:fldCharType="end"/>
      </w:r>
      <w:r w:rsidRPr="00D36769">
        <w:rPr>
          <w:rFonts w:asciiTheme="majorHAnsi" w:hAnsiTheme="majorHAnsi" w:cstheme="majorHAnsi"/>
        </w:rPr>
        <w:t xml:space="preserve">: </w:t>
      </w:r>
      <w:r w:rsidRPr="00D36769">
        <w:rPr>
          <w:rFonts w:asciiTheme="majorHAnsi" w:hAnsiTheme="majorHAnsi" w:cstheme="majorHAnsi"/>
          <w:spacing w:val="-6"/>
        </w:rPr>
        <w:t xml:space="preserve"> </w:t>
      </w:r>
      <w:r w:rsidRPr="00D36769">
        <w:rPr>
          <w:rFonts w:asciiTheme="majorHAnsi" w:hAnsiTheme="majorHAnsi" w:cstheme="majorHAnsi"/>
          <w:i w:val="0"/>
          <w:color w:val="44536A"/>
          <w:spacing w:val="-2"/>
        </w:rPr>
        <w:t xml:space="preserve"> </w:t>
      </w:r>
      <w:r w:rsidRPr="00D36769">
        <w:rPr>
          <w:rFonts w:asciiTheme="majorHAnsi" w:hAnsiTheme="majorHAnsi" w:cstheme="majorHAnsi"/>
        </w:rPr>
        <w:t>Número de Ductos Emitidos el Control Anual</w:t>
      </w:r>
      <w:bookmarkEnd w:id="142"/>
      <w:bookmarkEnd w:id="143"/>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122"/>
        <w:gridCol w:w="1275"/>
        <w:gridCol w:w="1347"/>
        <w:gridCol w:w="1985"/>
      </w:tblGrid>
      <w:tr w:rsidR="00102E95" w:rsidRPr="00A51E6E" w14:paraId="6E11A78A" w14:textId="77777777" w:rsidTr="00E86A22">
        <w:trPr>
          <w:jc w:val="center"/>
        </w:trPr>
        <w:tc>
          <w:tcPr>
            <w:tcW w:w="2122" w:type="dxa"/>
            <w:tcBorders>
              <w:top w:val="single" w:sz="4" w:space="0" w:color="4472C4"/>
              <w:left w:val="single" w:sz="4" w:space="0" w:color="4472C4"/>
              <w:bottom w:val="single" w:sz="4" w:space="0" w:color="4472C4"/>
              <w:right w:val="nil"/>
            </w:tcBorders>
            <w:shd w:val="clear" w:color="auto" w:fill="4472C4"/>
            <w:vAlign w:val="center"/>
          </w:tcPr>
          <w:p w14:paraId="06CC105F" w14:textId="77777777" w:rsidR="00102E95" w:rsidRPr="00A51E6E" w:rsidRDefault="00102E95" w:rsidP="00E86A22">
            <w:pPr>
              <w:spacing w:line="276" w:lineRule="auto"/>
              <w:jc w:val="center"/>
              <w:rPr>
                <w:rFonts w:ascii="Calibri Light" w:hAnsi="Calibri Light" w:cs="Calibri Light"/>
                <w:b/>
                <w:color w:val="FFFFFF"/>
                <w:sz w:val="18"/>
                <w:szCs w:val="18"/>
              </w:rPr>
            </w:pPr>
            <w:r w:rsidRPr="00A51E6E">
              <w:rPr>
                <w:rFonts w:ascii="Calibri Light" w:hAnsi="Calibri Light" w:cs="Calibri Light"/>
                <w:b/>
                <w:color w:val="FFFFFF"/>
                <w:sz w:val="18"/>
                <w:szCs w:val="18"/>
              </w:rPr>
              <w:t>INFRAESTRUCTURA</w:t>
            </w:r>
          </w:p>
        </w:tc>
        <w:tc>
          <w:tcPr>
            <w:tcW w:w="1275" w:type="dxa"/>
            <w:tcBorders>
              <w:top w:val="single" w:sz="4" w:space="0" w:color="4472C4"/>
              <w:left w:val="nil"/>
              <w:bottom w:val="single" w:sz="4" w:space="0" w:color="4472C4"/>
              <w:right w:val="nil"/>
            </w:tcBorders>
            <w:shd w:val="clear" w:color="auto" w:fill="4472C4"/>
            <w:vAlign w:val="center"/>
          </w:tcPr>
          <w:p w14:paraId="5D9CAFBA" w14:textId="77777777" w:rsidR="00102E95" w:rsidRPr="00A51E6E" w:rsidRDefault="00102E95" w:rsidP="00E86A22">
            <w:pPr>
              <w:spacing w:line="276" w:lineRule="auto"/>
              <w:jc w:val="center"/>
              <w:rPr>
                <w:rFonts w:ascii="Calibri Light" w:hAnsi="Calibri Light" w:cs="Calibri Light"/>
                <w:b/>
                <w:color w:val="FFFFFF"/>
                <w:sz w:val="18"/>
                <w:szCs w:val="18"/>
              </w:rPr>
            </w:pPr>
            <w:r w:rsidRPr="00A51E6E">
              <w:rPr>
                <w:rFonts w:ascii="Calibri Light" w:hAnsi="Calibri Light" w:cs="Calibri Light"/>
                <w:b/>
                <w:color w:val="FFFFFF"/>
                <w:sz w:val="18"/>
                <w:szCs w:val="18"/>
              </w:rPr>
              <w:t>NRO. DE DUCTOS</w:t>
            </w:r>
          </w:p>
        </w:tc>
        <w:tc>
          <w:tcPr>
            <w:tcW w:w="1347" w:type="dxa"/>
            <w:tcBorders>
              <w:top w:val="single" w:sz="4" w:space="0" w:color="4472C4"/>
              <w:left w:val="nil"/>
              <w:bottom w:val="single" w:sz="4" w:space="0" w:color="4472C4"/>
              <w:right w:val="nil"/>
            </w:tcBorders>
            <w:shd w:val="clear" w:color="auto" w:fill="4472C4"/>
            <w:vAlign w:val="center"/>
          </w:tcPr>
          <w:p w14:paraId="5F0E5AA5" w14:textId="77777777" w:rsidR="00102E95" w:rsidRPr="00A51E6E" w:rsidRDefault="00102E95" w:rsidP="00E86A22">
            <w:pPr>
              <w:spacing w:line="276" w:lineRule="auto"/>
              <w:jc w:val="center"/>
              <w:rPr>
                <w:rFonts w:ascii="Calibri Light" w:hAnsi="Calibri Light" w:cs="Calibri Light"/>
                <w:b/>
                <w:color w:val="FFFFFF"/>
                <w:sz w:val="18"/>
                <w:szCs w:val="18"/>
              </w:rPr>
            </w:pPr>
            <w:r w:rsidRPr="00A51E6E">
              <w:rPr>
                <w:rFonts w:ascii="Calibri Light" w:hAnsi="Calibri Light" w:cs="Calibri Light"/>
                <w:b/>
                <w:color w:val="FFFFFF"/>
                <w:sz w:val="18"/>
                <w:szCs w:val="18"/>
              </w:rPr>
              <w:t>NRO. CONTROLES ANUALES</w:t>
            </w:r>
          </w:p>
        </w:tc>
        <w:tc>
          <w:tcPr>
            <w:tcW w:w="1985" w:type="dxa"/>
            <w:tcBorders>
              <w:top w:val="single" w:sz="4" w:space="0" w:color="4472C4"/>
              <w:left w:val="nil"/>
              <w:bottom w:val="single" w:sz="4" w:space="0" w:color="4472C4"/>
              <w:right w:val="single" w:sz="4" w:space="0" w:color="4472C4"/>
            </w:tcBorders>
            <w:shd w:val="clear" w:color="auto" w:fill="4472C4"/>
            <w:vAlign w:val="center"/>
          </w:tcPr>
          <w:p w14:paraId="44B8513F" w14:textId="77777777" w:rsidR="00102E95" w:rsidRPr="00A51E6E" w:rsidRDefault="00102E95" w:rsidP="00E86A22">
            <w:pPr>
              <w:spacing w:line="276" w:lineRule="auto"/>
              <w:jc w:val="center"/>
              <w:rPr>
                <w:rFonts w:ascii="Calibri Light" w:hAnsi="Calibri Light" w:cs="Calibri Light"/>
                <w:b/>
                <w:color w:val="FFFFFF"/>
                <w:sz w:val="18"/>
                <w:szCs w:val="18"/>
              </w:rPr>
            </w:pPr>
            <w:r w:rsidRPr="00A51E6E">
              <w:rPr>
                <w:rFonts w:ascii="Calibri Light" w:hAnsi="Calibri Light" w:cs="Calibri Light"/>
                <w:b/>
                <w:color w:val="FFFFFF"/>
                <w:sz w:val="18"/>
                <w:szCs w:val="18"/>
              </w:rPr>
              <w:t>% CERTIFICADO DE CONTROL ANUAL</w:t>
            </w:r>
          </w:p>
        </w:tc>
      </w:tr>
      <w:tr w:rsidR="00102E95" w:rsidRPr="00A51E6E" w14:paraId="5AE1C257" w14:textId="77777777" w:rsidTr="00E86A22">
        <w:trPr>
          <w:jc w:val="center"/>
        </w:trPr>
        <w:tc>
          <w:tcPr>
            <w:tcW w:w="2122" w:type="dxa"/>
            <w:shd w:val="clear" w:color="auto" w:fill="D9E2F3"/>
          </w:tcPr>
          <w:p w14:paraId="3655482D" w14:textId="77777777" w:rsidR="00102E95" w:rsidRPr="00A51E6E" w:rsidRDefault="00102E95" w:rsidP="00E86A22">
            <w:pPr>
              <w:spacing w:line="276" w:lineRule="auto"/>
              <w:jc w:val="center"/>
              <w:rPr>
                <w:rFonts w:ascii="Calibri Light" w:hAnsi="Calibri Light" w:cs="Calibri Light"/>
                <w:sz w:val="18"/>
                <w:szCs w:val="18"/>
              </w:rPr>
            </w:pPr>
            <w:r w:rsidRPr="00A51E6E">
              <w:rPr>
                <w:rFonts w:ascii="Calibri Light" w:hAnsi="Calibri Light" w:cs="Calibri Light"/>
                <w:sz w:val="18"/>
                <w:szCs w:val="18"/>
              </w:rPr>
              <w:t>Oleoductos Principales</w:t>
            </w:r>
          </w:p>
        </w:tc>
        <w:tc>
          <w:tcPr>
            <w:tcW w:w="1275" w:type="dxa"/>
            <w:shd w:val="clear" w:color="auto" w:fill="D9E2F3"/>
          </w:tcPr>
          <w:p w14:paraId="00BEC7AF" w14:textId="77777777" w:rsidR="00102E95" w:rsidRPr="00A51E6E" w:rsidRDefault="00102E95" w:rsidP="00E86A22">
            <w:pPr>
              <w:spacing w:line="276" w:lineRule="auto"/>
              <w:jc w:val="center"/>
              <w:rPr>
                <w:rFonts w:ascii="Calibri Light" w:hAnsi="Calibri Light" w:cs="Calibri Light"/>
                <w:sz w:val="18"/>
                <w:szCs w:val="18"/>
              </w:rPr>
            </w:pPr>
            <w:r w:rsidRPr="00A51E6E">
              <w:rPr>
                <w:rFonts w:ascii="Calibri Light" w:hAnsi="Calibri Light" w:cs="Calibri Light"/>
                <w:sz w:val="18"/>
                <w:szCs w:val="18"/>
              </w:rPr>
              <w:t>3</w:t>
            </w:r>
          </w:p>
        </w:tc>
        <w:tc>
          <w:tcPr>
            <w:tcW w:w="1347" w:type="dxa"/>
            <w:shd w:val="clear" w:color="auto" w:fill="D9E2F3"/>
          </w:tcPr>
          <w:p w14:paraId="31FF362E" w14:textId="77777777" w:rsidR="00102E95" w:rsidRPr="00A51E6E" w:rsidRDefault="00102E95" w:rsidP="00E86A22">
            <w:pPr>
              <w:spacing w:line="276" w:lineRule="auto"/>
              <w:jc w:val="center"/>
              <w:rPr>
                <w:rFonts w:ascii="Calibri Light" w:hAnsi="Calibri Light" w:cs="Calibri Light"/>
                <w:sz w:val="18"/>
                <w:szCs w:val="18"/>
              </w:rPr>
            </w:pPr>
            <w:r w:rsidRPr="00A51E6E">
              <w:rPr>
                <w:rFonts w:ascii="Calibri Light" w:hAnsi="Calibri Light" w:cs="Calibri Light"/>
                <w:sz w:val="18"/>
                <w:szCs w:val="18"/>
              </w:rPr>
              <w:t>2</w:t>
            </w:r>
          </w:p>
        </w:tc>
        <w:tc>
          <w:tcPr>
            <w:tcW w:w="1985" w:type="dxa"/>
            <w:vMerge w:val="restart"/>
            <w:shd w:val="clear" w:color="auto" w:fill="D9E2F3"/>
          </w:tcPr>
          <w:p w14:paraId="26CE3FA1" w14:textId="77777777" w:rsidR="00102E95" w:rsidRPr="00A51E6E" w:rsidRDefault="00102E95" w:rsidP="00E86A22">
            <w:pPr>
              <w:spacing w:line="276" w:lineRule="auto"/>
              <w:jc w:val="center"/>
              <w:rPr>
                <w:rFonts w:ascii="Calibri Light" w:hAnsi="Calibri Light" w:cs="Calibri Light"/>
                <w:sz w:val="18"/>
                <w:szCs w:val="18"/>
              </w:rPr>
            </w:pPr>
          </w:p>
          <w:p w14:paraId="516BDC51" w14:textId="77777777" w:rsidR="00102E95" w:rsidRPr="00A51E6E" w:rsidRDefault="00102E95" w:rsidP="00E86A22">
            <w:pPr>
              <w:spacing w:line="276" w:lineRule="auto"/>
              <w:jc w:val="center"/>
              <w:rPr>
                <w:rFonts w:ascii="Calibri Light" w:hAnsi="Calibri Light" w:cs="Calibri Light"/>
                <w:sz w:val="18"/>
                <w:szCs w:val="18"/>
              </w:rPr>
            </w:pPr>
          </w:p>
          <w:p w14:paraId="31EFE2EF" w14:textId="77777777" w:rsidR="00102E95" w:rsidRPr="00A51E6E" w:rsidRDefault="00102E95" w:rsidP="00E86A22">
            <w:pPr>
              <w:spacing w:line="276" w:lineRule="auto"/>
              <w:jc w:val="center"/>
              <w:rPr>
                <w:rFonts w:ascii="Calibri Light" w:hAnsi="Calibri Light" w:cs="Calibri Light"/>
                <w:sz w:val="18"/>
                <w:szCs w:val="18"/>
              </w:rPr>
            </w:pPr>
            <w:r w:rsidRPr="00A51E6E">
              <w:rPr>
                <w:rFonts w:ascii="Calibri Light" w:hAnsi="Calibri Light" w:cs="Calibri Light"/>
                <w:sz w:val="18"/>
                <w:szCs w:val="18"/>
              </w:rPr>
              <w:t>81,08%</w:t>
            </w:r>
          </w:p>
        </w:tc>
      </w:tr>
      <w:tr w:rsidR="00102E95" w:rsidRPr="00A51E6E" w14:paraId="5DF5C449" w14:textId="77777777" w:rsidTr="00E86A22">
        <w:trPr>
          <w:jc w:val="center"/>
        </w:trPr>
        <w:tc>
          <w:tcPr>
            <w:tcW w:w="2122" w:type="dxa"/>
            <w:shd w:val="clear" w:color="auto" w:fill="auto"/>
          </w:tcPr>
          <w:p w14:paraId="21E96371" w14:textId="77777777" w:rsidR="00102E95" w:rsidRPr="00A51E6E" w:rsidRDefault="00102E95" w:rsidP="00E86A22">
            <w:pPr>
              <w:spacing w:line="276" w:lineRule="auto"/>
              <w:jc w:val="center"/>
              <w:rPr>
                <w:rFonts w:ascii="Calibri Light" w:hAnsi="Calibri Light" w:cs="Calibri Light"/>
                <w:sz w:val="18"/>
                <w:szCs w:val="18"/>
              </w:rPr>
            </w:pPr>
            <w:r w:rsidRPr="00A51E6E">
              <w:rPr>
                <w:rFonts w:ascii="Calibri Light" w:hAnsi="Calibri Light" w:cs="Calibri Light"/>
                <w:sz w:val="18"/>
                <w:szCs w:val="18"/>
              </w:rPr>
              <w:t>Oleoductos Secundarios</w:t>
            </w:r>
          </w:p>
        </w:tc>
        <w:tc>
          <w:tcPr>
            <w:tcW w:w="1275" w:type="dxa"/>
            <w:shd w:val="clear" w:color="auto" w:fill="auto"/>
          </w:tcPr>
          <w:p w14:paraId="1198A5BE" w14:textId="77777777" w:rsidR="00102E95" w:rsidRPr="00A51E6E" w:rsidRDefault="00102E95" w:rsidP="00E86A22">
            <w:pPr>
              <w:spacing w:line="276" w:lineRule="auto"/>
              <w:jc w:val="center"/>
              <w:rPr>
                <w:rFonts w:ascii="Calibri Light" w:hAnsi="Calibri Light" w:cs="Calibri Light"/>
                <w:sz w:val="18"/>
                <w:szCs w:val="18"/>
              </w:rPr>
            </w:pPr>
            <w:r w:rsidRPr="00A51E6E">
              <w:rPr>
                <w:rFonts w:ascii="Calibri Light" w:hAnsi="Calibri Light" w:cs="Calibri Light"/>
                <w:sz w:val="18"/>
                <w:szCs w:val="18"/>
              </w:rPr>
              <w:t>21</w:t>
            </w:r>
          </w:p>
        </w:tc>
        <w:tc>
          <w:tcPr>
            <w:tcW w:w="1347" w:type="dxa"/>
            <w:shd w:val="clear" w:color="auto" w:fill="auto"/>
          </w:tcPr>
          <w:p w14:paraId="281B2CA3" w14:textId="77777777" w:rsidR="00102E95" w:rsidRPr="00A51E6E" w:rsidRDefault="00102E95" w:rsidP="00E86A22">
            <w:pPr>
              <w:spacing w:line="276" w:lineRule="auto"/>
              <w:jc w:val="center"/>
              <w:rPr>
                <w:rFonts w:ascii="Calibri Light" w:hAnsi="Calibri Light" w:cs="Calibri Light"/>
                <w:sz w:val="18"/>
                <w:szCs w:val="18"/>
              </w:rPr>
            </w:pPr>
            <w:r w:rsidRPr="00A51E6E">
              <w:rPr>
                <w:rFonts w:ascii="Calibri Light" w:hAnsi="Calibri Light" w:cs="Calibri Light"/>
                <w:sz w:val="18"/>
                <w:szCs w:val="18"/>
              </w:rPr>
              <w:t>16</w:t>
            </w:r>
          </w:p>
        </w:tc>
        <w:tc>
          <w:tcPr>
            <w:tcW w:w="1985" w:type="dxa"/>
            <w:vMerge/>
            <w:shd w:val="clear" w:color="auto" w:fill="auto"/>
          </w:tcPr>
          <w:p w14:paraId="358C2F0D" w14:textId="77777777" w:rsidR="00102E95" w:rsidRPr="00A51E6E" w:rsidRDefault="00102E95" w:rsidP="00E86A22">
            <w:pPr>
              <w:spacing w:line="276" w:lineRule="auto"/>
              <w:jc w:val="center"/>
              <w:rPr>
                <w:rFonts w:ascii="Calibri Light" w:hAnsi="Calibri Light" w:cs="Calibri Light"/>
                <w:sz w:val="18"/>
                <w:szCs w:val="18"/>
              </w:rPr>
            </w:pPr>
          </w:p>
        </w:tc>
      </w:tr>
      <w:tr w:rsidR="00102E95" w:rsidRPr="00A51E6E" w14:paraId="7CA28B5F" w14:textId="77777777" w:rsidTr="00E86A22">
        <w:trPr>
          <w:jc w:val="center"/>
        </w:trPr>
        <w:tc>
          <w:tcPr>
            <w:tcW w:w="2122" w:type="dxa"/>
            <w:shd w:val="clear" w:color="auto" w:fill="D9E2F3"/>
          </w:tcPr>
          <w:p w14:paraId="3878180F" w14:textId="77777777" w:rsidR="00102E95" w:rsidRPr="00A51E6E" w:rsidRDefault="00102E95" w:rsidP="00E86A22">
            <w:pPr>
              <w:spacing w:line="276" w:lineRule="auto"/>
              <w:jc w:val="center"/>
              <w:rPr>
                <w:rFonts w:ascii="Calibri Light" w:hAnsi="Calibri Light" w:cs="Calibri Light"/>
                <w:sz w:val="18"/>
                <w:szCs w:val="18"/>
              </w:rPr>
            </w:pPr>
            <w:r w:rsidRPr="00A51E6E">
              <w:rPr>
                <w:rFonts w:ascii="Calibri Light" w:hAnsi="Calibri Light" w:cs="Calibri Light"/>
                <w:sz w:val="18"/>
                <w:szCs w:val="18"/>
              </w:rPr>
              <w:t>Poliductos</w:t>
            </w:r>
          </w:p>
        </w:tc>
        <w:tc>
          <w:tcPr>
            <w:tcW w:w="1275" w:type="dxa"/>
            <w:shd w:val="clear" w:color="auto" w:fill="D9E2F3"/>
          </w:tcPr>
          <w:p w14:paraId="723FD4BB" w14:textId="77777777" w:rsidR="00102E95" w:rsidRPr="00A51E6E" w:rsidRDefault="00102E95" w:rsidP="00E86A22">
            <w:pPr>
              <w:spacing w:line="276" w:lineRule="auto"/>
              <w:jc w:val="center"/>
              <w:rPr>
                <w:rFonts w:ascii="Calibri Light" w:hAnsi="Calibri Light" w:cs="Calibri Light"/>
                <w:sz w:val="18"/>
                <w:szCs w:val="18"/>
              </w:rPr>
            </w:pPr>
            <w:r w:rsidRPr="00A51E6E">
              <w:rPr>
                <w:rFonts w:ascii="Calibri Light" w:hAnsi="Calibri Light" w:cs="Calibri Light"/>
                <w:sz w:val="18"/>
                <w:szCs w:val="18"/>
              </w:rPr>
              <w:t>12</w:t>
            </w:r>
          </w:p>
        </w:tc>
        <w:tc>
          <w:tcPr>
            <w:tcW w:w="1347" w:type="dxa"/>
            <w:shd w:val="clear" w:color="auto" w:fill="D9E2F3"/>
          </w:tcPr>
          <w:p w14:paraId="15D10F9C" w14:textId="77777777" w:rsidR="00102E95" w:rsidRPr="00A51E6E" w:rsidRDefault="00102E95" w:rsidP="00E86A22">
            <w:pPr>
              <w:spacing w:line="276" w:lineRule="auto"/>
              <w:jc w:val="center"/>
              <w:rPr>
                <w:rFonts w:ascii="Calibri Light" w:hAnsi="Calibri Light" w:cs="Calibri Light"/>
                <w:sz w:val="18"/>
                <w:szCs w:val="18"/>
              </w:rPr>
            </w:pPr>
            <w:r w:rsidRPr="00A51E6E">
              <w:rPr>
                <w:rFonts w:ascii="Calibri Light" w:hAnsi="Calibri Light" w:cs="Calibri Light"/>
                <w:sz w:val="18"/>
                <w:szCs w:val="18"/>
              </w:rPr>
              <w:t>12</w:t>
            </w:r>
          </w:p>
        </w:tc>
        <w:tc>
          <w:tcPr>
            <w:tcW w:w="1985" w:type="dxa"/>
            <w:vMerge/>
            <w:shd w:val="clear" w:color="auto" w:fill="D9E2F3"/>
          </w:tcPr>
          <w:p w14:paraId="105088F3" w14:textId="77777777" w:rsidR="00102E95" w:rsidRPr="00A51E6E" w:rsidRDefault="00102E95" w:rsidP="00E86A22">
            <w:pPr>
              <w:spacing w:line="276" w:lineRule="auto"/>
              <w:jc w:val="center"/>
              <w:rPr>
                <w:rFonts w:ascii="Calibri Light" w:hAnsi="Calibri Light" w:cs="Calibri Light"/>
                <w:sz w:val="18"/>
                <w:szCs w:val="18"/>
              </w:rPr>
            </w:pPr>
          </w:p>
        </w:tc>
      </w:tr>
      <w:tr w:rsidR="00102E95" w:rsidRPr="00A51E6E" w14:paraId="40ED8B4D" w14:textId="77777777" w:rsidTr="00E86A22">
        <w:trPr>
          <w:jc w:val="center"/>
        </w:trPr>
        <w:tc>
          <w:tcPr>
            <w:tcW w:w="2122" w:type="dxa"/>
            <w:shd w:val="clear" w:color="auto" w:fill="auto"/>
          </w:tcPr>
          <w:p w14:paraId="02C9A517" w14:textId="77777777" w:rsidR="00102E95" w:rsidRPr="00A51E6E" w:rsidRDefault="00102E95" w:rsidP="00E86A22">
            <w:pPr>
              <w:spacing w:line="276" w:lineRule="auto"/>
              <w:jc w:val="center"/>
              <w:rPr>
                <w:rFonts w:ascii="Calibri Light" w:hAnsi="Calibri Light" w:cs="Calibri Light"/>
                <w:sz w:val="18"/>
                <w:szCs w:val="18"/>
              </w:rPr>
            </w:pPr>
            <w:r w:rsidRPr="00A51E6E">
              <w:rPr>
                <w:rFonts w:ascii="Calibri Light" w:hAnsi="Calibri Light" w:cs="Calibri Light"/>
                <w:sz w:val="18"/>
                <w:szCs w:val="18"/>
              </w:rPr>
              <w:t xml:space="preserve">Gasoducto </w:t>
            </w:r>
          </w:p>
        </w:tc>
        <w:tc>
          <w:tcPr>
            <w:tcW w:w="1275" w:type="dxa"/>
            <w:shd w:val="clear" w:color="auto" w:fill="auto"/>
          </w:tcPr>
          <w:p w14:paraId="0CCF1449" w14:textId="77777777" w:rsidR="00102E95" w:rsidRPr="00A51E6E" w:rsidRDefault="00102E95" w:rsidP="00E86A22">
            <w:pPr>
              <w:spacing w:line="276" w:lineRule="auto"/>
              <w:jc w:val="center"/>
              <w:rPr>
                <w:rFonts w:ascii="Calibri Light" w:hAnsi="Calibri Light" w:cs="Calibri Light"/>
                <w:sz w:val="18"/>
                <w:szCs w:val="18"/>
              </w:rPr>
            </w:pPr>
            <w:r w:rsidRPr="00A51E6E">
              <w:rPr>
                <w:rFonts w:ascii="Calibri Light" w:hAnsi="Calibri Light" w:cs="Calibri Light"/>
                <w:sz w:val="18"/>
                <w:szCs w:val="18"/>
              </w:rPr>
              <w:t>1</w:t>
            </w:r>
          </w:p>
        </w:tc>
        <w:tc>
          <w:tcPr>
            <w:tcW w:w="1347" w:type="dxa"/>
            <w:shd w:val="clear" w:color="auto" w:fill="auto"/>
          </w:tcPr>
          <w:p w14:paraId="7F49FF72" w14:textId="77777777" w:rsidR="00102E95" w:rsidRPr="00A51E6E" w:rsidRDefault="00102E95" w:rsidP="00E86A22">
            <w:pPr>
              <w:spacing w:line="276" w:lineRule="auto"/>
              <w:jc w:val="center"/>
              <w:rPr>
                <w:rFonts w:ascii="Calibri Light" w:hAnsi="Calibri Light" w:cs="Calibri Light"/>
                <w:sz w:val="18"/>
                <w:szCs w:val="18"/>
              </w:rPr>
            </w:pPr>
            <w:r w:rsidRPr="00A51E6E">
              <w:rPr>
                <w:rFonts w:ascii="Calibri Light" w:hAnsi="Calibri Light" w:cs="Calibri Light"/>
                <w:sz w:val="18"/>
                <w:szCs w:val="18"/>
              </w:rPr>
              <w:t>0</w:t>
            </w:r>
          </w:p>
        </w:tc>
        <w:tc>
          <w:tcPr>
            <w:tcW w:w="1985" w:type="dxa"/>
            <w:vMerge/>
            <w:shd w:val="clear" w:color="auto" w:fill="auto"/>
          </w:tcPr>
          <w:p w14:paraId="54D9C1D2" w14:textId="77777777" w:rsidR="00102E95" w:rsidRPr="00A51E6E" w:rsidRDefault="00102E95" w:rsidP="00E86A22">
            <w:pPr>
              <w:spacing w:line="276" w:lineRule="auto"/>
              <w:jc w:val="center"/>
              <w:rPr>
                <w:rFonts w:ascii="Calibri Light" w:hAnsi="Calibri Light" w:cs="Calibri Light"/>
                <w:sz w:val="18"/>
                <w:szCs w:val="18"/>
              </w:rPr>
            </w:pPr>
          </w:p>
        </w:tc>
      </w:tr>
      <w:tr w:rsidR="00102E95" w:rsidRPr="00A51E6E" w14:paraId="04AEC146" w14:textId="77777777" w:rsidTr="00E86A22">
        <w:trPr>
          <w:jc w:val="center"/>
        </w:trPr>
        <w:tc>
          <w:tcPr>
            <w:tcW w:w="2122" w:type="dxa"/>
            <w:shd w:val="clear" w:color="auto" w:fill="D9E2F3"/>
          </w:tcPr>
          <w:p w14:paraId="7405E608" w14:textId="77777777" w:rsidR="00102E95" w:rsidRPr="00A51E6E" w:rsidRDefault="00102E95" w:rsidP="00E86A22">
            <w:pPr>
              <w:spacing w:line="276" w:lineRule="auto"/>
              <w:jc w:val="center"/>
              <w:rPr>
                <w:rFonts w:ascii="Calibri Light" w:hAnsi="Calibri Light" w:cs="Calibri Light"/>
                <w:b/>
                <w:sz w:val="18"/>
                <w:szCs w:val="18"/>
              </w:rPr>
            </w:pPr>
            <w:proofErr w:type="gramStart"/>
            <w:r w:rsidRPr="00A51E6E">
              <w:rPr>
                <w:rFonts w:ascii="Calibri Light" w:hAnsi="Calibri Light" w:cs="Calibri Light"/>
                <w:b/>
                <w:sz w:val="18"/>
                <w:szCs w:val="18"/>
              </w:rPr>
              <w:t>Total</w:t>
            </w:r>
            <w:proofErr w:type="gramEnd"/>
            <w:r w:rsidRPr="00A51E6E">
              <w:rPr>
                <w:rFonts w:ascii="Calibri Light" w:hAnsi="Calibri Light" w:cs="Calibri Light"/>
                <w:b/>
                <w:sz w:val="18"/>
                <w:szCs w:val="18"/>
              </w:rPr>
              <w:t xml:space="preserve"> Ductos</w:t>
            </w:r>
          </w:p>
        </w:tc>
        <w:tc>
          <w:tcPr>
            <w:tcW w:w="1275" w:type="dxa"/>
            <w:shd w:val="clear" w:color="auto" w:fill="D9E2F3"/>
          </w:tcPr>
          <w:p w14:paraId="2156B1AD" w14:textId="77777777" w:rsidR="00102E95" w:rsidRPr="00A51E6E" w:rsidRDefault="00102E95" w:rsidP="00E86A22">
            <w:pPr>
              <w:spacing w:line="276" w:lineRule="auto"/>
              <w:jc w:val="center"/>
              <w:rPr>
                <w:rFonts w:ascii="Calibri Light" w:hAnsi="Calibri Light" w:cs="Calibri Light"/>
                <w:b/>
                <w:sz w:val="18"/>
                <w:szCs w:val="18"/>
              </w:rPr>
            </w:pPr>
            <w:r w:rsidRPr="00A51E6E">
              <w:rPr>
                <w:rFonts w:ascii="Calibri Light" w:hAnsi="Calibri Light" w:cs="Calibri Light"/>
                <w:b/>
                <w:sz w:val="18"/>
                <w:szCs w:val="18"/>
              </w:rPr>
              <w:t>37</w:t>
            </w:r>
          </w:p>
        </w:tc>
        <w:tc>
          <w:tcPr>
            <w:tcW w:w="1347" w:type="dxa"/>
            <w:shd w:val="clear" w:color="auto" w:fill="D9E2F3"/>
          </w:tcPr>
          <w:p w14:paraId="15EAFB90" w14:textId="77777777" w:rsidR="00102E95" w:rsidRPr="00A51E6E" w:rsidRDefault="00102E95" w:rsidP="00E86A22">
            <w:pPr>
              <w:spacing w:line="276" w:lineRule="auto"/>
              <w:jc w:val="center"/>
              <w:rPr>
                <w:rFonts w:ascii="Calibri Light" w:hAnsi="Calibri Light" w:cs="Calibri Light"/>
                <w:b/>
                <w:sz w:val="18"/>
                <w:szCs w:val="18"/>
              </w:rPr>
            </w:pPr>
            <w:r w:rsidRPr="00A51E6E">
              <w:rPr>
                <w:rFonts w:ascii="Calibri Light" w:hAnsi="Calibri Light" w:cs="Calibri Light"/>
                <w:b/>
                <w:sz w:val="18"/>
                <w:szCs w:val="18"/>
              </w:rPr>
              <w:t>30</w:t>
            </w:r>
          </w:p>
        </w:tc>
        <w:tc>
          <w:tcPr>
            <w:tcW w:w="1985" w:type="dxa"/>
            <w:vMerge/>
            <w:shd w:val="clear" w:color="auto" w:fill="D9E2F3"/>
          </w:tcPr>
          <w:p w14:paraId="72C18240" w14:textId="77777777" w:rsidR="00102E95" w:rsidRPr="00A51E6E" w:rsidRDefault="00102E95" w:rsidP="00E86A22">
            <w:pPr>
              <w:spacing w:line="276" w:lineRule="auto"/>
              <w:jc w:val="center"/>
              <w:rPr>
                <w:rFonts w:ascii="Calibri Light" w:hAnsi="Calibri Light" w:cs="Calibri Light"/>
                <w:sz w:val="18"/>
                <w:szCs w:val="18"/>
              </w:rPr>
            </w:pPr>
          </w:p>
        </w:tc>
      </w:tr>
    </w:tbl>
    <w:p w14:paraId="3F393CD2" w14:textId="77777777" w:rsidR="00102E95" w:rsidRPr="00A51E6E" w:rsidRDefault="00102E95" w:rsidP="00102E95">
      <w:pPr>
        <w:autoSpaceDE w:val="0"/>
        <w:autoSpaceDN w:val="0"/>
        <w:adjustRightInd w:val="0"/>
        <w:spacing w:after="59"/>
        <w:jc w:val="center"/>
        <w:rPr>
          <w:rFonts w:ascii="Calibri Light" w:hAnsi="Calibri Light" w:cs="Calibri Light"/>
          <w:color w:val="7F7F7F"/>
          <w:sz w:val="20"/>
        </w:rPr>
      </w:pPr>
      <w:r w:rsidRPr="00A51E6E">
        <w:rPr>
          <w:rFonts w:ascii="Calibri Light" w:hAnsi="Calibri Light" w:cs="Calibri Light"/>
          <w:color w:val="7F7F7F"/>
          <w:sz w:val="20"/>
        </w:rPr>
        <w:t>Fuente: ARCH- Dirección Técnica de Control de Transporte, Almacenamiento y Movimiento</w:t>
      </w:r>
    </w:p>
    <w:p w14:paraId="11DF2C71" w14:textId="77777777" w:rsidR="00102E95" w:rsidRPr="00A51E6E" w:rsidRDefault="00102E95" w:rsidP="00102E95">
      <w:pPr>
        <w:autoSpaceDE w:val="0"/>
        <w:autoSpaceDN w:val="0"/>
        <w:adjustRightInd w:val="0"/>
        <w:spacing w:after="59"/>
        <w:jc w:val="center"/>
        <w:rPr>
          <w:rFonts w:ascii="Calibri Light" w:hAnsi="Calibri Light" w:cs="Calibri Light"/>
          <w:color w:val="7F7F7F"/>
          <w:sz w:val="20"/>
        </w:rPr>
      </w:pPr>
    </w:p>
    <w:p w14:paraId="39B8B0F6" w14:textId="77777777" w:rsidR="00102E95" w:rsidRPr="00A51E6E" w:rsidRDefault="00102E95" w:rsidP="00102E95">
      <w:pPr>
        <w:pStyle w:val="Prrafodelista"/>
        <w:widowControl w:val="0"/>
        <w:numPr>
          <w:ilvl w:val="0"/>
          <w:numId w:val="72"/>
        </w:numPr>
        <w:tabs>
          <w:tab w:val="left" w:pos="849"/>
          <w:tab w:val="left" w:pos="862"/>
        </w:tabs>
        <w:autoSpaceDE w:val="0"/>
        <w:autoSpaceDN w:val="0"/>
        <w:spacing w:before="1"/>
        <w:ind w:right="133"/>
        <w:jc w:val="both"/>
        <w:rPr>
          <w:rFonts w:ascii="Calibri Light" w:hAnsi="Calibri Light" w:cs="Calibri Light"/>
          <w:sz w:val="22"/>
          <w:szCs w:val="22"/>
        </w:rPr>
      </w:pPr>
      <w:r w:rsidRPr="00A51E6E">
        <w:rPr>
          <w:rFonts w:ascii="Calibri Light" w:hAnsi="Calibri Light" w:cs="Calibri Light"/>
          <w:sz w:val="22"/>
          <w:szCs w:val="22"/>
        </w:rPr>
        <w:t xml:space="preserve">Se realizó la fiscalización de 42.670.314,73 barriles netos de petróleo crudo entregado por empresas estatales, comparándola con el mismo período del año 2023 hubo una disminución del 6,16%. Para el caso de las empresas privadas, la ARCH realizó la fiscalización de 11.951.495,73 barriles netos de petróleo, teniendo un aumento del 12,78% con respecto al mismo período del año 2023. </w:t>
      </w:r>
    </w:p>
    <w:p w14:paraId="7D6992E6" w14:textId="77777777" w:rsidR="00102E95" w:rsidRPr="00A51E6E" w:rsidRDefault="00102E95" w:rsidP="00102E95">
      <w:pPr>
        <w:pStyle w:val="Prrafodelista"/>
        <w:widowControl w:val="0"/>
        <w:numPr>
          <w:ilvl w:val="0"/>
          <w:numId w:val="72"/>
        </w:numPr>
        <w:tabs>
          <w:tab w:val="left" w:pos="849"/>
          <w:tab w:val="left" w:pos="862"/>
        </w:tabs>
        <w:autoSpaceDE w:val="0"/>
        <w:autoSpaceDN w:val="0"/>
        <w:spacing w:before="1"/>
        <w:ind w:right="133"/>
        <w:jc w:val="both"/>
        <w:rPr>
          <w:rFonts w:ascii="Calibri Light" w:hAnsi="Calibri Light" w:cs="Calibri Light"/>
          <w:sz w:val="22"/>
          <w:szCs w:val="22"/>
        </w:rPr>
      </w:pPr>
      <w:r w:rsidRPr="00A51E6E">
        <w:rPr>
          <w:rFonts w:ascii="Calibri Light" w:hAnsi="Calibri Light" w:cs="Calibri Light"/>
          <w:sz w:val="22"/>
          <w:szCs w:val="22"/>
        </w:rPr>
        <w:t xml:space="preserve">Por el Oleoducto de Crudo Pesados OCP, en el período agosto – diciembre del 2024, se recibió a través de los diferentes centros de fiscalización y entrega hacia la Estación Amazonas un volumen de 31.487.861,82 </w:t>
      </w:r>
      <w:proofErr w:type="spellStart"/>
      <w:r w:rsidRPr="00A51E6E">
        <w:rPr>
          <w:rFonts w:ascii="Calibri Light" w:hAnsi="Calibri Light" w:cs="Calibri Light"/>
          <w:sz w:val="22"/>
          <w:szCs w:val="22"/>
        </w:rPr>
        <w:t>Bls</w:t>
      </w:r>
      <w:proofErr w:type="spellEnd"/>
      <w:r w:rsidRPr="00A51E6E">
        <w:rPr>
          <w:rFonts w:ascii="Calibri Light" w:hAnsi="Calibri Light" w:cs="Calibri Light"/>
          <w:sz w:val="22"/>
          <w:szCs w:val="22"/>
        </w:rPr>
        <w:t xml:space="preserve"> </w:t>
      </w:r>
      <w:proofErr w:type="spellStart"/>
      <w:r w:rsidRPr="00A51E6E">
        <w:rPr>
          <w:rFonts w:ascii="Calibri Light" w:hAnsi="Calibri Light" w:cs="Calibri Light"/>
          <w:sz w:val="22"/>
          <w:szCs w:val="22"/>
        </w:rPr>
        <w:t>Nts</w:t>
      </w:r>
      <w:proofErr w:type="spellEnd"/>
      <w:r w:rsidRPr="00A51E6E">
        <w:rPr>
          <w:rFonts w:ascii="Calibri Light" w:hAnsi="Calibri Light" w:cs="Calibri Light"/>
          <w:sz w:val="22"/>
          <w:szCs w:val="22"/>
        </w:rPr>
        <w:t xml:space="preserve">., comparando con el mismo período del año 2023, la recepción de crudo experimenta un aumento de 25,58%, mientras que la entrega de crudo desde la Estación Amazonas hacia el Terminal Marítimo OCP se bombeo un volumen de 22.545.603,21 </w:t>
      </w:r>
      <w:proofErr w:type="spellStart"/>
      <w:r w:rsidRPr="00A51E6E">
        <w:rPr>
          <w:rFonts w:ascii="Calibri Light" w:hAnsi="Calibri Light" w:cs="Calibri Light"/>
          <w:sz w:val="22"/>
          <w:szCs w:val="22"/>
        </w:rPr>
        <w:t>Bls</w:t>
      </w:r>
      <w:proofErr w:type="spellEnd"/>
      <w:r w:rsidRPr="00A51E6E">
        <w:rPr>
          <w:rFonts w:ascii="Calibri Light" w:hAnsi="Calibri Light" w:cs="Calibri Light"/>
          <w:sz w:val="22"/>
          <w:szCs w:val="22"/>
        </w:rPr>
        <w:t xml:space="preserve">. </w:t>
      </w:r>
      <w:proofErr w:type="spellStart"/>
      <w:r w:rsidRPr="00A51E6E">
        <w:rPr>
          <w:rFonts w:ascii="Calibri Light" w:hAnsi="Calibri Light" w:cs="Calibri Light"/>
          <w:sz w:val="22"/>
          <w:szCs w:val="22"/>
        </w:rPr>
        <w:t>Bts</w:t>
      </w:r>
      <w:proofErr w:type="spellEnd"/>
      <w:r w:rsidRPr="00A51E6E">
        <w:rPr>
          <w:rFonts w:ascii="Calibri Light" w:hAnsi="Calibri Light" w:cs="Calibri Light"/>
          <w:sz w:val="22"/>
          <w:szCs w:val="22"/>
        </w:rPr>
        <w:t xml:space="preserve">. teniendo un aumento del 8,15% con respecto al mismo período del año 2023. </w:t>
      </w:r>
    </w:p>
    <w:p w14:paraId="563570F9" w14:textId="77777777" w:rsidR="00102E95" w:rsidRPr="00A51E6E" w:rsidRDefault="00102E95" w:rsidP="00102E95">
      <w:pPr>
        <w:pStyle w:val="Prrafodelista"/>
        <w:widowControl w:val="0"/>
        <w:numPr>
          <w:ilvl w:val="0"/>
          <w:numId w:val="72"/>
        </w:numPr>
        <w:tabs>
          <w:tab w:val="left" w:pos="849"/>
          <w:tab w:val="left" w:pos="862"/>
        </w:tabs>
        <w:autoSpaceDE w:val="0"/>
        <w:autoSpaceDN w:val="0"/>
        <w:spacing w:before="1"/>
        <w:ind w:right="133"/>
        <w:jc w:val="both"/>
        <w:rPr>
          <w:rFonts w:ascii="Calibri Light" w:hAnsi="Calibri Light" w:cs="Calibri Light"/>
          <w:sz w:val="22"/>
          <w:szCs w:val="22"/>
        </w:rPr>
      </w:pPr>
      <w:r w:rsidRPr="00A51E6E">
        <w:rPr>
          <w:rFonts w:ascii="Calibri Light" w:hAnsi="Calibri Light" w:cs="Calibri Light"/>
          <w:sz w:val="22"/>
          <w:szCs w:val="22"/>
        </w:rPr>
        <w:t xml:space="preserve">En el Sistema de Oleoducto Transecuatoriano SOTE, en el período agosto – diciembre del año 2024, se bombeó 38.422.245,48 barriles netos, que comparado con el volumen bombeado en el mismo período del año 2023 produce un aumento del 3,51%. </w:t>
      </w:r>
    </w:p>
    <w:p w14:paraId="5B3BDE31" w14:textId="77777777" w:rsidR="00102E95" w:rsidRPr="00A51E6E" w:rsidRDefault="00102E95" w:rsidP="00102E95">
      <w:pPr>
        <w:pStyle w:val="Prrafodelista"/>
        <w:widowControl w:val="0"/>
        <w:numPr>
          <w:ilvl w:val="0"/>
          <w:numId w:val="72"/>
        </w:numPr>
        <w:tabs>
          <w:tab w:val="left" w:pos="849"/>
          <w:tab w:val="left" w:pos="862"/>
        </w:tabs>
        <w:autoSpaceDE w:val="0"/>
        <w:autoSpaceDN w:val="0"/>
        <w:spacing w:before="1"/>
        <w:ind w:right="133"/>
        <w:jc w:val="both"/>
        <w:rPr>
          <w:rFonts w:ascii="Calibri Light" w:hAnsi="Calibri Light" w:cs="Calibri Light"/>
          <w:sz w:val="22"/>
          <w:szCs w:val="22"/>
        </w:rPr>
      </w:pPr>
      <w:r w:rsidRPr="00A51E6E">
        <w:rPr>
          <w:rFonts w:ascii="Calibri Light" w:hAnsi="Calibri Light" w:cs="Calibri Light"/>
          <w:sz w:val="22"/>
          <w:szCs w:val="22"/>
        </w:rPr>
        <w:lastRenderedPageBreak/>
        <w:t xml:space="preserve">Participación en el proceso de transición del Oleoductos de Crudos Pesados OCP S.A. al Estado ecuatoriano. </w:t>
      </w:r>
    </w:p>
    <w:p w14:paraId="6DCE2314" w14:textId="4DE46053" w:rsidR="00D56429" w:rsidRDefault="00D56429" w:rsidP="006E30AC">
      <w:pPr>
        <w:rPr>
          <w:rFonts w:ascii="Calibri Light" w:hAnsi="Calibri Light" w:cs="Calibri Light"/>
          <w:color w:val="7F7F7F"/>
          <w:sz w:val="20"/>
        </w:rPr>
      </w:pPr>
    </w:p>
    <w:p w14:paraId="43E5F64C" w14:textId="726C6F55" w:rsidR="00102E95" w:rsidRPr="00E23641" w:rsidRDefault="00E23641" w:rsidP="00E23641">
      <w:pPr>
        <w:pStyle w:val="Ttulo2"/>
        <w:rPr>
          <w:sz w:val="24"/>
          <w:szCs w:val="24"/>
        </w:rPr>
      </w:pPr>
      <w:bookmarkStart w:id="144" w:name="_Toc197335099"/>
      <w:bookmarkStart w:id="145" w:name="_Toc199759559"/>
      <w:r w:rsidRPr="00E23641">
        <w:rPr>
          <w:sz w:val="24"/>
          <w:szCs w:val="24"/>
        </w:rPr>
        <w:t xml:space="preserve">Gestión </w:t>
      </w:r>
      <w:r>
        <w:rPr>
          <w:sz w:val="24"/>
          <w:szCs w:val="24"/>
        </w:rPr>
        <w:t>d</w:t>
      </w:r>
      <w:r w:rsidRPr="00E23641">
        <w:rPr>
          <w:sz w:val="24"/>
          <w:szCs w:val="24"/>
        </w:rPr>
        <w:t>e E</w:t>
      </w:r>
      <w:r>
        <w:rPr>
          <w:sz w:val="24"/>
          <w:szCs w:val="24"/>
        </w:rPr>
        <w:t>P</w:t>
      </w:r>
      <w:r w:rsidRPr="00E23641">
        <w:rPr>
          <w:sz w:val="24"/>
          <w:szCs w:val="24"/>
        </w:rPr>
        <w:t xml:space="preserve"> Petroecuador</w:t>
      </w:r>
      <w:bookmarkEnd w:id="144"/>
      <w:bookmarkEnd w:id="145"/>
    </w:p>
    <w:p w14:paraId="68268BDC" w14:textId="77777777" w:rsidR="00102E95" w:rsidRPr="00A51E6E" w:rsidRDefault="00102E95" w:rsidP="00102E95">
      <w:pPr>
        <w:rPr>
          <w:rFonts w:ascii="Calibri Light" w:eastAsia="Times New Roman" w:hAnsi="Calibri Light" w:cs="Calibri Light"/>
          <w:b/>
          <w:color w:val="2F5496"/>
          <w:sz w:val="28"/>
          <w:szCs w:val="32"/>
        </w:rPr>
      </w:pPr>
    </w:p>
    <w:p w14:paraId="29D0775A" w14:textId="08E41AFC" w:rsidR="00102E95" w:rsidRPr="00213F2B" w:rsidRDefault="00102E95" w:rsidP="00213F2B">
      <w:pPr>
        <w:pStyle w:val="Ttulo4"/>
        <w:rPr>
          <w:i w:val="0"/>
          <w:sz w:val="22"/>
          <w:szCs w:val="22"/>
        </w:rPr>
      </w:pPr>
      <w:bookmarkStart w:id="146" w:name="_Toc195709785"/>
      <w:bookmarkStart w:id="147" w:name="_Toc197335100"/>
      <w:r w:rsidRPr="00213F2B">
        <w:rPr>
          <w:i w:val="0"/>
          <w:sz w:val="22"/>
          <w:szCs w:val="22"/>
        </w:rPr>
        <w:t xml:space="preserve">Mantener la </w:t>
      </w:r>
      <w:r w:rsidR="00140159" w:rsidRPr="00213F2B">
        <w:rPr>
          <w:i w:val="0"/>
          <w:sz w:val="22"/>
          <w:szCs w:val="22"/>
        </w:rPr>
        <w:t>S</w:t>
      </w:r>
      <w:r w:rsidRPr="00213F2B">
        <w:rPr>
          <w:i w:val="0"/>
          <w:sz w:val="22"/>
          <w:szCs w:val="22"/>
        </w:rPr>
        <w:t xml:space="preserve">ostenibilidad </w:t>
      </w:r>
      <w:r w:rsidR="00140159" w:rsidRPr="00213F2B">
        <w:rPr>
          <w:i w:val="0"/>
          <w:sz w:val="22"/>
          <w:szCs w:val="22"/>
        </w:rPr>
        <w:t>Fi</w:t>
      </w:r>
      <w:r w:rsidRPr="00213F2B">
        <w:rPr>
          <w:i w:val="0"/>
          <w:sz w:val="22"/>
          <w:szCs w:val="22"/>
        </w:rPr>
        <w:t>nanciera</w:t>
      </w:r>
      <w:bookmarkEnd w:id="146"/>
      <w:bookmarkEnd w:id="147"/>
    </w:p>
    <w:p w14:paraId="3D7F77E9" w14:textId="77777777" w:rsidR="00102E95" w:rsidRPr="00F12281" w:rsidRDefault="00102E95" w:rsidP="00102E95"/>
    <w:p w14:paraId="5E27F2AB" w14:textId="77777777" w:rsidR="00102E95" w:rsidRPr="00A51E6E" w:rsidRDefault="00102E95" w:rsidP="00102E95">
      <w:pPr>
        <w:jc w:val="both"/>
        <w:rPr>
          <w:rFonts w:ascii="Calibri Light" w:hAnsi="Calibri Light" w:cs="Calibri Light"/>
          <w:sz w:val="22"/>
          <w:szCs w:val="22"/>
        </w:rPr>
      </w:pPr>
      <w:r w:rsidRPr="00A51E6E">
        <w:rPr>
          <w:rFonts w:ascii="Calibri Light" w:hAnsi="Calibri Light" w:cs="Calibri Light"/>
          <w:sz w:val="22"/>
          <w:szCs w:val="22"/>
        </w:rPr>
        <w:t>Para mantener la sostenibilidad financiera se plantearon los indicadores que se detallan a continuación con sus respectivos resultados:</w:t>
      </w:r>
    </w:p>
    <w:p w14:paraId="3D957FD5" w14:textId="77777777" w:rsidR="00102E95" w:rsidRPr="00A51E6E" w:rsidRDefault="00102E95" w:rsidP="00102E95">
      <w:pPr>
        <w:jc w:val="both"/>
        <w:rPr>
          <w:rFonts w:ascii="Calibri Light" w:hAnsi="Calibri Light" w:cs="Calibri Light"/>
          <w:sz w:val="22"/>
          <w:szCs w:val="22"/>
        </w:rPr>
      </w:pPr>
    </w:p>
    <w:p w14:paraId="2B55F5EE" w14:textId="77777777" w:rsidR="00102E95" w:rsidRPr="00A51E6E" w:rsidRDefault="00102E95" w:rsidP="00102E95">
      <w:pPr>
        <w:pStyle w:val="Prrafodelista"/>
        <w:widowControl w:val="0"/>
        <w:numPr>
          <w:ilvl w:val="0"/>
          <w:numId w:val="72"/>
        </w:numPr>
        <w:tabs>
          <w:tab w:val="left" w:pos="849"/>
          <w:tab w:val="left" w:pos="862"/>
        </w:tabs>
        <w:autoSpaceDE w:val="0"/>
        <w:autoSpaceDN w:val="0"/>
        <w:spacing w:before="1"/>
        <w:ind w:right="133"/>
        <w:jc w:val="both"/>
        <w:rPr>
          <w:rFonts w:ascii="Calibri Light" w:hAnsi="Calibri Light" w:cs="Calibri Light"/>
          <w:sz w:val="22"/>
          <w:szCs w:val="22"/>
        </w:rPr>
      </w:pPr>
      <w:r w:rsidRPr="00A51E6E">
        <w:rPr>
          <w:rFonts w:ascii="Calibri Light" w:hAnsi="Calibri Light" w:cs="Calibri Light"/>
          <w:sz w:val="22"/>
          <w:szCs w:val="22"/>
        </w:rPr>
        <w:t>Ingresos por comercialización de crudo y derivados, en el año 2024 se planificó USD 13.975.276.618,85 e ingresó USD 14.657.362.684,13 con un cumplimiento del 104,88%.</w:t>
      </w:r>
    </w:p>
    <w:p w14:paraId="1BC8865A" w14:textId="77777777" w:rsidR="00102E95" w:rsidRPr="00A51E6E" w:rsidRDefault="00102E95" w:rsidP="00102E95">
      <w:pPr>
        <w:pStyle w:val="Prrafodelista"/>
        <w:widowControl w:val="0"/>
        <w:numPr>
          <w:ilvl w:val="0"/>
          <w:numId w:val="72"/>
        </w:numPr>
        <w:tabs>
          <w:tab w:val="left" w:pos="849"/>
          <w:tab w:val="left" w:pos="862"/>
        </w:tabs>
        <w:autoSpaceDE w:val="0"/>
        <w:autoSpaceDN w:val="0"/>
        <w:spacing w:before="1"/>
        <w:ind w:right="133"/>
        <w:jc w:val="both"/>
        <w:rPr>
          <w:rFonts w:ascii="Calibri Light" w:hAnsi="Calibri Light" w:cs="Calibri Light"/>
          <w:sz w:val="22"/>
          <w:szCs w:val="22"/>
        </w:rPr>
      </w:pPr>
      <w:r w:rsidRPr="00A51E6E">
        <w:rPr>
          <w:rFonts w:ascii="Calibri Light" w:hAnsi="Calibri Light" w:cs="Calibri Light"/>
          <w:sz w:val="22"/>
          <w:szCs w:val="22"/>
        </w:rPr>
        <w:t>Ejecución presupuestaria de inversiones, en el año 2024 la meta del presupuesto codificado fue de USD 2.068.301.198,07; se ejecutó USD 1.929.883.452,49 obteniendo un cumplimiento del 93,31%.</w:t>
      </w:r>
    </w:p>
    <w:p w14:paraId="76D6EAD5" w14:textId="77777777" w:rsidR="00102E95" w:rsidRPr="00A51E6E" w:rsidRDefault="00102E95" w:rsidP="00102E95">
      <w:pPr>
        <w:pStyle w:val="Prrafodelista"/>
        <w:widowControl w:val="0"/>
        <w:numPr>
          <w:ilvl w:val="0"/>
          <w:numId w:val="72"/>
        </w:numPr>
        <w:tabs>
          <w:tab w:val="left" w:pos="849"/>
          <w:tab w:val="left" w:pos="862"/>
        </w:tabs>
        <w:autoSpaceDE w:val="0"/>
        <w:autoSpaceDN w:val="0"/>
        <w:spacing w:before="1"/>
        <w:ind w:right="133"/>
        <w:jc w:val="both"/>
        <w:rPr>
          <w:rFonts w:ascii="Calibri Light" w:hAnsi="Calibri Light" w:cs="Calibri Light"/>
          <w:sz w:val="22"/>
          <w:szCs w:val="22"/>
        </w:rPr>
      </w:pPr>
      <w:r w:rsidRPr="00A51E6E">
        <w:rPr>
          <w:rFonts w:ascii="Calibri Light" w:hAnsi="Calibri Light" w:cs="Calibri Light"/>
          <w:sz w:val="22"/>
          <w:szCs w:val="22"/>
        </w:rPr>
        <w:t>Ejecución presupuestaria de costos y gastos, en el año 2024 la meta del presupuesto codificado fue de USD 2.415.304.160,21; se ejecutó USD 2.262.953.931,05 obteniendo un cumplimiento del 93,69%.</w:t>
      </w:r>
    </w:p>
    <w:p w14:paraId="2DFBD9CD" w14:textId="77777777" w:rsidR="00102E95" w:rsidRPr="00A51E6E" w:rsidRDefault="00102E95" w:rsidP="00102E95">
      <w:pPr>
        <w:pStyle w:val="Prrafodelista"/>
        <w:widowControl w:val="0"/>
        <w:numPr>
          <w:ilvl w:val="0"/>
          <w:numId w:val="72"/>
        </w:numPr>
        <w:tabs>
          <w:tab w:val="left" w:pos="849"/>
          <w:tab w:val="left" w:pos="862"/>
        </w:tabs>
        <w:autoSpaceDE w:val="0"/>
        <w:autoSpaceDN w:val="0"/>
        <w:spacing w:before="1"/>
        <w:ind w:right="133"/>
        <w:jc w:val="both"/>
        <w:rPr>
          <w:rFonts w:ascii="Calibri Light" w:hAnsi="Calibri Light" w:cs="Calibri Light"/>
          <w:sz w:val="22"/>
          <w:szCs w:val="22"/>
        </w:rPr>
      </w:pPr>
      <w:r w:rsidRPr="00A51E6E">
        <w:rPr>
          <w:rFonts w:ascii="Calibri Light" w:hAnsi="Calibri Light" w:cs="Calibri Light"/>
          <w:sz w:val="22"/>
          <w:szCs w:val="22"/>
        </w:rPr>
        <w:t>Costo total por barril de petróleo crudo, en el año 2024 el costo fue de $22,81 USD/</w:t>
      </w:r>
      <w:proofErr w:type="spellStart"/>
      <w:r w:rsidRPr="00A51E6E">
        <w:rPr>
          <w:rFonts w:ascii="Calibri Light" w:hAnsi="Calibri Light" w:cs="Calibri Light"/>
          <w:sz w:val="22"/>
          <w:szCs w:val="22"/>
        </w:rPr>
        <w:t>Bls</w:t>
      </w:r>
      <w:proofErr w:type="spellEnd"/>
      <w:r w:rsidRPr="00A51E6E">
        <w:rPr>
          <w:rFonts w:ascii="Calibri Light" w:hAnsi="Calibri Light" w:cs="Calibri Light"/>
          <w:sz w:val="22"/>
          <w:szCs w:val="22"/>
        </w:rPr>
        <w:t xml:space="preserve">., siendo 0,96 USD / </w:t>
      </w:r>
      <w:proofErr w:type="spellStart"/>
      <w:r w:rsidRPr="00A51E6E">
        <w:rPr>
          <w:rFonts w:ascii="Calibri Light" w:hAnsi="Calibri Light" w:cs="Calibri Light"/>
          <w:sz w:val="22"/>
          <w:szCs w:val="22"/>
        </w:rPr>
        <w:t>Bls</w:t>
      </w:r>
      <w:proofErr w:type="spellEnd"/>
      <w:r w:rsidRPr="00A51E6E">
        <w:rPr>
          <w:rFonts w:ascii="Calibri Light" w:hAnsi="Calibri Light" w:cs="Calibri Light"/>
          <w:sz w:val="22"/>
          <w:szCs w:val="22"/>
        </w:rPr>
        <w:t xml:space="preserve">. mayor a la meta definida de $21,85 USD / </w:t>
      </w:r>
      <w:proofErr w:type="spellStart"/>
      <w:r w:rsidRPr="00A51E6E">
        <w:rPr>
          <w:rFonts w:ascii="Calibri Light" w:hAnsi="Calibri Light" w:cs="Calibri Light"/>
          <w:sz w:val="22"/>
          <w:szCs w:val="22"/>
        </w:rPr>
        <w:t>Bls</w:t>
      </w:r>
      <w:proofErr w:type="spellEnd"/>
      <w:r w:rsidRPr="00A51E6E">
        <w:rPr>
          <w:rFonts w:ascii="Calibri Light" w:hAnsi="Calibri Light" w:cs="Calibri Light"/>
          <w:sz w:val="22"/>
          <w:szCs w:val="22"/>
        </w:rPr>
        <w:t>., por lo cual, el indicador reflejó un cumplimiento anual del 95,60%.</w:t>
      </w:r>
    </w:p>
    <w:p w14:paraId="31DF6105" w14:textId="77777777" w:rsidR="00102E95" w:rsidRPr="00A51E6E" w:rsidRDefault="00102E95" w:rsidP="00102E95">
      <w:pPr>
        <w:pStyle w:val="Prrafodelista"/>
        <w:widowControl w:val="0"/>
        <w:numPr>
          <w:ilvl w:val="0"/>
          <w:numId w:val="72"/>
        </w:numPr>
        <w:tabs>
          <w:tab w:val="left" w:pos="849"/>
          <w:tab w:val="left" w:pos="862"/>
        </w:tabs>
        <w:autoSpaceDE w:val="0"/>
        <w:autoSpaceDN w:val="0"/>
        <w:spacing w:before="1"/>
        <w:ind w:right="133"/>
        <w:jc w:val="both"/>
        <w:rPr>
          <w:rFonts w:ascii="Calibri Light" w:hAnsi="Calibri Light" w:cs="Calibri Light"/>
          <w:sz w:val="22"/>
          <w:szCs w:val="22"/>
        </w:rPr>
      </w:pPr>
      <w:r w:rsidRPr="00A51E6E">
        <w:rPr>
          <w:rFonts w:ascii="Calibri Light" w:hAnsi="Calibri Light" w:cs="Calibri Light"/>
          <w:sz w:val="22"/>
          <w:szCs w:val="22"/>
        </w:rPr>
        <w:t>Costo operativo de transporte y almacenamiento de crudo por barril, en el año 2024 los gastos fueron de USD 118.481.257,85 y los barriles de crudo   transportados fueron 104.348.303,29 por lo cual el costo fue $1,135 USD/</w:t>
      </w:r>
      <w:proofErr w:type="spellStart"/>
      <w:r w:rsidRPr="00A51E6E">
        <w:rPr>
          <w:rFonts w:ascii="Calibri Light" w:hAnsi="Calibri Light" w:cs="Calibri Light"/>
          <w:sz w:val="22"/>
          <w:szCs w:val="22"/>
        </w:rPr>
        <w:t>Bls</w:t>
      </w:r>
      <w:proofErr w:type="spellEnd"/>
      <w:r w:rsidRPr="00A51E6E">
        <w:rPr>
          <w:rFonts w:ascii="Calibri Light" w:hAnsi="Calibri Light" w:cs="Calibri Light"/>
          <w:sz w:val="22"/>
          <w:szCs w:val="22"/>
        </w:rPr>
        <w:t xml:space="preserve">. </w:t>
      </w:r>
    </w:p>
    <w:p w14:paraId="6199C499" w14:textId="77777777" w:rsidR="00102E95" w:rsidRPr="00A51E6E" w:rsidRDefault="00102E95" w:rsidP="00102E95">
      <w:pPr>
        <w:pStyle w:val="Prrafodelista"/>
        <w:widowControl w:val="0"/>
        <w:numPr>
          <w:ilvl w:val="0"/>
          <w:numId w:val="72"/>
        </w:numPr>
        <w:tabs>
          <w:tab w:val="left" w:pos="849"/>
          <w:tab w:val="left" w:pos="862"/>
        </w:tabs>
        <w:autoSpaceDE w:val="0"/>
        <w:autoSpaceDN w:val="0"/>
        <w:spacing w:before="1"/>
        <w:ind w:right="133"/>
        <w:jc w:val="both"/>
        <w:rPr>
          <w:rFonts w:ascii="Calibri Light" w:hAnsi="Calibri Light" w:cs="Calibri Light"/>
          <w:sz w:val="22"/>
          <w:szCs w:val="22"/>
        </w:rPr>
      </w:pPr>
      <w:r w:rsidRPr="00A51E6E">
        <w:rPr>
          <w:rFonts w:ascii="Calibri Light" w:hAnsi="Calibri Light" w:cs="Calibri Light"/>
          <w:sz w:val="22"/>
          <w:szCs w:val="22"/>
        </w:rPr>
        <w:t>Costo operativo de transporte y almacenamiento de derivados por barril, en el año 2024 los gastos fueron de USD 250.111.177,90 y los barriles de crudo transportados fueron 121.783.449,45 por lo cual es costo fue $2,054 USD/</w:t>
      </w:r>
      <w:proofErr w:type="spellStart"/>
      <w:r w:rsidRPr="00A51E6E">
        <w:rPr>
          <w:rFonts w:ascii="Calibri Light" w:hAnsi="Calibri Light" w:cs="Calibri Light"/>
          <w:sz w:val="22"/>
          <w:szCs w:val="22"/>
        </w:rPr>
        <w:t>Bls</w:t>
      </w:r>
      <w:proofErr w:type="spellEnd"/>
      <w:r w:rsidRPr="00A51E6E">
        <w:rPr>
          <w:rFonts w:ascii="Calibri Light" w:hAnsi="Calibri Light" w:cs="Calibri Light"/>
          <w:sz w:val="22"/>
          <w:szCs w:val="22"/>
        </w:rPr>
        <w:t>.</w:t>
      </w:r>
    </w:p>
    <w:p w14:paraId="6317FBDE" w14:textId="77777777" w:rsidR="00102E95" w:rsidRPr="00A51E6E" w:rsidRDefault="00102E95" w:rsidP="00102E95">
      <w:pPr>
        <w:pStyle w:val="Prrafodelista"/>
        <w:widowControl w:val="0"/>
        <w:numPr>
          <w:ilvl w:val="0"/>
          <w:numId w:val="72"/>
        </w:numPr>
        <w:tabs>
          <w:tab w:val="left" w:pos="849"/>
          <w:tab w:val="left" w:pos="862"/>
        </w:tabs>
        <w:autoSpaceDE w:val="0"/>
        <w:autoSpaceDN w:val="0"/>
        <w:spacing w:before="1"/>
        <w:ind w:right="133"/>
        <w:jc w:val="both"/>
        <w:rPr>
          <w:rFonts w:ascii="Calibri Light" w:hAnsi="Calibri Light" w:cs="Calibri Light"/>
          <w:sz w:val="22"/>
          <w:szCs w:val="22"/>
        </w:rPr>
      </w:pPr>
      <w:r w:rsidRPr="00A51E6E">
        <w:rPr>
          <w:rFonts w:ascii="Calibri Light" w:hAnsi="Calibri Light" w:cs="Calibri Light"/>
          <w:sz w:val="22"/>
          <w:szCs w:val="22"/>
        </w:rPr>
        <w:t>Costo operativo de refinación de derivados por barril, en el año 2024 los gastos fueron de USD 345.604.511,40 y los barriles refinados fueron 44.417.250,88 por lo cual es costo fue $7,781 USD/</w:t>
      </w:r>
      <w:proofErr w:type="spellStart"/>
      <w:r w:rsidRPr="00A51E6E">
        <w:rPr>
          <w:rFonts w:ascii="Calibri Light" w:hAnsi="Calibri Light" w:cs="Calibri Light"/>
          <w:sz w:val="22"/>
          <w:szCs w:val="22"/>
        </w:rPr>
        <w:t>Bls</w:t>
      </w:r>
      <w:proofErr w:type="spellEnd"/>
      <w:r w:rsidRPr="00A51E6E">
        <w:rPr>
          <w:rFonts w:ascii="Calibri Light" w:hAnsi="Calibri Light" w:cs="Calibri Light"/>
          <w:sz w:val="22"/>
          <w:szCs w:val="22"/>
        </w:rPr>
        <w:t>.</w:t>
      </w:r>
    </w:p>
    <w:p w14:paraId="2A266F22" w14:textId="77777777" w:rsidR="00102E95" w:rsidRPr="00A51E6E" w:rsidRDefault="00102E95" w:rsidP="00102E95">
      <w:pPr>
        <w:pStyle w:val="Prrafodelista"/>
        <w:widowControl w:val="0"/>
        <w:numPr>
          <w:ilvl w:val="0"/>
          <w:numId w:val="72"/>
        </w:numPr>
        <w:tabs>
          <w:tab w:val="left" w:pos="849"/>
          <w:tab w:val="left" w:pos="862"/>
        </w:tabs>
        <w:autoSpaceDE w:val="0"/>
        <w:autoSpaceDN w:val="0"/>
        <w:spacing w:before="1"/>
        <w:ind w:right="133"/>
        <w:jc w:val="both"/>
        <w:rPr>
          <w:rFonts w:ascii="Calibri Light" w:hAnsi="Calibri Light" w:cs="Calibri Light"/>
          <w:sz w:val="22"/>
          <w:szCs w:val="22"/>
        </w:rPr>
      </w:pPr>
      <w:r w:rsidRPr="00A51E6E">
        <w:rPr>
          <w:rFonts w:ascii="Calibri Light" w:hAnsi="Calibri Light" w:cs="Calibri Light"/>
          <w:sz w:val="22"/>
          <w:szCs w:val="22"/>
        </w:rPr>
        <w:t>Costo operativo de comercialización interna de derivados por barril, en el año 2024 los gastos fueron de USD 251.733.468,80 y los barriles comercializados fueron 139.653.682,80 por lo cual es costo fue $2,316 USD/</w:t>
      </w:r>
      <w:proofErr w:type="spellStart"/>
      <w:r w:rsidRPr="00A51E6E">
        <w:rPr>
          <w:rFonts w:ascii="Calibri Light" w:hAnsi="Calibri Light" w:cs="Calibri Light"/>
          <w:sz w:val="22"/>
          <w:szCs w:val="22"/>
        </w:rPr>
        <w:t>Bls</w:t>
      </w:r>
      <w:proofErr w:type="spellEnd"/>
      <w:r w:rsidRPr="00A51E6E">
        <w:rPr>
          <w:rFonts w:ascii="Calibri Light" w:hAnsi="Calibri Light" w:cs="Calibri Light"/>
          <w:sz w:val="22"/>
          <w:szCs w:val="22"/>
        </w:rPr>
        <w:t>.</w:t>
      </w:r>
    </w:p>
    <w:p w14:paraId="1F822C04" w14:textId="77777777" w:rsidR="00102E95" w:rsidRPr="00A51E6E" w:rsidRDefault="00102E95" w:rsidP="00102E95">
      <w:pPr>
        <w:pStyle w:val="Prrafodelista"/>
        <w:widowControl w:val="0"/>
        <w:numPr>
          <w:ilvl w:val="0"/>
          <w:numId w:val="72"/>
        </w:numPr>
        <w:tabs>
          <w:tab w:val="left" w:pos="849"/>
          <w:tab w:val="left" w:pos="862"/>
        </w:tabs>
        <w:autoSpaceDE w:val="0"/>
        <w:autoSpaceDN w:val="0"/>
        <w:spacing w:before="1"/>
        <w:ind w:right="133"/>
        <w:jc w:val="both"/>
        <w:rPr>
          <w:rFonts w:ascii="Calibri Light" w:hAnsi="Calibri Light" w:cs="Calibri Light"/>
          <w:sz w:val="22"/>
          <w:szCs w:val="22"/>
        </w:rPr>
      </w:pPr>
      <w:r w:rsidRPr="00A51E6E">
        <w:rPr>
          <w:rFonts w:ascii="Calibri Light" w:hAnsi="Calibri Light" w:cs="Calibri Light"/>
          <w:sz w:val="22"/>
          <w:szCs w:val="22"/>
        </w:rPr>
        <w:t>Cumplimiento de ejes de gestión para financiamiento a través del mercado de capitales tuvo un resultado acumulado del 100% que correspondió al cumplimiento de cuatro (4) de los ejes de gestión para financiamiento a través de mercado de capitales del total de cuatro (4) ejes en el año. Los ejes cumplidos fueron:</w:t>
      </w:r>
    </w:p>
    <w:p w14:paraId="5FDF65ED" w14:textId="77777777" w:rsidR="00102E95" w:rsidRPr="00A51E6E" w:rsidRDefault="00102E95" w:rsidP="00102E95">
      <w:pPr>
        <w:pStyle w:val="Prrafodelista"/>
        <w:numPr>
          <w:ilvl w:val="0"/>
          <w:numId w:val="39"/>
        </w:numPr>
        <w:jc w:val="both"/>
        <w:rPr>
          <w:rFonts w:ascii="Calibri Light" w:hAnsi="Calibri Light" w:cs="Calibri Light"/>
          <w:sz w:val="22"/>
          <w:szCs w:val="22"/>
        </w:rPr>
      </w:pPr>
      <w:r w:rsidRPr="00A51E6E">
        <w:rPr>
          <w:rFonts w:ascii="Calibri Light" w:hAnsi="Calibri Light" w:cs="Calibri Light"/>
          <w:sz w:val="22"/>
          <w:szCs w:val="22"/>
        </w:rPr>
        <w:t xml:space="preserve">Emisión de la propuesta de visión de la EP PETROECUADOR al 2050. </w:t>
      </w:r>
    </w:p>
    <w:p w14:paraId="18561216" w14:textId="77777777" w:rsidR="00102E95" w:rsidRPr="00A51E6E" w:rsidRDefault="00102E95" w:rsidP="00102E95">
      <w:pPr>
        <w:pStyle w:val="Prrafodelista"/>
        <w:numPr>
          <w:ilvl w:val="0"/>
          <w:numId w:val="39"/>
        </w:numPr>
        <w:jc w:val="both"/>
        <w:rPr>
          <w:rFonts w:ascii="Calibri Light" w:hAnsi="Calibri Light" w:cs="Calibri Light"/>
          <w:sz w:val="22"/>
          <w:szCs w:val="22"/>
        </w:rPr>
      </w:pPr>
      <w:r w:rsidRPr="00A51E6E">
        <w:rPr>
          <w:rFonts w:ascii="Calibri Light" w:hAnsi="Calibri Light" w:cs="Calibri Light"/>
          <w:sz w:val="22"/>
          <w:szCs w:val="22"/>
        </w:rPr>
        <w:t>Emisión de versión actualizada de proceso para el financiamiento a través de mercado de capitales.</w:t>
      </w:r>
    </w:p>
    <w:p w14:paraId="3900996E" w14:textId="77777777" w:rsidR="00102E95" w:rsidRPr="00A51E6E" w:rsidRDefault="00102E95" w:rsidP="00102E95">
      <w:pPr>
        <w:pStyle w:val="Prrafodelista"/>
        <w:numPr>
          <w:ilvl w:val="0"/>
          <w:numId w:val="39"/>
        </w:numPr>
        <w:jc w:val="both"/>
        <w:rPr>
          <w:rFonts w:ascii="Calibri Light" w:hAnsi="Calibri Light" w:cs="Calibri Light"/>
          <w:sz w:val="22"/>
          <w:szCs w:val="22"/>
        </w:rPr>
      </w:pPr>
      <w:r w:rsidRPr="00A51E6E">
        <w:rPr>
          <w:rFonts w:ascii="Calibri Light" w:hAnsi="Calibri Light" w:cs="Calibri Light"/>
          <w:sz w:val="22"/>
          <w:szCs w:val="22"/>
        </w:rPr>
        <w:t>Emisión de versión actualizada de documento informativo de requisitos legales para el ingreso a mercado de capitales.</w:t>
      </w:r>
    </w:p>
    <w:p w14:paraId="39EC46B9" w14:textId="402253A2" w:rsidR="002C1808" w:rsidRPr="006E30AC" w:rsidRDefault="00102E95" w:rsidP="002C1808">
      <w:pPr>
        <w:pStyle w:val="Prrafodelista"/>
        <w:numPr>
          <w:ilvl w:val="0"/>
          <w:numId w:val="39"/>
        </w:numPr>
        <w:jc w:val="both"/>
        <w:rPr>
          <w:rFonts w:ascii="Calibri Light" w:hAnsi="Calibri Light" w:cs="Calibri Light"/>
          <w:sz w:val="22"/>
          <w:szCs w:val="22"/>
        </w:rPr>
      </w:pPr>
      <w:r w:rsidRPr="00A51E6E">
        <w:rPr>
          <w:rFonts w:ascii="Calibri Light" w:hAnsi="Calibri Light" w:cs="Calibri Light"/>
          <w:sz w:val="22"/>
          <w:szCs w:val="22"/>
        </w:rPr>
        <w:t>Catálogo de posibles financistas y cooperantes de fondos para proyectos de transformación empresarial y proyectos especiales.</w:t>
      </w:r>
    </w:p>
    <w:p w14:paraId="208ED320" w14:textId="77777777" w:rsidR="00102E95" w:rsidRPr="00D14B1D" w:rsidRDefault="00102E95" w:rsidP="00A912D5">
      <w:pPr>
        <w:rPr>
          <w:rFonts w:ascii="Calibri Light" w:hAnsi="Calibri Light" w:cs="Calibri Light"/>
          <w:sz w:val="20"/>
        </w:rPr>
      </w:pPr>
    </w:p>
    <w:p w14:paraId="224635C3" w14:textId="07A1CC7D" w:rsidR="00102E95" w:rsidRPr="00213F2B" w:rsidRDefault="00102E95" w:rsidP="00213F2B">
      <w:pPr>
        <w:pStyle w:val="Ttulo4"/>
        <w:rPr>
          <w:i w:val="0"/>
          <w:sz w:val="22"/>
          <w:szCs w:val="22"/>
        </w:rPr>
      </w:pPr>
      <w:bookmarkStart w:id="148" w:name="_Toc195709786"/>
      <w:bookmarkStart w:id="149" w:name="_Toc197335101"/>
      <w:r w:rsidRPr="00213F2B">
        <w:rPr>
          <w:i w:val="0"/>
          <w:sz w:val="22"/>
          <w:szCs w:val="22"/>
        </w:rPr>
        <w:t xml:space="preserve">Incrementar el nivel de </w:t>
      </w:r>
      <w:r w:rsidR="00E23641" w:rsidRPr="00213F2B">
        <w:rPr>
          <w:i w:val="0"/>
          <w:sz w:val="22"/>
          <w:szCs w:val="22"/>
        </w:rPr>
        <w:t>R</w:t>
      </w:r>
      <w:r w:rsidRPr="00213F2B">
        <w:rPr>
          <w:i w:val="0"/>
          <w:sz w:val="22"/>
          <w:szCs w:val="22"/>
        </w:rPr>
        <w:t xml:space="preserve">eservas de </w:t>
      </w:r>
      <w:r w:rsidR="00E23641" w:rsidRPr="00213F2B">
        <w:rPr>
          <w:i w:val="0"/>
          <w:sz w:val="22"/>
          <w:szCs w:val="22"/>
        </w:rPr>
        <w:t>h</w:t>
      </w:r>
      <w:r w:rsidRPr="00213F2B">
        <w:rPr>
          <w:i w:val="0"/>
          <w:sz w:val="22"/>
          <w:szCs w:val="22"/>
        </w:rPr>
        <w:t>idrocarburos</w:t>
      </w:r>
      <w:bookmarkEnd w:id="148"/>
      <w:bookmarkEnd w:id="149"/>
    </w:p>
    <w:p w14:paraId="7A894A16" w14:textId="77777777" w:rsidR="00102E95" w:rsidRPr="00F12281" w:rsidRDefault="00102E95" w:rsidP="00102E95"/>
    <w:p w14:paraId="200BC4A3" w14:textId="47A45B76" w:rsidR="00102E95" w:rsidRPr="00A51E6E" w:rsidRDefault="00102E95" w:rsidP="00102E95">
      <w:pPr>
        <w:jc w:val="both"/>
        <w:rPr>
          <w:rFonts w:ascii="Calibri Light" w:hAnsi="Calibri Light" w:cs="Calibri Light"/>
          <w:sz w:val="22"/>
          <w:szCs w:val="22"/>
        </w:rPr>
      </w:pPr>
      <w:r w:rsidRPr="00A51E6E">
        <w:rPr>
          <w:rFonts w:ascii="Calibri Light" w:hAnsi="Calibri Light" w:cs="Calibri Light"/>
          <w:sz w:val="22"/>
          <w:szCs w:val="22"/>
        </w:rPr>
        <w:t>Para medir el incremento del nivel de reservas de hidrocarburos se plantearon los indicadores que se detallan a continuación con sus respectivos resultados:</w:t>
      </w:r>
    </w:p>
    <w:p w14:paraId="7E8373DB" w14:textId="77777777" w:rsidR="00102E95" w:rsidRPr="00D14B1D" w:rsidRDefault="00102E95" w:rsidP="00102E95">
      <w:pPr>
        <w:pStyle w:val="Prrafodelista"/>
        <w:numPr>
          <w:ilvl w:val="0"/>
          <w:numId w:val="41"/>
        </w:numPr>
        <w:spacing w:before="240" w:after="240"/>
        <w:jc w:val="both"/>
        <w:rPr>
          <w:rFonts w:ascii="Calibri Light" w:hAnsi="Calibri Light" w:cs="Calibri Light"/>
          <w:sz w:val="22"/>
        </w:rPr>
      </w:pPr>
      <w:bookmarkStart w:id="150" w:name="_Hlk192069017"/>
      <w:r w:rsidRPr="00D14B1D">
        <w:rPr>
          <w:rFonts w:ascii="Calibri Light" w:hAnsi="Calibri Light" w:cs="Calibri Light"/>
          <w:sz w:val="22"/>
          <w:u w:val="single"/>
        </w:rPr>
        <w:lastRenderedPageBreak/>
        <w:t>Ejecución de estudios exploratorios</w:t>
      </w:r>
      <w:bookmarkEnd w:id="150"/>
      <w:r w:rsidRPr="00D14B1D">
        <w:rPr>
          <w:rFonts w:ascii="Calibri Light" w:hAnsi="Calibri Light" w:cs="Calibri Light"/>
          <w:sz w:val="22"/>
        </w:rPr>
        <w:t xml:space="preserve">, en el año 2024, se llevaron a cabo un total de 8 estudios, superando los 7 inicialmente planificados. Los prospectos realizados fueron: Gacela Sur-12, Tola-13, Gacela Oeste-14, </w:t>
      </w:r>
      <w:proofErr w:type="spellStart"/>
      <w:r w:rsidRPr="00D14B1D">
        <w:rPr>
          <w:rFonts w:ascii="Calibri Light" w:hAnsi="Calibri Light" w:cs="Calibri Light"/>
          <w:sz w:val="22"/>
        </w:rPr>
        <w:t>Tetete</w:t>
      </w:r>
      <w:proofErr w:type="spellEnd"/>
      <w:r w:rsidRPr="00D14B1D">
        <w:rPr>
          <w:rFonts w:ascii="Calibri Light" w:hAnsi="Calibri Light" w:cs="Calibri Light"/>
          <w:sz w:val="22"/>
        </w:rPr>
        <w:t xml:space="preserve"> Sur-1, Plata-1, Pilche, Esmeraldas-1X y Caliza M1. </w:t>
      </w:r>
    </w:p>
    <w:p w14:paraId="1400A62D" w14:textId="77777777" w:rsidR="00102E95" w:rsidRPr="00D14B1D" w:rsidRDefault="00102E95" w:rsidP="00102E95">
      <w:pPr>
        <w:pStyle w:val="Prrafodelista"/>
        <w:spacing w:before="240" w:after="240"/>
        <w:jc w:val="both"/>
        <w:rPr>
          <w:rFonts w:ascii="Calibri Light" w:hAnsi="Calibri Light" w:cs="Calibri Light"/>
          <w:sz w:val="22"/>
        </w:rPr>
      </w:pPr>
    </w:p>
    <w:p w14:paraId="692A77A2" w14:textId="4F7F5EBB" w:rsidR="00102E95" w:rsidRPr="00140159" w:rsidRDefault="00102E95" w:rsidP="00140159">
      <w:pPr>
        <w:pStyle w:val="Prrafodelista"/>
        <w:numPr>
          <w:ilvl w:val="0"/>
          <w:numId w:val="41"/>
        </w:numPr>
        <w:spacing w:before="240" w:after="240"/>
        <w:jc w:val="both"/>
        <w:rPr>
          <w:rFonts w:ascii="Calibri Light" w:hAnsi="Calibri Light" w:cs="Calibri Light"/>
          <w:sz w:val="22"/>
        </w:rPr>
      </w:pPr>
      <w:r w:rsidRPr="00D14B1D">
        <w:rPr>
          <w:rFonts w:ascii="Calibri Light" w:hAnsi="Calibri Light" w:cs="Calibri Light"/>
          <w:sz w:val="22"/>
          <w:u w:val="single"/>
        </w:rPr>
        <w:t>Implementación de procesos de recuperación mejorada</w:t>
      </w:r>
      <w:r w:rsidRPr="00D14B1D">
        <w:rPr>
          <w:rFonts w:ascii="Calibri Light" w:hAnsi="Calibri Light" w:cs="Calibri Light"/>
          <w:sz w:val="22"/>
        </w:rPr>
        <w:t xml:space="preserve"> en el año 2024 se ejecutaron 13 proyectos de recuperación secundaria, de los 9 planificados, en los siguientes pozos: AUCA-247 (Arenisca UI), AUCA-255 (Arenisca UI), AUCA SUR C30 (Arenisca TI), YULEBRA-047 (Arenisca UI), SACHA-420(Arenisca T Inferior), SACHA-420(Arenisca U Inferior), SACHA-352, SACHA-319, SACHA 192 (Arenisca U inferior), SACHA-Q600 (Arenisca U inferior), SACHA-402 (Arenisca T inferior), SACHA-B178 (Arena T inferior), SHUSHUFINDI-219 y SHUSHUFINDI-B178 (Arena T inferior).</w:t>
      </w:r>
    </w:p>
    <w:p w14:paraId="1D3C7219" w14:textId="59B296F0" w:rsidR="00102E95" w:rsidRPr="00AF12BE" w:rsidRDefault="00102E95" w:rsidP="00102E95">
      <w:pPr>
        <w:pStyle w:val="Descripcin"/>
        <w:rPr>
          <w:rFonts w:asciiTheme="majorHAnsi" w:hAnsiTheme="majorHAnsi" w:cstheme="majorHAnsi"/>
        </w:rPr>
      </w:pPr>
      <w:bookmarkStart w:id="151" w:name="_Toc197334672"/>
      <w:bookmarkStart w:id="152" w:name="_Toc199759683"/>
      <w:r w:rsidRPr="00AF12BE">
        <w:rPr>
          <w:rFonts w:asciiTheme="majorHAnsi" w:hAnsiTheme="majorHAnsi" w:cstheme="majorHAnsi"/>
        </w:rPr>
        <w:t xml:space="preserve">Tabla </w:t>
      </w:r>
      <w:r w:rsidR="003A269C" w:rsidRPr="00AF12BE">
        <w:rPr>
          <w:rFonts w:asciiTheme="majorHAnsi" w:hAnsiTheme="majorHAnsi" w:cstheme="majorHAnsi"/>
        </w:rPr>
        <w:fldChar w:fldCharType="begin"/>
      </w:r>
      <w:r w:rsidR="003A269C" w:rsidRPr="00AF12BE">
        <w:rPr>
          <w:rFonts w:asciiTheme="majorHAnsi" w:hAnsiTheme="majorHAnsi" w:cstheme="majorHAnsi"/>
        </w:rPr>
        <w:instrText xml:space="preserve"> SEQ Tabla \* ARABIC </w:instrText>
      </w:r>
      <w:r w:rsidR="003A269C" w:rsidRPr="00AF12BE">
        <w:rPr>
          <w:rFonts w:asciiTheme="majorHAnsi" w:hAnsiTheme="majorHAnsi" w:cstheme="majorHAnsi"/>
        </w:rPr>
        <w:fldChar w:fldCharType="separate"/>
      </w:r>
      <w:r w:rsidR="00CF0AD2">
        <w:rPr>
          <w:rFonts w:asciiTheme="majorHAnsi" w:hAnsiTheme="majorHAnsi" w:cstheme="majorHAnsi"/>
          <w:noProof/>
        </w:rPr>
        <w:t>13</w:t>
      </w:r>
      <w:r w:rsidR="003A269C" w:rsidRPr="00AF12BE">
        <w:rPr>
          <w:rFonts w:asciiTheme="majorHAnsi" w:hAnsiTheme="majorHAnsi" w:cstheme="majorHAnsi"/>
          <w:noProof/>
        </w:rPr>
        <w:fldChar w:fldCharType="end"/>
      </w:r>
      <w:r w:rsidRPr="00AF12BE">
        <w:rPr>
          <w:rFonts w:asciiTheme="majorHAnsi" w:hAnsiTheme="majorHAnsi" w:cstheme="majorHAnsi"/>
        </w:rPr>
        <w:t>: Resultados Plan Estratégico Empresarial – Objetivo 2</w:t>
      </w:r>
      <w:bookmarkEnd w:id="151"/>
      <w:bookmarkEnd w:id="152"/>
    </w:p>
    <w:tbl>
      <w:tblPr>
        <w:tblW w:w="4836"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417"/>
        <w:gridCol w:w="1418"/>
        <w:gridCol w:w="1559"/>
        <w:gridCol w:w="1553"/>
      </w:tblGrid>
      <w:tr w:rsidR="00102E95" w:rsidRPr="00A51E6E" w14:paraId="01693ACB" w14:textId="77777777" w:rsidTr="00E86A22">
        <w:trPr>
          <w:trHeight w:val="155"/>
          <w:tblHeader/>
        </w:trPr>
        <w:tc>
          <w:tcPr>
            <w:tcW w:w="1380" w:type="pct"/>
            <w:shd w:val="clear" w:color="auto" w:fill="44546A"/>
            <w:vAlign w:val="center"/>
            <w:hideMark/>
          </w:tcPr>
          <w:p w14:paraId="32F1E04E" w14:textId="77777777" w:rsidR="00102E95" w:rsidRPr="003A269C" w:rsidRDefault="00102E95" w:rsidP="00E86A22">
            <w:pPr>
              <w:jc w:val="center"/>
              <w:rPr>
                <w:rFonts w:asciiTheme="majorHAnsi" w:eastAsia="Times New Roman" w:hAnsiTheme="majorHAnsi" w:cstheme="majorHAnsi"/>
                <w:b/>
                <w:bCs/>
                <w:color w:val="FFFFFF"/>
                <w:sz w:val="18"/>
                <w:szCs w:val="18"/>
                <w:lang w:val="es-ES_tradnl" w:eastAsia="es-EC"/>
              </w:rPr>
            </w:pPr>
            <w:r w:rsidRPr="003A269C">
              <w:rPr>
                <w:rFonts w:asciiTheme="majorHAnsi" w:eastAsia="Times New Roman" w:hAnsiTheme="majorHAnsi" w:cstheme="majorHAnsi"/>
                <w:b/>
                <w:bCs/>
                <w:color w:val="FFFFFF"/>
                <w:sz w:val="18"/>
                <w:szCs w:val="18"/>
                <w:lang w:val="es-ES_tradnl" w:eastAsia="es-EC"/>
              </w:rPr>
              <w:t>Indicador</w:t>
            </w:r>
          </w:p>
        </w:tc>
        <w:tc>
          <w:tcPr>
            <w:tcW w:w="862" w:type="pct"/>
            <w:shd w:val="clear" w:color="auto" w:fill="44546A"/>
            <w:vAlign w:val="center"/>
            <w:hideMark/>
          </w:tcPr>
          <w:p w14:paraId="0436E529" w14:textId="77777777" w:rsidR="00102E95" w:rsidRPr="003A269C" w:rsidRDefault="00102E95" w:rsidP="00E86A22">
            <w:pPr>
              <w:jc w:val="center"/>
              <w:rPr>
                <w:rFonts w:asciiTheme="majorHAnsi" w:eastAsia="Times New Roman" w:hAnsiTheme="majorHAnsi" w:cstheme="majorHAnsi"/>
                <w:b/>
                <w:bCs/>
                <w:color w:val="FFFFFF"/>
                <w:sz w:val="18"/>
                <w:szCs w:val="18"/>
                <w:lang w:val="es-ES_tradnl" w:eastAsia="es-EC"/>
              </w:rPr>
            </w:pPr>
            <w:r w:rsidRPr="003A269C">
              <w:rPr>
                <w:rFonts w:asciiTheme="majorHAnsi" w:eastAsia="Times New Roman" w:hAnsiTheme="majorHAnsi" w:cstheme="majorHAnsi"/>
                <w:b/>
                <w:bCs/>
                <w:color w:val="FFFFFF"/>
                <w:sz w:val="18"/>
                <w:szCs w:val="18"/>
                <w:lang w:val="es-ES_tradnl" w:eastAsia="es-EC"/>
              </w:rPr>
              <w:t>Unidad de Medida</w:t>
            </w:r>
          </w:p>
        </w:tc>
        <w:tc>
          <w:tcPr>
            <w:tcW w:w="863" w:type="pct"/>
            <w:shd w:val="clear" w:color="auto" w:fill="44546A"/>
            <w:vAlign w:val="center"/>
          </w:tcPr>
          <w:p w14:paraId="4901FAAF" w14:textId="77777777" w:rsidR="00102E95" w:rsidRPr="003A269C" w:rsidRDefault="00102E95" w:rsidP="00E86A22">
            <w:pPr>
              <w:jc w:val="center"/>
              <w:rPr>
                <w:rFonts w:asciiTheme="majorHAnsi" w:eastAsia="Times New Roman" w:hAnsiTheme="majorHAnsi" w:cstheme="majorHAnsi"/>
                <w:b/>
                <w:bCs/>
                <w:color w:val="FFFFFF"/>
                <w:sz w:val="18"/>
                <w:szCs w:val="18"/>
                <w:lang w:val="es-ES_tradnl" w:eastAsia="es-EC"/>
              </w:rPr>
            </w:pPr>
            <w:r w:rsidRPr="003A269C">
              <w:rPr>
                <w:rFonts w:asciiTheme="majorHAnsi" w:eastAsia="Times New Roman" w:hAnsiTheme="majorHAnsi" w:cstheme="majorHAnsi"/>
                <w:b/>
                <w:bCs/>
                <w:color w:val="FFFFFF"/>
                <w:sz w:val="18"/>
                <w:szCs w:val="18"/>
                <w:lang w:val="es-ES_tradnl" w:eastAsia="es-EC"/>
              </w:rPr>
              <w:t>Meta Acumulada</w:t>
            </w:r>
          </w:p>
        </w:tc>
        <w:tc>
          <w:tcPr>
            <w:tcW w:w="949" w:type="pct"/>
            <w:shd w:val="clear" w:color="auto" w:fill="44546A"/>
            <w:vAlign w:val="center"/>
          </w:tcPr>
          <w:p w14:paraId="6BFAEC87" w14:textId="77777777" w:rsidR="00102E95" w:rsidRPr="003A269C" w:rsidRDefault="00102E95" w:rsidP="00E86A22">
            <w:pPr>
              <w:jc w:val="center"/>
              <w:rPr>
                <w:rFonts w:asciiTheme="majorHAnsi" w:eastAsia="Times New Roman" w:hAnsiTheme="majorHAnsi" w:cstheme="majorHAnsi"/>
                <w:b/>
                <w:bCs/>
                <w:color w:val="FFFFFF"/>
                <w:sz w:val="18"/>
                <w:szCs w:val="18"/>
                <w:lang w:val="es-ES_tradnl" w:eastAsia="es-EC"/>
              </w:rPr>
            </w:pPr>
            <w:r w:rsidRPr="003A269C">
              <w:rPr>
                <w:rFonts w:asciiTheme="majorHAnsi" w:eastAsia="Times New Roman" w:hAnsiTheme="majorHAnsi" w:cstheme="majorHAnsi"/>
                <w:b/>
                <w:bCs/>
                <w:color w:val="FFFFFF"/>
                <w:sz w:val="18"/>
                <w:szCs w:val="18"/>
                <w:lang w:val="es-ES_tradnl" w:eastAsia="es-EC"/>
              </w:rPr>
              <w:t>Resultado Acumulado</w:t>
            </w:r>
          </w:p>
        </w:tc>
        <w:tc>
          <w:tcPr>
            <w:tcW w:w="945" w:type="pct"/>
            <w:shd w:val="clear" w:color="auto" w:fill="44546A"/>
            <w:vAlign w:val="center"/>
          </w:tcPr>
          <w:p w14:paraId="1450F8E6" w14:textId="77777777" w:rsidR="00102E95" w:rsidRPr="003A269C" w:rsidRDefault="00102E95" w:rsidP="00E86A22">
            <w:pPr>
              <w:jc w:val="center"/>
              <w:rPr>
                <w:rFonts w:asciiTheme="majorHAnsi" w:eastAsia="Times New Roman" w:hAnsiTheme="majorHAnsi" w:cstheme="majorHAnsi"/>
                <w:b/>
                <w:bCs/>
                <w:color w:val="FFFFFF"/>
                <w:sz w:val="18"/>
                <w:szCs w:val="18"/>
                <w:lang w:val="es-ES_tradnl" w:eastAsia="es-EC"/>
              </w:rPr>
            </w:pPr>
            <w:r w:rsidRPr="003A269C">
              <w:rPr>
                <w:rFonts w:asciiTheme="majorHAnsi" w:eastAsia="Times New Roman" w:hAnsiTheme="majorHAnsi" w:cstheme="majorHAnsi"/>
                <w:b/>
                <w:bCs/>
                <w:color w:val="FFFFFF"/>
                <w:sz w:val="18"/>
                <w:szCs w:val="18"/>
                <w:lang w:val="es-ES_tradnl" w:eastAsia="es-EC"/>
              </w:rPr>
              <w:t>% Cumplimiento</w:t>
            </w:r>
          </w:p>
        </w:tc>
      </w:tr>
      <w:tr w:rsidR="00102E95" w:rsidRPr="00A51E6E" w14:paraId="0CB0DC1B" w14:textId="77777777" w:rsidTr="00E86A22">
        <w:trPr>
          <w:trHeight w:val="754"/>
        </w:trPr>
        <w:tc>
          <w:tcPr>
            <w:tcW w:w="1380" w:type="pct"/>
            <w:shd w:val="clear" w:color="auto" w:fill="auto"/>
            <w:vAlign w:val="center"/>
            <w:hideMark/>
          </w:tcPr>
          <w:p w14:paraId="3D0129CE" w14:textId="77777777" w:rsidR="00102E95" w:rsidRPr="003A269C" w:rsidRDefault="00102E95" w:rsidP="00E86A22">
            <w:pPr>
              <w:rPr>
                <w:rFonts w:asciiTheme="majorHAnsi" w:eastAsia="Times New Roman" w:hAnsiTheme="majorHAnsi" w:cstheme="majorHAnsi"/>
                <w:sz w:val="18"/>
                <w:szCs w:val="18"/>
                <w:lang w:val="es-ES_tradnl" w:eastAsia="es-EC"/>
              </w:rPr>
            </w:pPr>
            <w:r w:rsidRPr="003A269C">
              <w:rPr>
                <w:rFonts w:asciiTheme="majorHAnsi" w:eastAsia="Times New Roman" w:hAnsiTheme="majorHAnsi" w:cstheme="majorHAnsi"/>
                <w:sz w:val="18"/>
                <w:szCs w:val="18"/>
                <w:lang w:val="es-ES_tradnl" w:eastAsia="es-EC"/>
              </w:rPr>
              <w:t>Ejecución de estudios exploratorios</w:t>
            </w:r>
          </w:p>
        </w:tc>
        <w:tc>
          <w:tcPr>
            <w:tcW w:w="862" w:type="pct"/>
            <w:shd w:val="clear" w:color="auto" w:fill="auto"/>
            <w:vAlign w:val="center"/>
          </w:tcPr>
          <w:p w14:paraId="70AD962E" w14:textId="77777777" w:rsidR="00102E95" w:rsidRPr="003A269C" w:rsidRDefault="00102E95" w:rsidP="00E86A22">
            <w:pPr>
              <w:jc w:val="center"/>
              <w:rPr>
                <w:rFonts w:asciiTheme="majorHAnsi" w:eastAsia="Times New Roman" w:hAnsiTheme="majorHAnsi" w:cstheme="majorHAnsi"/>
                <w:sz w:val="18"/>
                <w:szCs w:val="18"/>
                <w:lang w:val="es-ES_tradnl" w:eastAsia="es-EC"/>
              </w:rPr>
            </w:pPr>
            <w:r w:rsidRPr="003A269C">
              <w:rPr>
                <w:rFonts w:asciiTheme="majorHAnsi" w:eastAsia="Times New Roman" w:hAnsiTheme="majorHAnsi" w:cstheme="majorHAnsi"/>
                <w:sz w:val="18"/>
                <w:szCs w:val="18"/>
                <w:lang w:val="es-ES_tradnl" w:eastAsia="es-EC"/>
              </w:rPr>
              <w:t>Porcentaje</w:t>
            </w:r>
          </w:p>
        </w:tc>
        <w:tc>
          <w:tcPr>
            <w:tcW w:w="863" w:type="pct"/>
            <w:vAlign w:val="center"/>
          </w:tcPr>
          <w:p w14:paraId="4E675FEA" w14:textId="77777777" w:rsidR="00102E95" w:rsidRPr="003A269C" w:rsidRDefault="00102E95" w:rsidP="00E86A22">
            <w:pPr>
              <w:jc w:val="center"/>
              <w:rPr>
                <w:rFonts w:asciiTheme="majorHAnsi" w:hAnsiTheme="majorHAnsi" w:cstheme="majorHAnsi"/>
                <w:sz w:val="18"/>
                <w:szCs w:val="18"/>
                <w:lang w:val="es-ES_tradnl"/>
              </w:rPr>
            </w:pPr>
            <w:r w:rsidRPr="003A269C">
              <w:rPr>
                <w:rFonts w:asciiTheme="majorHAnsi" w:hAnsiTheme="majorHAnsi" w:cstheme="majorHAnsi"/>
                <w:sz w:val="18"/>
                <w:szCs w:val="18"/>
                <w:lang w:val="es-ES_tradnl"/>
              </w:rPr>
              <w:t>88,00%</w:t>
            </w:r>
          </w:p>
        </w:tc>
        <w:tc>
          <w:tcPr>
            <w:tcW w:w="949" w:type="pct"/>
            <w:vAlign w:val="center"/>
          </w:tcPr>
          <w:p w14:paraId="6ED781ED" w14:textId="77777777" w:rsidR="00102E95" w:rsidRPr="003A269C" w:rsidRDefault="00102E95" w:rsidP="00E86A22">
            <w:pPr>
              <w:jc w:val="center"/>
              <w:rPr>
                <w:rFonts w:asciiTheme="majorHAnsi" w:hAnsiTheme="majorHAnsi" w:cstheme="majorHAnsi"/>
                <w:sz w:val="18"/>
                <w:szCs w:val="18"/>
                <w:lang w:val="es-ES_tradnl"/>
              </w:rPr>
            </w:pPr>
            <w:r w:rsidRPr="003A269C">
              <w:rPr>
                <w:rFonts w:asciiTheme="majorHAnsi" w:hAnsiTheme="majorHAnsi" w:cstheme="majorHAnsi"/>
                <w:sz w:val="18"/>
                <w:szCs w:val="18"/>
                <w:lang w:val="es-ES_tradnl"/>
              </w:rPr>
              <w:t>100,56%</w:t>
            </w:r>
          </w:p>
        </w:tc>
        <w:tc>
          <w:tcPr>
            <w:tcW w:w="945" w:type="pct"/>
            <w:vAlign w:val="center"/>
          </w:tcPr>
          <w:p w14:paraId="5CA04CD8" w14:textId="77777777" w:rsidR="00102E95" w:rsidRPr="003A269C" w:rsidRDefault="00102E95" w:rsidP="00E86A22">
            <w:pPr>
              <w:jc w:val="center"/>
              <w:rPr>
                <w:rFonts w:asciiTheme="majorHAnsi" w:eastAsia="Times New Roman" w:hAnsiTheme="majorHAnsi" w:cstheme="majorHAnsi"/>
                <w:color w:val="000000"/>
                <w:sz w:val="18"/>
                <w:szCs w:val="18"/>
                <w:lang w:val="es-ES_tradnl" w:eastAsia="es-EC"/>
              </w:rPr>
            </w:pPr>
            <w:r w:rsidRPr="003A269C">
              <w:rPr>
                <w:rFonts w:asciiTheme="majorHAnsi" w:hAnsiTheme="majorHAnsi" w:cstheme="majorHAnsi"/>
                <w:sz w:val="18"/>
                <w:szCs w:val="18"/>
                <w:lang w:val="es-ES_tradnl"/>
              </w:rPr>
              <w:t>100,00%</w:t>
            </w:r>
          </w:p>
        </w:tc>
      </w:tr>
      <w:tr w:rsidR="00102E95" w:rsidRPr="00A51E6E" w14:paraId="5A5D544D" w14:textId="77777777" w:rsidTr="00E86A22">
        <w:trPr>
          <w:trHeight w:val="587"/>
        </w:trPr>
        <w:tc>
          <w:tcPr>
            <w:tcW w:w="1380" w:type="pct"/>
            <w:shd w:val="clear" w:color="auto" w:fill="auto"/>
            <w:vAlign w:val="center"/>
            <w:hideMark/>
          </w:tcPr>
          <w:p w14:paraId="77F89EEB" w14:textId="77777777" w:rsidR="00102E95" w:rsidRPr="003A269C" w:rsidRDefault="00102E95" w:rsidP="00E86A22">
            <w:pPr>
              <w:rPr>
                <w:rFonts w:asciiTheme="majorHAnsi" w:eastAsia="Times New Roman" w:hAnsiTheme="majorHAnsi" w:cstheme="majorHAnsi"/>
                <w:sz w:val="18"/>
                <w:szCs w:val="18"/>
                <w:lang w:val="es-ES_tradnl" w:eastAsia="es-EC"/>
              </w:rPr>
            </w:pPr>
            <w:r w:rsidRPr="003A269C">
              <w:rPr>
                <w:rFonts w:asciiTheme="majorHAnsi" w:eastAsia="Times New Roman" w:hAnsiTheme="majorHAnsi" w:cstheme="majorHAnsi"/>
                <w:sz w:val="18"/>
                <w:szCs w:val="18"/>
                <w:lang w:val="es-ES_tradnl" w:eastAsia="es-EC"/>
              </w:rPr>
              <w:t>Implementación de procesos recuperación mejorada</w:t>
            </w:r>
          </w:p>
        </w:tc>
        <w:tc>
          <w:tcPr>
            <w:tcW w:w="862" w:type="pct"/>
            <w:shd w:val="clear" w:color="auto" w:fill="auto"/>
            <w:vAlign w:val="center"/>
          </w:tcPr>
          <w:p w14:paraId="17F59688" w14:textId="77777777" w:rsidR="00102E95" w:rsidRPr="003A269C" w:rsidRDefault="00102E95" w:rsidP="00E86A22">
            <w:pPr>
              <w:jc w:val="center"/>
              <w:rPr>
                <w:rFonts w:asciiTheme="majorHAnsi" w:eastAsia="Times New Roman" w:hAnsiTheme="majorHAnsi" w:cstheme="majorHAnsi"/>
                <w:sz w:val="18"/>
                <w:szCs w:val="18"/>
                <w:lang w:val="es-ES_tradnl" w:eastAsia="es-EC"/>
              </w:rPr>
            </w:pPr>
            <w:r w:rsidRPr="003A269C">
              <w:rPr>
                <w:rFonts w:asciiTheme="majorHAnsi" w:eastAsia="Times New Roman" w:hAnsiTheme="majorHAnsi" w:cstheme="majorHAnsi"/>
                <w:sz w:val="18"/>
                <w:szCs w:val="18"/>
                <w:lang w:val="es-ES_tradnl" w:eastAsia="es-EC"/>
              </w:rPr>
              <w:t>Porcentaje</w:t>
            </w:r>
          </w:p>
        </w:tc>
        <w:tc>
          <w:tcPr>
            <w:tcW w:w="863" w:type="pct"/>
            <w:vAlign w:val="center"/>
          </w:tcPr>
          <w:p w14:paraId="439CAE4E" w14:textId="77777777" w:rsidR="00102E95" w:rsidRPr="003A269C" w:rsidRDefault="00102E95" w:rsidP="00E86A22">
            <w:pPr>
              <w:jc w:val="center"/>
              <w:rPr>
                <w:rFonts w:asciiTheme="majorHAnsi" w:hAnsiTheme="majorHAnsi" w:cstheme="majorHAnsi"/>
                <w:sz w:val="18"/>
                <w:szCs w:val="18"/>
                <w:lang w:val="es-ES_tradnl"/>
              </w:rPr>
            </w:pPr>
            <w:r w:rsidRPr="003A269C">
              <w:rPr>
                <w:rFonts w:asciiTheme="majorHAnsi" w:hAnsiTheme="majorHAnsi" w:cstheme="majorHAnsi"/>
                <w:sz w:val="18"/>
                <w:szCs w:val="18"/>
                <w:lang w:val="es-ES_tradnl"/>
              </w:rPr>
              <w:t>90,00%</w:t>
            </w:r>
          </w:p>
        </w:tc>
        <w:tc>
          <w:tcPr>
            <w:tcW w:w="949" w:type="pct"/>
            <w:vAlign w:val="center"/>
          </w:tcPr>
          <w:p w14:paraId="6CD7CA70" w14:textId="77777777" w:rsidR="00102E95" w:rsidRPr="003A269C" w:rsidRDefault="00102E95" w:rsidP="00E86A22">
            <w:pPr>
              <w:jc w:val="center"/>
              <w:rPr>
                <w:rFonts w:asciiTheme="majorHAnsi" w:hAnsiTheme="majorHAnsi" w:cstheme="majorHAnsi"/>
                <w:sz w:val="18"/>
                <w:szCs w:val="18"/>
                <w:lang w:val="es-ES_tradnl"/>
              </w:rPr>
            </w:pPr>
            <w:r w:rsidRPr="003A269C">
              <w:rPr>
                <w:rFonts w:asciiTheme="majorHAnsi" w:hAnsiTheme="majorHAnsi" w:cstheme="majorHAnsi"/>
                <w:sz w:val="18"/>
                <w:szCs w:val="18"/>
                <w:lang w:val="es-ES_tradnl"/>
              </w:rPr>
              <w:t>130,00%</w:t>
            </w:r>
          </w:p>
        </w:tc>
        <w:tc>
          <w:tcPr>
            <w:tcW w:w="945" w:type="pct"/>
            <w:vAlign w:val="center"/>
          </w:tcPr>
          <w:p w14:paraId="2D7E1E4E" w14:textId="77777777" w:rsidR="00102E95" w:rsidRPr="003A269C" w:rsidRDefault="00102E95" w:rsidP="00E86A22">
            <w:pPr>
              <w:jc w:val="center"/>
              <w:rPr>
                <w:rFonts w:asciiTheme="majorHAnsi" w:eastAsia="Times New Roman" w:hAnsiTheme="majorHAnsi" w:cstheme="majorHAnsi"/>
                <w:color w:val="000000"/>
                <w:sz w:val="18"/>
                <w:szCs w:val="18"/>
                <w:lang w:val="es-ES_tradnl" w:eastAsia="es-EC"/>
              </w:rPr>
            </w:pPr>
            <w:r w:rsidRPr="003A269C">
              <w:rPr>
                <w:rFonts w:asciiTheme="majorHAnsi" w:hAnsiTheme="majorHAnsi" w:cstheme="majorHAnsi"/>
                <w:sz w:val="18"/>
                <w:szCs w:val="18"/>
                <w:lang w:val="es-ES_tradnl"/>
              </w:rPr>
              <w:t>100,00%</w:t>
            </w:r>
          </w:p>
        </w:tc>
      </w:tr>
    </w:tbl>
    <w:p w14:paraId="4977F021" w14:textId="77777777" w:rsidR="00102E95" w:rsidRPr="00140159" w:rsidRDefault="00102E95" w:rsidP="00102E95">
      <w:pPr>
        <w:jc w:val="center"/>
        <w:rPr>
          <w:rFonts w:ascii="Calibri Light" w:hAnsi="Calibri Light" w:cs="Calibri Light"/>
          <w:i/>
          <w:sz w:val="16"/>
          <w:szCs w:val="16"/>
        </w:rPr>
      </w:pPr>
      <w:r w:rsidRPr="00140159">
        <w:rPr>
          <w:rFonts w:ascii="Calibri Light" w:hAnsi="Calibri Light" w:cs="Calibri Light"/>
          <w:i/>
          <w:color w:val="7F7F7F"/>
          <w:sz w:val="16"/>
          <w:szCs w:val="16"/>
        </w:rPr>
        <w:t>Fuente: Unidades de la EP PETROECUADOR, Información acumulada al 31 de diciembre de 2024</w:t>
      </w:r>
    </w:p>
    <w:p w14:paraId="1943F9E2" w14:textId="77777777" w:rsidR="00102E95" w:rsidRDefault="00102E95" w:rsidP="00102E95"/>
    <w:p w14:paraId="5FD6090C" w14:textId="77777777" w:rsidR="00102E95" w:rsidRPr="00213F2B" w:rsidRDefault="00102E95" w:rsidP="00213F2B">
      <w:pPr>
        <w:pStyle w:val="Ttulo4"/>
        <w:rPr>
          <w:i w:val="0"/>
        </w:rPr>
      </w:pPr>
      <w:bookmarkStart w:id="153" w:name="_Toc195709787"/>
      <w:bookmarkStart w:id="154" w:name="_Toc197335102"/>
      <w:r w:rsidRPr="00213F2B">
        <w:rPr>
          <w:i w:val="0"/>
        </w:rPr>
        <w:t>Incrementar la producción de petróleo y de gas natural</w:t>
      </w:r>
      <w:bookmarkEnd w:id="153"/>
      <w:bookmarkEnd w:id="154"/>
    </w:p>
    <w:p w14:paraId="3126092C" w14:textId="77777777" w:rsidR="00102E95" w:rsidRPr="00D14B1D" w:rsidRDefault="00102E95" w:rsidP="00102E95">
      <w:pPr>
        <w:spacing w:before="240" w:after="240"/>
        <w:jc w:val="both"/>
        <w:rPr>
          <w:rFonts w:ascii="Calibri Light" w:hAnsi="Calibri Light" w:cs="Calibri Light"/>
          <w:sz w:val="22"/>
        </w:rPr>
      </w:pPr>
      <w:r w:rsidRPr="00D14B1D">
        <w:rPr>
          <w:rFonts w:ascii="Calibri Light" w:hAnsi="Calibri Light" w:cs="Calibri Light"/>
          <w:sz w:val="22"/>
        </w:rPr>
        <w:t>Para medir el incremento de la producción de petróleo y gas natural se plantearon los indicadores que se detallan a continuación con sus respectivos resultados:</w:t>
      </w:r>
    </w:p>
    <w:p w14:paraId="1B3AA179" w14:textId="77777777" w:rsidR="00102E95" w:rsidRPr="00D14B1D" w:rsidRDefault="00102E95" w:rsidP="00102E95">
      <w:pPr>
        <w:pStyle w:val="Prrafodelista"/>
        <w:numPr>
          <w:ilvl w:val="0"/>
          <w:numId w:val="42"/>
        </w:numPr>
        <w:spacing w:before="240" w:after="240"/>
        <w:jc w:val="both"/>
        <w:rPr>
          <w:rFonts w:ascii="Calibri Light" w:hAnsi="Calibri Light" w:cs="Calibri Light"/>
          <w:sz w:val="22"/>
        </w:rPr>
      </w:pPr>
      <w:r w:rsidRPr="00D14B1D">
        <w:rPr>
          <w:rFonts w:ascii="Calibri Light" w:hAnsi="Calibri Light" w:cs="Calibri Light"/>
          <w:sz w:val="22"/>
        </w:rPr>
        <w:t xml:space="preserve">En referencia al indicador </w:t>
      </w:r>
      <w:r w:rsidRPr="00D14B1D">
        <w:rPr>
          <w:rFonts w:ascii="Calibri Light" w:hAnsi="Calibri Light" w:cs="Calibri Light"/>
          <w:sz w:val="22"/>
          <w:u w:val="single"/>
        </w:rPr>
        <w:t>Producción de Gas Natura</w:t>
      </w:r>
      <w:r w:rsidRPr="00D14B1D">
        <w:rPr>
          <w:rFonts w:ascii="Calibri Light" w:hAnsi="Calibri Light" w:cs="Calibri Light"/>
          <w:sz w:val="22"/>
        </w:rPr>
        <w:t>, en el año 2024 la producción de gas natural fue 1.243.131,70 BOE frente a los 3.829.873,00 BOE planificados.</w:t>
      </w:r>
    </w:p>
    <w:p w14:paraId="3351532F" w14:textId="77777777" w:rsidR="00102E95" w:rsidRPr="00D14B1D" w:rsidRDefault="00102E95" w:rsidP="00102E95">
      <w:pPr>
        <w:pStyle w:val="Prrafodelista"/>
        <w:spacing w:before="240" w:after="240"/>
        <w:jc w:val="both"/>
        <w:rPr>
          <w:rFonts w:ascii="Calibri Light" w:hAnsi="Calibri Light" w:cs="Calibri Light"/>
          <w:sz w:val="22"/>
        </w:rPr>
      </w:pPr>
    </w:p>
    <w:p w14:paraId="51F0FCB4" w14:textId="77777777" w:rsidR="00102E95" w:rsidRPr="00D14B1D" w:rsidRDefault="00102E95" w:rsidP="00102E95">
      <w:pPr>
        <w:pStyle w:val="Prrafodelista"/>
        <w:numPr>
          <w:ilvl w:val="0"/>
          <w:numId w:val="42"/>
        </w:numPr>
        <w:spacing w:before="240" w:after="240"/>
        <w:jc w:val="both"/>
        <w:rPr>
          <w:rFonts w:ascii="Calibri Light" w:hAnsi="Calibri Light" w:cs="Calibri Light"/>
          <w:sz w:val="22"/>
        </w:rPr>
      </w:pPr>
      <w:r w:rsidRPr="00D14B1D">
        <w:rPr>
          <w:rFonts w:ascii="Calibri Light" w:hAnsi="Calibri Light" w:cs="Calibri Light"/>
          <w:sz w:val="22"/>
        </w:rPr>
        <w:t xml:space="preserve">Con relación al indicador </w:t>
      </w:r>
      <w:r w:rsidRPr="00D14B1D">
        <w:rPr>
          <w:rFonts w:ascii="Calibri Light" w:hAnsi="Calibri Light" w:cs="Calibri Light"/>
          <w:sz w:val="22"/>
          <w:u w:val="single"/>
        </w:rPr>
        <w:t>Producción de petróleo</w:t>
      </w:r>
      <w:r w:rsidRPr="00D14B1D">
        <w:rPr>
          <w:rFonts w:ascii="Calibri Light" w:hAnsi="Calibri Light" w:cs="Calibri Light"/>
          <w:sz w:val="22"/>
        </w:rPr>
        <w:t xml:space="preserve">, en el año 2024 la producción de petróleo fue 139.653.682,81 </w:t>
      </w:r>
      <w:proofErr w:type="spellStart"/>
      <w:r w:rsidRPr="00D14B1D">
        <w:rPr>
          <w:rFonts w:ascii="Calibri Light" w:hAnsi="Calibri Light" w:cs="Calibri Light"/>
          <w:sz w:val="22"/>
        </w:rPr>
        <w:t>Bls</w:t>
      </w:r>
      <w:proofErr w:type="spellEnd"/>
      <w:r w:rsidRPr="00D14B1D">
        <w:rPr>
          <w:rFonts w:ascii="Calibri Light" w:hAnsi="Calibri Light" w:cs="Calibri Light"/>
          <w:sz w:val="22"/>
        </w:rPr>
        <w:t xml:space="preserve">. frente a los 140.873.979,62 </w:t>
      </w:r>
      <w:proofErr w:type="spellStart"/>
      <w:r w:rsidRPr="00D14B1D">
        <w:rPr>
          <w:rFonts w:ascii="Calibri Light" w:hAnsi="Calibri Light" w:cs="Calibri Light"/>
          <w:sz w:val="22"/>
        </w:rPr>
        <w:t>Bls</w:t>
      </w:r>
      <w:proofErr w:type="spellEnd"/>
      <w:r w:rsidRPr="00D14B1D">
        <w:rPr>
          <w:rFonts w:ascii="Calibri Light" w:hAnsi="Calibri Light" w:cs="Calibri Light"/>
          <w:sz w:val="22"/>
        </w:rPr>
        <w:t>. Planificados.</w:t>
      </w:r>
    </w:p>
    <w:p w14:paraId="251B5BEF" w14:textId="641D1DB0" w:rsidR="00102E95" w:rsidRPr="00AF12BE" w:rsidRDefault="00102E95" w:rsidP="00102E95">
      <w:pPr>
        <w:pStyle w:val="Descripcin"/>
        <w:ind w:left="720"/>
        <w:rPr>
          <w:rFonts w:asciiTheme="majorHAnsi" w:hAnsiTheme="majorHAnsi" w:cstheme="majorHAnsi"/>
        </w:rPr>
      </w:pPr>
      <w:bookmarkStart w:id="155" w:name="_Toc197334673"/>
      <w:bookmarkStart w:id="156" w:name="_Toc199759684"/>
      <w:r w:rsidRPr="00AF12BE">
        <w:rPr>
          <w:rFonts w:asciiTheme="majorHAnsi" w:hAnsiTheme="majorHAnsi" w:cstheme="majorHAnsi"/>
        </w:rPr>
        <w:t xml:space="preserve">Tabla </w:t>
      </w:r>
      <w:r w:rsidR="003A269C" w:rsidRPr="00AF12BE">
        <w:rPr>
          <w:rFonts w:asciiTheme="majorHAnsi" w:hAnsiTheme="majorHAnsi" w:cstheme="majorHAnsi"/>
        </w:rPr>
        <w:fldChar w:fldCharType="begin"/>
      </w:r>
      <w:r w:rsidR="003A269C" w:rsidRPr="00AF12BE">
        <w:rPr>
          <w:rFonts w:asciiTheme="majorHAnsi" w:hAnsiTheme="majorHAnsi" w:cstheme="majorHAnsi"/>
        </w:rPr>
        <w:instrText xml:space="preserve"> SEQ Tabla \* ARABIC </w:instrText>
      </w:r>
      <w:r w:rsidR="003A269C" w:rsidRPr="00AF12BE">
        <w:rPr>
          <w:rFonts w:asciiTheme="majorHAnsi" w:hAnsiTheme="majorHAnsi" w:cstheme="majorHAnsi"/>
        </w:rPr>
        <w:fldChar w:fldCharType="separate"/>
      </w:r>
      <w:r w:rsidR="00CF0AD2">
        <w:rPr>
          <w:rFonts w:asciiTheme="majorHAnsi" w:hAnsiTheme="majorHAnsi" w:cstheme="majorHAnsi"/>
          <w:noProof/>
        </w:rPr>
        <w:t>14</w:t>
      </w:r>
      <w:r w:rsidR="003A269C" w:rsidRPr="00AF12BE">
        <w:rPr>
          <w:rFonts w:asciiTheme="majorHAnsi" w:hAnsiTheme="majorHAnsi" w:cstheme="majorHAnsi"/>
          <w:noProof/>
        </w:rPr>
        <w:fldChar w:fldCharType="end"/>
      </w:r>
      <w:r w:rsidRPr="00AF12BE">
        <w:rPr>
          <w:rFonts w:asciiTheme="majorHAnsi" w:hAnsiTheme="majorHAnsi" w:cstheme="majorHAnsi"/>
        </w:rPr>
        <w:t>: Resultados Plan Estratégico Empresarial – Objetivo 3</w:t>
      </w:r>
      <w:bookmarkEnd w:id="155"/>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0"/>
        <w:gridCol w:w="1748"/>
        <w:gridCol w:w="1561"/>
        <w:gridCol w:w="1700"/>
        <w:gridCol w:w="1835"/>
      </w:tblGrid>
      <w:tr w:rsidR="00102E95" w:rsidRPr="00A51E6E" w14:paraId="6D26F16C" w14:textId="77777777" w:rsidTr="00E86A22">
        <w:trPr>
          <w:trHeight w:val="346"/>
          <w:tblHeader/>
        </w:trPr>
        <w:tc>
          <w:tcPr>
            <w:tcW w:w="971" w:type="pct"/>
            <w:shd w:val="clear" w:color="auto" w:fill="44546A"/>
            <w:vAlign w:val="center"/>
            <w:hideMark/>
          </w:tcPr>
          <w:p w14:paraId="25A2B1CC" w14:textId="77777777" w:rsidR="00102E95" w:rsidRPr="00A51E6E" w:rsidRDefault="00102E95" w:rsidP="00E86A22">
            <w:pPr>
              <w:jc w:val="center"/>
              <w:rPr>
                <w:rFonts w:eastAsia="Times New Roman" w:cs="Calibri"/>
                <w:b/>
                <w:bCs/>
                <w:color w:val="FFFFFF"/>
                <w:sz w:val="20"/>
                <w:szCs w:val="14"/>
                <w:lang w:val="es-ES_tradnl" w:eastAsia="es-EC"/>
              </w:rPr>
            </w:pPr>
            <w:r w:rsidRPr="00A51E6E">
              <w:rPr>
                <w:rFonts w:eastAsia="Times New Roman" w:cs="Calibri"/>
                <w:b/>
                <w:bCs/>
                <w:color w:val="FFFFFF"/>
                <w:sz w:val="20"/>
                <w:szCs w:val="14"/>
                <w:lang w:val="es-ES_tradnl" w:eastAsia="es-EC"/>
              </w:rPr>
              <w:t>Indicador</w:t>
            </w:r>
          </w:p>
        </w:tc>
        <w:tc>
          <w:tcPr>
            <w:tcW w:w="1029" w:type="pct"/>
            <w:shd w:val="clear" w:color="auto" w:fill="44546A"/>
            <w:vAlign w:val="center"/>
            <w:hideMark/>
          </w:tcPr>
          <w:p w14:paraId="6D8BAE02" w14:textId="77777777" w:rsidR="00102E95" w:rsidRPr="00A51E6E" w:rsidRDefault="00102E95" w:rsidP="00E86A22">
            <w:pPr>
              <w:jc w:val="center"/>
              <w:rPr>
                <w:rFonts w:eastAsia="Times New Roman" w:cs="Calibri"/>
                <w:b/>
                <w:bCs/>
                <w:color w:val="FFFFFF"/>
                <w:sz w:val="20"/>
                <w:szCs w:val="14"/>
                <w:lang w:val="es-ES_tradnl" w:eastAsia="es-EC"/>
              </w:rPr>
            </w:pPr>
            <w:r w:rsidRPr="00A51E6E">
              <w:rPr>
                <w:rFonts w:eastAsia="Times New Roman" w:cs="Calibri"/>
                <w:b/>
                <w:bCs/>
                <w:color w:val="FFFFFF"/>
                <w:sz w:val="20"/>
                <w:szCs w:val="14"/>
                <w:lang w:val="es-ES_tradnl" w:eastAsia="es-EC"/>
              </w:rPr>
              <w:t xml:space="preserve">Unidad de </w:t>
            </w:r>
          </w:p>
          <w:p w14:paraId="229F66D5" w14:textId="77777777" w:rsidR="00102E95" w:rsidRPr="00A51E6E" w:rsidRDefault="00102E95" w:rsidP="00E86A22">
            <w:pPr>
              <w:jc w:val="center"/>
              <w:rPr>
                <w:rFonts w:eastAsia="Times New Roman" w:cs="Calibri"/>
                <w:b/>
                <w:bCs/>
                <w:color w:val="FFFFFF"/>
                <w:sz w:val="20"/>
                <w:szCs w:val="14"/>
                <w:lang w:val="es-ES_tradnl" w:eastAsia="es-EC"/>
              </w:rPr>
            </w:pPr>
            <w:r w:rsidRPr="00A51E6E">
              <w:rPr>
                <w:rFonts w:eastAsia="Times New Roman" w:cs="Calibri"/>
                <w:b/>
                <w:bCs/>
                <w:color w:val="FFFFFF"/>
                <w:sz w:val="20"/>
                <w:szCs w:val="14"/>
                <w:lang w:val="es-ES_tradnl" w:eastAsia="es-EC"/>
              </w:rPr>
              <w:t>Medida</w:t>
            </w:r>
          </w:p>
        </w:tc>
        <w:tc>
          <w:tcPr>
            <w:tcW w:w="919" w:type="pct"/>
            <w:shd w:val="clear" w:color="auto" w:fill="44546A"/>
            <w:vAlign w:val="center"/>
          </w:tcPr>
          <w:p w14:paraId="5838C6A1" w14:textId="77777777" w:rsidR="00102E95" w:rsidRPr="00A51E6E" w:rsidRDefault="00102E95" w:rsidP="00E86A22">
            <w:pPr>
              <w:jc w:val="center"/>
              <w:rPr>
                <w:rFonts w:eastAsia="Times New Roman" w:cs="Calibri"/>
                <w:b/>
                <w:bCs/>
                <w:color w:val="FFFFFF"/>
                <w:sz w:val="20"/>
                <w:szCs w:val="14"/>
                <w:lang w:val="es-ES_tradnl" w:eastAsia="es-EC"/>
              </w:rPr>
            </w:pPr>
            <w:r w:rsidRPr="00A51E6E">
              <w:rPr>
                <w:rFonts w:eastAsia="Times New Roman" w:cs="Calibri"/>
                <w:b/>
                <w:bCs/>
                <w:color w:val="FFFFFF"/>
                <w:sz w:val="20"/>
                <w:szCs w:val="14"/>
                <w:lang w:val="es-ES_tradnl" w:eastAsia="es-EC"/>
              </w:rPr>
              <w:t xml:space="preserve">Meta </w:t>
            </w:r>
          </w:p>
          <w:p w14:paraId="1528F2BF" w14:textId="77777777" w:rsidR="00102E95" w:rsidRPr="00A51E6E" w:rsidRDefault="00102E95" w:rsidP="00E86A22">
            <w:pPr>
              <w:jc w:val="center"/>
              <w:rPr>
                <w:rFonts w:eastAsia="Times New Roman" w:cs="Calibri"/>
                <w:b/>
                <w:bCs/>
                <w:color w:val="FFFFFF"/>
                <w:sz w:val="20"/>
                <w:szCs w:val="14"/>
                <w:lang w:val="es-ES_tradnl" w:eastAsia="es-EC"/>
              </w:rPr>
            </w:pPr>
            <w:r w:rsidRPr="00A51E6E">
              <w:rPr>
                <w:rFonts w:eastAsia="Times New Roman" w:cs="Calibri"/>
                <w:b/>
                <w:bCs/>
                <w:color w:val="FFFFFF"/>
                <w:sz w:val="20"/>
                <w:szCs w:val="14"/>
                <w:lang w:val="es-ES_tradnl" w:eastAsia="es-EC"/>
              </w:rPr>
              <w:t>Acumulada</w:t>
            </w:r>
          </w:p>
        </w:tc>
        <w:tc>
          <w:tcPr>
            <w:tcW w:w="1001" w:type="pct"/>
            <w:shd w:val="clear" w:color="auto" w:fill="44546A"/>
            <w:vAlign w:val="center"/>
          </w:tcPr>
          <w:p w14:paraId="5EF53E36" w14:textId="77777777" w:rsidR="00102E95" w:rsidRPr="00A51E6E" w:rsidRDefault="00102E95" w:rsidP="00E86A22">
            <w:pPr>
              <w:jc w:val="center"/>
              <w:rPr>
                <w:rFonts w:eastAsia="Times New Roman" w:cs="Calibri"/>
                <w:b/>
                <w:bCs/>
                <w:color w:val="FFFFFF"/>
                <w:sz w:val="20"/>
                <w:szCs w:val="14"/>
                <w:lang w:val="es-ES_tradnl" w:eastAsia="es-EC"/>
              </w:rPr>
            </w:pPr>
            <w:r w:rsidRPr="00A51E6E">
              <w:rPr>
                <w:rFonts w:eastAsia="Times New Roman" w:cs="Calibri"/>
                <w:b/>
                <w:bCs/>
                <w:color w:val="FFFFFF"/>
                <w:sz w:val="20"/>
                <w:szCs w:val="14"/>
                <w:lang w:val="es-ES_tradnl" w:eastAsia="es-EC"/>
              </w:rPr>
              <w:t xml:space="preserve">Resultado Acumulado </w:t>
            </w:r>
          </w:p>
        </w:tc>
        <w:tc>
          <w:tcPr>
            <w:tcW w:w="1081" w:type="pct"/>
            <w:shd w:val="clear" w:color="auto" w:fill="44546A"/>
            <w:vAlign w:val="center"/>
          </w:tcPr>
          <w:p w14:paraId="016079A2" w14:textId="77777777" w:rsidR="00102E95" w:rsidRPr="00A51E6E" w:rsidRDefault="00102E95" w:rsidP="00E86A22">
            <w:pPr>
              <w:jc w:val="center"/>
              <w:rPr>
                <w:rFonts w:eastAsia="Times New Roman" w:cs="Calibri"/>
                <w:b/>
                <w:bCs/>
                <w:color w:val="FFFFFF"/>
                <w:sz w:val="20"/>
                <w:szCs w:val="14"/>
                <w:lang w:val="es-ES_tradnl" w:eastAsia="es-EC"/>
              </w:rPr>
            </w:pPr>
            <w:r w:rsidRPr="00A51E6E">
              <w:rPr>
                <w:rFonts w:eastAsia="Times New Roman" w:cs="Calibri"/>
                <w:b/>
                <w:bCs/>
                <w:color w:val="FFFFFF"/>
                <w:sz w:val="20"/>
                <w:szCs w:val="14"/>
                <w:lang w:val="es-ES_tradnl" w:eastAsia="es-EC"/>
              </w:rPr>
              <w:t>% Cumplimiento</w:t>
            </w:r>
          </w:p>
        </w:tc>
      </w:tr>
      <w:tr w:rsidR="00102E95" w:rsidRPr="00A51E6E" w14:paraId="30C21A8C" w14:textId="77777777" w:rsidTr="00E86A22">
        <w:trPr>
          <w:trHeight w:val="587"/>
        </w:trPr>
        <w:tc>
          <w:tcPr>
            <w:tcW w:w="971" w:type="pct"/>
            <w:shd w:val="clear" w:color="auto" w:fill="auto"/>
            <w:vAlign w:val="center"/>
            <w:hideMark/>
          </w:tcPr>
          <w:p w14:paraId="0A08B792" w14:textId="77777777" w:rsidR="00102E95" w:rsidRPr="00A51E6E" w:rsidRDefault="00102E95" w:rsidP="00E86A22">
            <w:pPr>
              <w:rPr>
                <w:rFonts w:eastAsia="Times New Roman" w:cs="Calibri"/>
                <w:sz w:val="18"/>
                <w:szCs w:val="14"/>
                <w:lang w:val="es-ES_tradnl" w:eastAsia="es-EC"/>
              </w:rPr>
            </w:pPr>
            <w:r w:rsidRPr="00A51E6E">
              <w:rPr>
                <w:rFonts w:eastAsia="Times New Roman" w:cs="Calibri"/>
                <w:sz w:val="18"/>
                <w:szCs w:val="14"/>
                <w:lang w:val="es-ES_tradnl" w:eastAsia="es-EC"/>
              </w:rPr>
              <w:t>Producción de Gas Natural</w:t>
            </w:r>
          </w:p>
        </w:tc>
        <w:tc>
          <w:tcPr>
            <w:tcW w:w="1029" w:type="pct"/>
            <w:shd w:val="clear" w:color="auto" w:fill="auto"/>
            <w:vAlign w:val="center"/>
          </w:tcPr>
          <w:p w14:paraId="0B771A4F" w14:textId="77777777" w:rsidR="00102E95" w:rsidRPr="00A51E6E" w:rsidRDefault="00102E95" w:rsidP="00E86A22">
            <w:pPr>
              <w:jc w:val="center"/>
              <w:rPr>
                <w:rFonts w:eastAsia="Times New Roman" w:cs="Calibri"/>
                <w:sz w:val="18"/>
                <w:szCs w:val="14"/>
                <w:lang w:val="es-ES_tradnl" w:eastAsia="es-EC"/>
              </w:rPr>
            </w:pPr>
            <w:r w:rsidRPr="00A51E6E">
              <w:rPr>
                <w:rFonts w:eastAsia="Times New Roman" w:cs="Calibri"/>
                <w:sz w:val="18"/>
                <w:szCs w:val="14"/>
                <w:lang w:val="es-ES_tradnl" w:eastAsia="es-EC"/>
              </w:rPr>
              <w:t>Porcentaje</w:t>
            </w:r>
          </w:p>
        </w:tc>
        <w:tc>
          <w:tcPr>
            <w:tcW w:w="919" w:type="pct"/>
            <w:vAlign w:val="center"/>
          </w:tcPr>
          <w:p w14:paraId="7338FA00" w14:textId="77777777" w:rsidR="00102E95" w:rsidRPr="00A51E6E" w:rsidRDefault="00102E95" w:rsidP="00E86A22">
            <w:pPr>
              <w:jc w:val="center"/>
              <w:rPr>
                <w:rFonts w:eastAsia="Times New Roman" w:cs="Calibri"/>
                <w:sz w:val="18"/>
                <w:szCs w:val="14"/>
                <w:lang w:val="es-ES_tradnl" w:eastAsia="es-EC"/>
              </w:rPr>
            </w:pPr>
            <w:r w:rsidRPr="00A51E6E">
              <w:rPr>
                <w:rFonts w:eastAsia="Times New Roman" w:cs="Calibri"/>
                <w:sz w:val="18"/>
                <w:szCs w:val="14"/>
                <w:lang w:val="es-ES_tradnl" w:eastAsia="es-EC"/>
              </w:rPr>
              <w:t>100,00%</w:t>
            </w:r>
          </w:p>
        </w:tc>
        <w:tc>
          <w:tcPr>
            <w:tcW w:w="1001" w:type="pct"/>
            <w:vAlign w:val="center"/>
          </w:tcPr>
          <w:p w14:paraId="6BDBBFC5" w14:textId="77777777" w:rsidR="00102E95" w:rsidRPr="00A51E6E" w:rsidRDefault="00102E95" w:rsidP="00E86A22">
            <w:pPr>
              <w:jc w:val="center"/>
              <w:rPr>
                <w:rFonts w:eastAsia="Times New Roman"/>
                <w:sz w:val="18"/>
                <w:szCs w:val="14"/>
                <w:lang w:val="es-ES" w:eastAsia="es-EC"/>
              </w:rPr>
            </w:pPr>
            <w:r w:rsidRPr="00A51E6E">
              <w:rPr>
                <w:rFonts w:eastAsia="Times New Roman"/>
                <w:sz w:val="18"/>
                <w:szCs w:val="14"/>
                <w:lang w:val="es-ES" w:eastAsia="es-EC"/>
              </w:rPr>
              <w:t>32,46%</w:t>
            </w:r>
          </w:p>
        </w:tc>
        <w:tc>
          <w:tcPr>
            <w:tcW w:w="1081" w:type="pct"/>
            <w:vAlign w:val="center"/>
          </w:tcPr>
          <w:p w14:paraId="6858C673" w14:textId="77777777" w:rsidR="00102E95" w:rsidRPr="00A51E6E" w:rsidRDefault="00102E95" w:rsidP="00E86A22">
            <w:pPr>
              <w:jc w:val="center"/>
              <w:rPr>
                <w:rFonts w:eastAsia="Times New Roman"/>
                <w:sz w:val="18"/>
                <w:szCs w:val="14"/>
                <w:lang w:val="es-ES" w:eastAsia="es-EC"/>
              </w:rPr>
            </w:pPr>
            <w:r w:rsidRPr="00A51E6E">
              <w:rPr>
                <w:rFonts w:eastAsia="Times New Roman"/>
                <w:sz w:val="18"/>
                <w:szCs w:val="14"/>
                <w:lang w:val="es-ES" w:eastAsia="es-EC"/>
              </w:rPr>
              <w:t>32,46%</w:t>
            </w:r>
          </w:p>
        </w:tc>
      </w:tr>
      <w:tr w:rsidR="00102E95" w:rsidRPr="00A51E6E" w14:paraId="562645DF" w14:textId="77777777" w:rsidTr="00E86A22">
        <w:trPr>
          <w:trHeight w:val="403"/>
        </w:trPr>
        <w:tc>
          <w:tcPr>
            <w:tcW w:w="971" w:type="pct"/>
            <w:shd w:val="clear" w:color="auto" w:fill="auto"/>
            <w:vAlign w:val="center"/>
            <w:hideMark/>
          </w:tcPr>
          <w:p w14:paraId="21812E80" w14:textId="77777777" w:rsidR="00102E95" w:rsidRPr="00A51E6E" w:rsidRDefault="00102E95" w:rsidP="00E86A22">
            <w:pPr>
              <w:rPr>
                <w:rFonts w:eastAsia="Times New Roman" w:cs="Calibri"/>
                <w:sz w:val="18"/>
                <w:szCs w:val="14"/>
                <w:lang w:val="es-ES_tradnl" w:eastAsia="es-EC"/>
              </w:rPr>
            </w:pPr>
            <w:r w:rsidRPr="00A51E6E">
              <w:rPr>
                <w:rFonts w:eastAsia="Times New Roman" w:cs="Calibri"/>
                <w:sz w:val="18"/>
                <w:szCs w:val="14"/>
                <w:lang w:val="es-ES_tradnl" w:eastAsia="es-EC"/>
              </w:rPr>
              <w:t>Producción de Petróleo</w:t>
            </w:r>
          </w:p>
        </w:tc>
        <w:tc>
          <w:tcPr>
            <w:tcW w:w="1029" w:type="pct"/>
            <w:shd w:val="clear" w:color="auto" w:fill="auto"/>
            <w:vAlign w:val="center"/>
          </w:tcPr>
          <w:p w14:paraId="73E19C78" w14:textId="77777777" w:rsidR="00102E95" w:rsidRPr="00A51E6E" w:rsidRDefault="00102E95" w:rsidP="00E86A22">
            <w:pPr>
              <w:jc w:val="center"/>
              <w:rPr>
                <w:rFonts w:eastAsia="Times New Roman" w:cs="Calibri"/>
                <w:sz w:val="18"/>
                <w:szCs w:val="14"/>
                <w:lang w:val="es-ES_tradnl" w:eastAsia="es-EC"/>
              </w:rPr>
            </w:pPr>
            <w:r w:rsidRPr="00A51E6E">
              <w:rPr>
                <w:rFonts w:eastAsia="Times New Roman" w:cs="Calibri"/>
                <w:sz w:val="18"/>
                <w:szCs w:val="14"/>
                <w:lang w:val="es-ES_tradnl" w:eastAsia="es-EC"/>
              </w:rPr>
              <w:t>Porcentaje</w:t>
            </w:r>
          </w:p>
        </w:tc>
        <w:tc>
          <w:tcPr>
            <w:tcW w:w="919" w:type="pct"/>
            <w:vAlign w:val="center"/>
          </w:tcPr>
          <w:p w14:paraId="313C9BBC" w14:textId="77777777" w:rsidR="00102E95" w:rsidRPr="00A51E6E" w:rsidRDefault="00102E95" w:rsidP="00E86A22">
            <w:pPr>
              <w:jc w:val="center"/>
              <w:rPr>
                <w:rFonts w:eastAsia="Times New Roman" w:cs="Calibri"/>
                <w:color w:val="000000"/>
                <w:sz w:val="18"/>
                <w:szCs w:val="14"/>
                <w:lang w:val="es-ES_tradnl" w:eastAsia="es-EC"/>
              </w:rPr>
            </w:pPr>
            <w:r w:rsidRPr="00A51E6E">
              <w:rPr>
                <w:rFonts w:eastAsia="Times New Roman" w:cs="Calibri"/>
                <w:sz w:val="18"/>
                <w:szCs w:val="14"/>
                <w:lang w:val="es-ES_tradnl" w:eastAsia="es-EC"/>
              </w:rPr>
              <w:t>100,00%</w:t>
            </w:r>
          </w:p>
        </w:tc>
        <w:tc>
          <w:tcPr>
            <w:tcW w:w="1001" w:type="pct"/>
            <w:vAlign w:val="center"/>
          </w:tcPr>
          <w:p w14:paraId="7D2F43C0" w14:textId="77777777" w:rsidR="00102E95" w:rsidRPr="00A51E6E" w:rsidRDefault="00102E95" w:rsidP="00E86A22">
            <w:pPr>
              <w:jc w:val="center"/>
              <w:rPr>
                <w:rFonts w:eastAsia="Times New Roman"/>
                <w:color w:val="000000"/>
                <w:sz w:val="18"/>
                <w:szCs w:val="14"/>
                <w:lang w:val="es-ES" w:eastAsia="es-EC"/>
              </w:rPr>
            </w:pPr>
            <w:r w:rsidRPr="00A51E6E">
              <w:rPr>
                <w:rFonts w:eastAsia="Times New Roman"/>
                <w:color w:val="000000"/>
                <w:sz w:val="18"/>
                <w:szCs w:val="14"/>
                <w:lang w:val="es-ES" w:eastAsia="es-EC"/>
              </w:rPr>
              <w:t>99,13%</w:t>
            </w:r>
          </w:p>
        </w:tc>
        <w:tc>
          <w:tcPr>
            <w:tcW w:w="1081" w:type="pct"/>
            <w:vAlign w:val="center"/>
          </w:tcPr>
          <w:p w14:paraId="19470F65" w14:textId="77777777" w:rsidR="00102E95" w:rsidRPr="00A51E6E" w:rsidRDefault="00102E95" w:rsidP="00E86A22">
            <w:pPr>
              <w:jc w:val="center"/>
              <w:rPr>
                <w:rFonts w:eastAsia="Times New Roman"/>
                <w:color w:val="000000"/>
                <w:sz w:val="18"/>
                <w:szCs w:val="14"/>
                <w:lang w:val="es-ES" w:eastAsia="es-EC"/>
              </w:rPr>
            </w:pPr>
            <w:r w:rsidRPr="00A51E6E">
              <w:rPr>
                <w:rFonts w:eastAsia="Times New Roman"/>
                <w:color w:val="000000"/>
                <w:sz w:val="18"/>
                <w:szCs w:val="14"/>
                <w:lang w:val="es-ES" w:eastAsia="es-EC"/>
              </w:rPr>
              <w:t>99,13%</w:t>
            </w:r>
          </w:p>
        </w:tc>
      </w:tr>
    </w:tbl>
    <w:p w14:paraId="15534DFC" w14:textId="77777777" w:rsidR="00102E95" w:rsidRPr="00140159" w:rsidRDefault="00102E95" w:rsidP="00102E95">
      <w:pPr>
        <w:jc w:val="center"/>
        <w:rPr>
          <w:rFonts w:ascii="Calibri Light" w:hAnsi="Calibri Light" w:cs="Calibri Light"/>
          <w:i/>
          <w:color w:val="7F7F7F"/>
          <w:sz w:val="16"/>
          <w:szCs w:val="16"/>
        </w:rPr>
      </w:pPr>
      <w:r w:rsidRPr="00140159">
        <w:rPr>
          <w:rFonts w:ascii="Calibri Light" w:hAnsi="Calibri Light" w:cs="Calibri Light"/>
          <w:i/>
          <w:color w:val="7F7F7F"/>
          <w:sz w:val="16"/>
          <w:szCs w:val="16"/>
        </w:rPr>
        <w:t>Fuente: Unidades de la EP PETROECUADOR, Información acumulada al 31 de diciembre de 2024</w:t>
      </w:r>
    </w:p>
    <w:p w14:paraId="37E38B72" w14:textId="77777777" w:rsidR="00102E95" w:rsidRPr="00D14B1D" w:rsidRDefault="00102E95" w:rsidP="00102E95">
      <w:pPr>
        <w:jc w:val="center"/>
        <w:rPr>
          <w:rFonts w:ascii="Calibri Light" w:hAnsi="Calibri Light" w:cs="Calibri Light"/>
          <w:sz w:val="20"/>
        </w:rPr>
      </w:pPr>
    </w:p>
    <w:p w14:paraId="49120FCA" w14:textId="77777777" w:rsidR="00213F2B" w:rsidRDefault="00213F2B" w:rsidP="00213F2B">
      <w:pPr>
        <w:pStyle w:val="Ttulo4"/>
        <w:rPr>
          <w:i w:val="0"/>
          <w:sz w:val="22"/>
          <w:szCs w:val="22"/>
        </w:rPr>
      </w:pPr>
      <w:bookmarkStart w:id="157" w:name="_Toc195709788"/>
      <w:bookmarkStart w:id="158" w:name="_Toc197335103"/>
    </w:p>
    <w:p w14:paraId="2F697885" w14:textId="1D971BCB" w:rsidR="00102E95" w:rsidRPr="00091074" w:rsidRDefault="00102E95" w:rsidP="00091074">
      <w:pPr>
        <w:pStyle w:val="Ttulo4"/>
        <w:rPr>
          <w:i w:val="0"/>
          <w:sz w:val="22"/>
          <w:szCs w:val="22"/>
        </w:rPr>
      </w:pPr>
      <w:r w:rsidRPr="00091074">
        <w:rPr>
          <w:i w:val="0"/>
          <w:sz w:val="22"/>
          <w:szCs w:val="22"/>
        </w:rPr>
        <w:t xml:space="preserve">Mantener </w:t>
      </w:r>
      <w:r w:rsidR="00140159" w:rsidRPr="00091074">
        <w:rPr>
          <w:i w:val="0"/>
          <w:sz w:val="22"/>
          <w:szCs w:val="22"/>
        </w:rPr>
        <w:t>A</w:t>
      </w:r>
      <w:r w:rsidRPr="00091074">
        <w:rPr>
          <w:i w:val="0"/>
          <w:sz w:val="22"/>
          <w:szCs w:val="22"/>
        </w:rPr>
        <w:t xml:space="preserve">bastecido el </w:t>
      </w:r>
      <w:r w:rsidR="00140159" w:rsidRPr="00091074">
        <w:rPr>
          <w:i w:val="0"/>
          <w:sz w:val="22"/>
          <w:szCs w:val="22"/>
        </w:rPr>
        <w:t>M</w:t>
      </w:r>
      <w:r w:rsidRPr="00091074">
        <w:rPr>
          <w:i w:val="0"/>
          <w:sz w:val="22"/>
          <w:szCs w:val="22"/>
        </w:rPr>
        <w:t xml:space="preserve">ercado </w:t>
      </w:r>
      <w:r w:rsidR="00140159" w:rsidRPr="00091074">
        <w:rPr>
          <w:i w:val="0"/>
          <w:sz w:val="22"/>
          <w:szCs w:val="22"/>
        </w:rPr>
        <w:t>N</w:t>
      </w:r>
      <w:r w:rsidRPr="00091074">
        <w:rPr>
          <w:i w:val="0"/>
          <w:sz w:val="22"/>
          <w:szCs w:val="22"/>
        </w:rPr>
        <w:t xml:space="preserve">acional de </w:t>
      </w:r>
      <w:r w:rsidR="00140159" w:rsidRPr="00091074">
        <w:rPr>
          <w:i w:val="0"/>
          <w:sz w:val="22"/>
          <w:szCs w:val="22"/>
        </w:rPr>
        <w:t>D</w:t>
      </w:r>
      <w:r w:rsidRPr="00091074">
        <w:rPr>
          <w:i w:val="0"/>
          <w:sz w:val="22"/>
          <w:szCs w:val="22"/>
        </w:rPr>
        <w:t xml:space="preserve">erivados de </w:t>
      </w:r>
      <w:r w:rsidR="00140159" w:rsidRPr="00091074">
        <w:rPr>
          <w:i w:val="0"/>
          <w:sz w:val="22"/>
          <w:szCs w:val="22"/>
        </w:rPr>
        <w:t>H</w:t>
      </w:r>
      <w:r w:rsidRPr="00091074">
        <w:rPr>
          <w:i w:val="0"/>
          <w:sz w:val="22"/>
          <w:szCs w:val="22"/>
        </w:rPr>
        <w:t>idrocarburos</w:t>
      </w:r>
      <w:bookmarkEnd w:id="157"/>
      <w:bookmarkEnd w:id="158"/>
    </w:p>
    <w:p w14:paraId="7C415390" w14:textId="77777777" w:rsidR="00102E95" w:rsidRPr="00D14B1D" w:rsidRDefault="00102E95" w:rsidP="00102E95">
      <w:pPr>
        <w:spacing w:before="240" w:after="240"/>
        <w:jc w:val="both"/>
        <w:rPr>
          <w:rFonts w:ascii="Calibri Light" w:hAnsi="Calibri Light" w:cs="Calibri Light"/>
          <w:sz w:val="22"/>
        </w:rPr>
      </w:pPr>
      <w:r w:rsidRPr="00D14B1D">
        <w:rPr>
          <w:rFonts w:ascii="Calibri Light" w:hAnsi="Calibri Light" w:cs="Calibri Light"/>
          <w:sz w:val="22"/>
        </w:rPr>
        <w:t>Para mantener abastecido el mercado nacional de derivados de hidrocarburos se plantearon los indicadores que se detallan a continuación con sus respectivos resultados:</w:t>
      </w:r>
    </w:p>
    <w:p w14:paraId="712FC5ED" w14:textId="77777777" w:rsidR="00102E95" w:rsidRPr="0078513B" w:rsidRDefault="00102E95" w:rsidP="00102E95">
      <w:pPr>
        <w:pStyle w:val="Prrafodelista"/>
        <w:numPr>
          <w:ilvl w:val="0"/>
          <w:numId w:val="51"/>
        </w:numPr>
        <w:spacing w:before="240" w:after="240"/>
        <w:jc w:val="both"/>
      </w:pPr>
      <w:r w:rsidRPr="00D14B1D">
        <w:rPr>
          <w:rFonts w:ascii="Calibri Light" w:hAnsi="Calibri Light" w:cs="Calibri Light"/>
          <w:sz w:val="22"/>
          <w:u w:val="single"/>
        </w:rPr>
        <w:t>Cobertura de la demanda nacional</w:t>
      </w:r>
      <w:r w:rsidRPr="00D14B1D">
        <w:rPr>
          <w:rFonts w:ascii="Calibri Light" w:hAnsi="Calibri Light" w:cs="Calibri Light"/>
          <w:sz w:val="22"/>
        </w:rPr>
        <w:t xml:space="preserve">, en el año 2024 se comercializaron 106.525.817,10 barriles de los 112.248.196,86 planificados con cumplimiento del 98,86%; esto fue debido a que el sector eléctrico hasta el mes de septiembre realizó requerimientos de </w:t>
      </w:r>
      <w:r w:rsidRPr="00D14B1D">
        <w:rPr>
          <w:rFonts w:ascii="Calibri Light" w:hAnsi="Calibri Light" w:cs="Calibri Light"/>
          <w:sz w:val="22"/>
        </w:rPr>
        <w:lastRenderedPageBreak/>
        <w:t xml:space="preserve">combustibles significativamente inferiores a los que estimó al momento de elaborar las proyecciones, a partir de octubre se abasteció a este sector según disponibilidad de producto en los diferentes centros operativos considerando los altos requerimientos por el severo estiaje que atravesó el país. </w:t>
      </w:r>
    </w:p>
    <w:p w14:paraId="50C916CC" w14:textId="77777777" w:rsidR="00102E95" w:rsidRPr="00D14B1D" w:rsidRDefault="00102E95" w:rsidP="00102E95">
      <w:pPr>
        <w:pStyle w:val="Prrafodelista"/>
        <w:numPr>
          <w:ilvl w:val="0"/>
          <w:numId w:val="51"/>
        </w:numPr>
        <w:spacing w:before="240" w:after="240"/>
        <w:jc w:val="both"/>
        <w:rPr>
          <w:rFonts w:ascii="Calibri Light" w:hAnsi="Calibri Light" w:cs="Calibri Light"/>
          <w:sz w:val="22"/>
        </w:rPr>
      </w:pPr>
      <w:r w:rsidRPr="00D14B1D">
        <w:rPr>
          <w:rFonts w:ascii="Calibri Light" w:hAnsi="Calibri Light" w:cs="Calibri Light"/>
          <w:sz w:val="22"/>
          <w:u w:val="single"/>
        </w:rPr>
        <w:t>Índice de disponibilidad de Plantas</w:t>
      </w:r>
      <w:r w:rsidRPr="00D14B1D">
        <w:rPr>
          <w:rFonts w:ascii="Calibri Light" w:hAnsi="Calibri Light" w:cs="Calibri Light"/>
          <w:sz w:val="22"/>
        </w:rPr>
        <w:t xml:space="preserve"> refleja el tiempo que una planta o equipo está disponible para la producción, teniendo en cuenta el tiempo de parada planificada y no planificada, en el año 2024 la disponibilidad efectiva fue de 271,22 días con relación a la disponibilidad programada que fue de 333,73 días, debido a que se tuvo paradas emergentes y técnicas de las unidades en Refinería Esmeraldas, Refinería La libertad y Shushufindi.</w:t>
      </w:r>
    </w:p>
    <w:p w14:paraId="4D7C7A22" w14:textId="77777777" w:rsidR="00102E95" w:rsidRPr="00153DFA" w:rsidRDefault="00102E95" w:rsidP="00102E95">
      <w:pPr>
        <w:pStyle w:val="Prrafodelista"/>
        <w:numPr>
          <w:ilvl w:val="0"/>
          <w:numId w:val="51"/>
        </w:numPr>
        <w:spacing w:before="240" w:after="240"/>
        <w:jc w:val="both"/>
      </w:pPr>
      <w:r w:rsidRPr="00D14B1D">
        <w:rPr>
          <w:rFonts w:ascii="Calibri Light" w:hAnsi="Calibri Light" w:cs="Calibri Light"/>
          <w:sz w:val="22"/>
          <w:u w:val="single"/>
        </w:rPr>
        <w:t>Disponibilidad de Poliductos</w:t>
      </w:r>
      <w:r w:rsidRPr="00D14B1D">
        <w:rPr>
          <w:rFonts w:ascii="Calibri Light" w:hAnsi="Calibri Light" w:cs="Calibri Light"/>
          <w:sz w:val="22"/>
        </w:rPr>
        <w:t>, en base a cada uno de sus caudales de bombeo, todos los poliductos de la red, cumplen con la programación operativa de las partidas, donde las diferentes paralizaciones del indicador de disponibilidad, en su mayoría se debe por causas internas (mantenimiento no programado, falla en la operación etc.). El resultado en el año 2024 fue del 100%.</w:t>
      </w:r>
    </w:p>
    <w:p w14:paraId="3B664504" w14:textId="77777777" w:rsidR="00102E95" w:rsidRPr="00973681" w:rsidRDefault="00102E95" w:rsidP="00102E95">
      <w:pPr>
        <w:pStyle w:val="Prrafodelista"/>
        <w:numPr>
          <w:ilvl w:val="0"/>
          <w:numId w:val="51"/>
        </w:numPr>
        <w:spacing w:before="240" w:after="240"/>
        <w:jc w:val="both"/>
        <w:rPr>
          <w:rFonts w:cs="Arial"/>
          <w:lang w:val="es-ES"/>
        </w:rPr>
      </w:pPr>
      <w:r w:rsidRPr="00D14B1D">
        <w:rPr>
          <w:rFonts w:ascii="Calibri Light" w:hAnsi="Calibri Light" w:cs="Calibri Light"/>
          <w:sz w:val="22"/>
          <w:u w:val="single"/>
        </w:rPr>
        <w:t>Niveles de derivados (stock de seguridad)</w:t>
      </w:r>
      <w:r w:rsidRPr="00D14B1D">
        <w:rPr>
          <w:rFonts w:ascii="Calibri Light" w:hAnsi="Calibri Light" w:cs="Calibri Light"/>
          <w:sz w:val="22"/>
        </w:rPr>
        <w:t>, los días de stocks son determinados en función a las importaciones programadas, oferta de refinerías y demanda de combustibles a nivel nacional. Los niveles de derivados del año 2024 fueron 11,38 días frente a una meta de 10,50 días.</w:t>
      </w:r>
    </w:p>
    <w:p w14:paraId="56E2C76F" w14:textId="517BECC6" w:rsidR="00AF12BE" w:rsidRPr="00F7193D" w:rsidRDefault="00102E95" w:rsidP="00F7193D">
      <w:pPr>
        <w:pStyle w:val="Prrafodelista"/>
        <w:numPr>
          <w:ilvl w:val="0"/>
          <w:numId w:val="51"/>
        </w:numPr>
        <w:spacing w:before="240" w:after="240"/>
        <w:jc w:val="both"/>
        <w:rPr>
          <w:rFonts w:ascii="Calibri Light" w:hAnsi="Calibri Light" w:cs="Calibri Light"/>
          <w:sz w:val="22"/>
        </w:rPr>
      </w:pPr>
      <w:r w:rsidRPr="00D14B1D">
        <w:rPr>
          <w:rFonts w:ascii="Calibri Light" w:hAnsi="Calibri Light" w:cs="Calibri Light"/>
          <w:sz w:val="22"/>
          <w:u w:val="single"/>
        </w:rPr>
        <w:t>Importación de derivados de hidrocarburos</w:t>
      </w:r>
      <w:r w:rsidRPr="00D14B1D">
        <w:rPr>
          <w:rFonts w:ascii="Calibri Light" w:hAnsi="Calibri Light" w:cs="Calibri Light"/>
          <w:sz w:val="22"/>
        </w:rPr>
        <w:t xml:space="preserve">, en el año 2024 se importaron 70.868.579,24 </w:t>
      </w:r>
      <w:proofErr w:type="spellStart"/>
      <w:r w:rsidRPr="00D14B1D">
        <w:rPr>
          <w:rFonts w:ascii="Calibri Light" w:hAnsi="Calibri Light" w:cs="Calibri Light"/>
          <w:sz w:val="22"/>
        </w:rPr>
        <w:t>bls</w:t>
      </w:r>
      <w:proofErr w:type="spellEnd"/>
      <w:r w:rsidRPr="00D14B1D">
        <w:rPr>
          <w:rFonts w:ascii="Calibri Light" w:hAnsi="Calibri Light" w:cs="Calibri Light"/>
          <w:sz w:val="22"/>
        </w:rPr>
        <w:t xml:space="preserve">. de 68.688.696,10 </w:t>
      </w:r>
      <w:proofErr w:type="spellStart"/>
      <w:r w:rsidRPr="00D14B1D">
        <w:rPr>
          <w:rFonts w:ascii="Calibri Light" w:hAnsi="Calibri Light" w:cs="Calibri Light"/>
          <w:sz w:val="22"/>
        </w:rPr>
        <w:t>bls</w:t>
      </w:r>
      <w:proofErr w:type="spellEnd"/>
      <w:r w:rsidRPr="00D14B1D">
        <w:rPr>
          <w:rFonts w:ascii="Calibri Light" w:hAnsi="Calibri Light" w:cs="Calibri Light"/>
          <w:sz w:val="22"/>
        </w:rPr>
        <w:t>. planificados, es decir se alcanzó un cumplimiento anual del 103,17%; lo cual representó USD 6.598.003.114.</w:t>
      </w:r>
    </w:p>
    <w:p w14:paraId="6B5A09BF" w14:textId="4638C12B" w:rsidR="00102E95" w:rsidRPr="00213F2B" w:rsidRDefault="00102E95" w:rsidP="00213F2B">
      <w:pPr>
        <w:pStyle w:val="Ttulo4"/>
        <w:rPr>
          <w:i w:val="0"/>
        </w:rPr>
      </w:pPr>
      <w:bookmarkStart w:id="159" w:name="_Toc195709789"/>
      <w:bookmarkStart w:id="160" w:name="_Toc197335104"/>
      <w:r w:rsidRPr="00213F2B">
        <w:rPr>
          <w:i w:val="0"/>
        </w:rPr>
        <w:t xml:space="preserve">Incrementar las actividades de </w:t>
      </w:r>
      <w:r w:rsidR="00E23641" w:rsidRPr="00213F2B">
        <w:rPr>
          <w:i w:val="0"/>
        </w:rPr>
        <w:t>C</w:t>
      </w:r>
      <w:r w:rsidRPr="00213F2B">
        <w:rPr>
          <w:i w:val="0"/>
        </w:rPr>
        <w:t xml:space="preserve">omercio </w:t>
      </w:r>
      <w:r w:rsidR="00E23641" w:rsidRPr="00213F2B">
        <w:rPr>
          <w:i w:val="0"/>
        </w:rPr>
        <w:t>I</w:t>
      </w:r>
      <w:r w:rsidRPr="00213F2B">
        <w:rPr>
          <w:i w:val="0"/>
        </w:rPr>
        <w:t>nternacional</w:t>
      </w:r>
      <w:bookmarkEnd w:id="159"/>
      <w:bookmarkEnd w:id="160"/>
    </w:p>
    <w:p w14:paraId="7834E63C" w14:textId="77777777" w:rsidR="00102E95" w:rsidRPr="00D14B1D" w:rsidRDefault="00102E95" w:rsidP="00102E95">
      <w:pPr>
        <w:spacing w:before="240" w:after="240"/>
        <w:jc w:val="both"/>
        <w:rPr>
          <w:rFonts w:ascii="Calibri Light" w:hAnsi="Calibri Light" w:cs="Calibri Light"/>
          <w:sz w:val="22"/>
        </w:rPr>
      </w:pPr>
      <w:r w:rsidRPr="00D14B1D">
        <w:rPr>
          <w:rFonts w:ascii="Calibri Light" w:hAnsi="Calibri Light" w:cs="Calibri Light"/>
          <w:sz w:val="22"/>
        </w:rPr>
        <w:t>Para medir el incremento de las actividades de comercio internacional se plantearon los indicadores que se detallan a continuación con sus respectivos resultados:</w:t>
      </w:r>
    </w:p>
    <w:p w14:paraId="207183C2" w14:textId="77777777" w:rsidR="00102E95" w:rsidRDefault="00102E95" w:rsidP="00102E95">
      <w:pPr>
        <w:pStyle w:val="Prrafodelista"/>
        <w:numPr>
          <w:ilvl w:val="0"/>
          <w:numId w:val="44"/>
        </w:numPr>
        <w:spacing w:before="240" w:after="240"/>
        <w:jc w:val="both"/>
        <w:rPr>
          <w:rFonts w:ascii="Calibri Light" w:hAnsi="Calibri Light" w:cs="Calibri Light"/>
          <w:sz w:val="22"/>
        </w:rPr>
      </w:pPr>
      <w:r w:rsidRPr="00D14B1D">
        <w:rPr>
          <w:rFonts w:ascii="Calibri Light" w:hAnsi="Calibri Light" w:cs="Calibri Light"/>
          <w:sz w:val="22"/>
          <w:u w:val="single"/>
        </w:rPr>
        <w:t>Porcentaje de exportaciones de Crudo Oriente y Napo</w:t>
      </w:r>
      <w:r w:rsidRPr="00D14B1D">
        <w:rPr>
          <w:rFonts w:ascii="Calibri Light" w:hAnsi="Calibri Light" w:cs="Calibri Light"/>
          <w:sz w:val="22"/>
        </w:rPr>
        <w:t xml:space="preserve">, busca medir el cumplimiento de las entregas contractuales mediante la adecuada administración de los contratos de exportación de hidrocarburos; en el año 2024 se exportaron 113.458.936,05 barriles de los 115.260.000 planificados. El cumplimiento se debió a que la EP PETROECUADOR de conformidad a los contratos que mantiene vigentes, realiza entregas por un volumen contractual de 360.000 +/- 5% </w:t>
      </w:r>
      <w:proofErr w:type="spellStart"/>
      <w:r w:rsidRPr="00D14B1D">
        <w:rPr>
          <w:rFonts w:ascii="Calibri Light" w:hAnsi="Calibri Light" w:cs="Calibri Light"/>
          <w:sz w:val="22"/>
        </w:rPr>
        <w:t>ó</w:t>
      </w:r>
      <w:proofErr w:type="spellEnd"/>
      <w:r w:rsidRPr="00D14B1D">
        <w:rPr>
          <w:rFonts w:ascii="Calibri Light" w:hAnsi="Calibri Light" w:cs="Calibri Light"/>
          <w:sz w:val="22"/>
        </w:rPr>
        <w:t xml:space="preserve"> +/- 10% por cargamento, para cumplir con los términos contractuales y optimizar las exportaciones; y se realizó las siguientes exportaciones:</w:t>
      </w:r>
    </w:p>
    <w:p w14:paraId="3DD87BF9" w14:textId="77777777" w:rsidR="00102E95" w:rsidRPr="00D14B1D" w:rsidRDefault="00102E95" w:rsidP="00102E95">
      <w:pPr>
        <w:pStyle w:val="Prrafodelista"/>
        <w:spacing w:before="240" w:after="240"/>
        <w:jc w:val="both"/>
        <w:rPr>
          <w:rFonts w:ascii="Calibri Light" w:hAnsi="Calibri Light" w:cs="Calibri Light"/>
          <w:sz w:val="22"/>
        </w:rPr>
      </w:pPr>
    </w:p>
    <w:p w14:paraId="3518D8C6" w14:textId="77777777" w:rsidR="00102E95" w:rsidRPr="00D14B1D" w:rsidRDefault="00102E95" w:rsidP="00102E95">
      <w:pPr>
        <w:pStyle w:val="Prrafodelista"/>
        <w:numPr>
          <w:ilvl w:val="0"/>
          <w:numId w:val="43"/>
        </w:numPr>
        <w:spacing w:before="240" w:after="240"/>
        <w:jc w:val="both"/>
        <w:rPr>
          <w:rFonts w:ascii="Calibri Light" w:hAnsi="Calibri Light" w:cs="Calibri Light"/>
          <w:sz w:val="22"/>
        </w:rPr>
      </w:pPr>
      <w:r w:rsidRPr="00D14B1D">
        <w:rPr>
          <w:rFonts w:ascii="Calibri Light" w:hAnsi="Calibri Light" w:cs="Calibri Light"/>
          <w:sz w:val="22"/>
        </w:rPr>
        <w:t>129 cargamentos de Crudo Oriente</w:t>
      </w:r>
    </w:p>
    <w:p w14:paraId="1540EB30" w14:textId="77777777" w:rsidR="00102E95" w:rsidRPr="00D14B1D" w:rsidRDefault="00102E95" w:rsidP="00102E95">
      <w:pPr>
        <w:pStyle w:val="Prrafodelista"/>
        <w:numPr>
          <w:ilvl w:val="0"/>
          <w:numId w:val="43"/>
        </w:numPr>
        <w:spacing w:before="240" w:after="240"/>
        <w:jc w:val="both"/>
        <w:rPr>
          <w:rFonts w:ascii="Calibri Light" w:hAnsi="Calibri Light" w:cs="Calibri Light"/>
          <w:sz w:val="22"/>
        </w:rPr>
      </w:pPr>
      <w:r w:rsidRPr="00D14B1D">
        <w:rPr>
          <w:rFonts w:ascii="Calibri Light" w:hAnsi="Calibri Light" w:cs="Calibri Light"/>
          <w:sz w:val="22"/>
        </w:rPr>
        <w:t>128 cargamentos de Crudo Napo</w:t>
      </w:r>
    </w:p>
    <w:p w14:paraId="768B604F" w14:textId="77777777" w:rsidR="00102E95" w:rsidRPr="00C93D21" w:rsidRDefault="00102E95" w:rsidP="00102E95">
      <w:pPr>
        <w:pStyle w:val="Prrafodelista"/>
        <w:ind w:left="426"/>
        <w:jc w:val="both"/>
        <w:rPr>
          <w:rFonts w:cs="Arial"/>
          <w:lang w:val="es-ES_tradnl"/>
        </w:rPr>
      </w:pPr>
    </w:p>
    <w:p w14:paraId="78990469" w14:textId="1C2C0796" w:rsidR="00102E95" w:rsidRPr="00F7193D" w:rsidRDefault="00102E95" w:rsidP="00F7193D">
      <w:pPr>
        <w:pStyle w:val="Prrafodelista"/>
        <w:numPr>
          <w:ilvl w:val="0"/>
          <w:numId w:val="45"/>
        </w:numPr>
        <w:spacing w:before="240" w:after="240"/>
        <w:jc w:val="both"/>
        <w:rPr>
          <w:rFonts w:ascii="Calibri Light" w:hAnsi="Calibri Light" w:cs="Calibri Light"/>
          <w:sz w:val="22"/>
        </w:rPr>
      </w:pPr>
      <w:r w:rsidRPr="00D14B1D">
        <w:rPr>
          <w:rFonts w:ascii="Calibri Light" w:hAnsi="Calibri Light" w:cs="Calibri Light"/>
          <w:sz w:val="22"/>
          <w:u w:val="single"/>
        </w:rPr>
        <w:t>Porcentaje de exportaciones de productos derivados</w:t>
      </w:r>
      <w:r w:rsidRPr="00D14B1D">
        <w:rPr>
          <w:rFonts w:ascii="Calibri Light" w:hAnsi="Calibri Light" w:cs="Calibri Light"/>
          <w:sz w:val="22"/>
        </w:rPr>
        <w:t>, busca medir el cumplimiento de las entregas contractuales mediante la adecuada administración de los contratos de exportación de derivados. En el año 2024 se ejecutaron 32 cargamentos de Fuel Oíl N°6 y 2 cargamentos de VGO es decir 6.593.421,38 barriles de los 6.610.000 planificados.</w:t>
      </w:r>
    </w:p>
    <w:p w14:paraId="214B28C8" w14:textId="66EEFD2F" w:rsidR="00102E95" w:rsidRPr="00091074" w:rsidRDefault="00102E95" w:rsidP="00091074">
      <w:pPr>
        <w:pStyle w:val="Ttulo4"/>
        <w:rPr>
          <w:i w:val="0"/>
        </w:rPr>
      </w:pPr>
      <w:bookmarkStart w:id="161" w:name="_Toc195709790"/>
      <w:bookmarkStart w:id="162" w:name="_Toc197335105"/>
      <w:r w:rsidRPr="00091074">
        <w:rPr>
          <w:i w:val="0"/>
        </w:rPr>
        <w:t xml:space="preserve">Incrementar la </w:t>
      </w:r>
      <w:r w:rsidR="00E23641" w:rsidRPr="00091074">
        <w:rPr>
          <w:i w:val="0"/>
        </w:rPr>
        <w:t>E</w:t>
      </w:r>
      <w:r w:rsidRPr="00091074">
        <w:rPr>
          <w:i w:val="0"/>
        </w:rPr>
        <w:t xml:space="preserve">ficiencia </w:t>
      </w:r>
      <w:r w:rsidR="00E23641" w:rsidRPr="00091074">
        <w:rPr>
          <w:i w:val="0"/>
        </w:rPr>
        <w:t>E</w:t>
      </w:r>
      <w:r w:rsidRPr="00091074">
        <w:rPr>
          <w:i w:val="0"/>
        </w:rPr>
        <w:t>mpresarial</w:t>
      </w:r>
      <w:bookmarkEnd w:id="161"/>
      <w:bookmarkEnd w:id="162"/>
    </w:p>
    <w:p w14:paraId="5B684537" w14:textId="77777777" w:rsidR="00102E95" w:rsidRPr="00D14B1D" w:rsidRDefault="00102E95" w:rsidP="00102E95">
      <w:pPr>
        <w:spacing w:before="240" w:after="240"/>
        <w:jc w:val="both"/>
        <w:rPr>
          <w:rFonts w:ascii="Calibri Light" w:hAnsi="Calibri Light" w:cs="Calibri Light"/>
          <w:sz w:val="22"/>
        </w:rPr>
      </w:pPr>
      <w:r w:rsidRPr="00D14B1D">
        <w:rPr>
          <w:rFonts w:ascii="Calibri Light" w:hAnsi="Calibri Light" w:cs="Calibri Light"/>
          <w:sz w:val="22"/>
        </w:rPr>
        <w:t>Para medir el incremento de la eficiencia empresarial se plantearon los indicadores que se detallan a continuación con sus respectivos resultados:</w:t>
      </w:r>
    </w:p>
    <w:p w14:paraId="4A343089" w14:textId="77777777" w:rsidR="00102E95" w:rsidRPr="00D14B1D" w:rsidRDefault="00102E95" w:rsidP="00102E95">
      <w:pPr>
        <w:pStyle w:val="Prrafodelista"/>
        <w:numPr>
          <w:ilvl w:val="0"/>
          <w:numId w:val="46"/>
        </w:numPr>
        <w:spacing w:before="240" w:after="240"/>
        <w:jc w:val="both"/>
        <w:rPr>
          <w:rFonts w:ascii="Calibri Light" w:hAnsi="Calibri Light" w:cs="Calibri Light"/>
          <w:sz w:val="22"/>
        </w:rPr>
      </w:pPr>
      <w:r w:rsidRPr="00D14B1D">
        <w:rPr>
          <w:rFonts w:ascii="Calibri Light" w:hAnsi="Calibri Light" w:cs="Calibri Light"/>
          <w:sz w:val="22"/>
          <w:u w:val="single"/>
        </w:rPr>
        <w:lastRenderedPageBreak/>
        <w:t>Transporte de Crudo SOTE</w:t>
      </w:r>
      <w:r w:rsidRPr="00D14B1D">
        <w:rPr>
          <w:rFonts w:ascii="Calibri Light" w:hAnsi="Calibri Light" w:cs="Calibri Light"/>
          <w:sz w:val="22"/>
        </w:rPr>
        <w:t>, en el año 2024 se transportaron 104.348.303,29 barriles brutos de crudo, con relación a los 114.796.599,14 barriles recibidos, obteniendo un cumplimiento del 92,75%.</w:t>
      </w:r>
    </w:p>
    <w:p w14:paraId="4F36E4A4" w14:textId="77777777" w:rsidR="00102E95" w:rsidRPr="00D14B1D" w:rsidRDefault="00102E95" w:rsidP="00102E95">
      <w:pPr>
        <w:pStyle w:val="Prrafodelista"/>
        <w:spacing w:before="240" w:after="240"/>
        <w:jc w:val="both"/>
        <w:rPr>
          <w:rFonts w:ascii="Calibri Light" w:hAnsi="Calibri Light" w:cs="Calibri Light"/>
          <w:sz w:val="22"/>
        </w:rPr>
      </w:pPr>
    </w:p>
    <w:p w14:paraId="07EE3E80" w14:textId="77777777" w:rsidR="00102E95" w:rsidRPr="00D14B1D" w:rsidRDefault="00102E95" w:rsidP="00102E95">
      <w:pPr>
        <w:pStyle w:val="Prrafodelista"/>
        <w:numPr>
          <w:ilvl w:val="0"/>
          <w:numId w:val="46"/>
        </w:numPr>
        <w:spacing w:before="240" w:after="240"/>
        <w:jc w:val="both"/>
        <w:rPr>
          <w:rFonts w:ascii="Calibri Light" w:hAnsi="Calibri Light" w:cs="Calibri Light"/>
          <w:sz w:val="22"/>
        </w:rPr>
      </w:pPr>
      <w:r w:rsidRPr="00D14B1D">
        <w:rPr>
          <w:rFonts w:ascii="Calibri Light" w:hAnsi="Calibri Light" w:cs="Calibri Light"/>
          <w:sz w:val="22"/>
          <w:u w:val="single"/>
        </w:rPr>
        <w:t>Transporte de Derivados</w:t>
      </w:r>
      <w:r w:rsidRPr="00D14B1D">
        <w:rPr>
          <w:rFonts w:ascii="Calibri Light" w:hAnsi="Calibri Light" w:cs="Calibri Light"/>
          <w:sz w:val="22"/>
        </w:rPr>
        <w:t>, en el año 2024 se transportaron 99.658.032,64 barriles, con relación a los 101.930.032,92 barriles programados, obteniendo un cumplimiento del 99,77%.</w:t>
      </w:r>
    </w:p>
    <w:p w14:paraId="59E05C96" w14:textId="77777777" w:rsidR="00102E95" w:rsidRPr="00D14B1D" w:rsidRDefault="00102E95" w:rsidP="00102E95">
      <w:pPr>
        <w:pStyle w:val="Prrafodelista"/>
        <w:rPr>
          <w:rFonts w:ascii="Calibri Light" w:hAnsi="Calibri Light" w:cs="Calibri Light"/>
          <w:sz w:val="22"/>
        </w:rPr>
      </w:pPr>
    </w:p>
    <w:p w14:paraId="0F4CC727" w14:textId="77777777" w:rsidR="00102E95" w:rsidRPr="00D14B1D" w:rsidRDefault="00102E95" w:rsidP="00102E95">
      <w:pPr>
        <w:pStyle w:val="Prrafodelista"/>
        <w:numPr>
          <w:ilvl w:val="0"/>
          <w:numId w:val="46"/>
        </w:numPr>
        <w:spacing w:before="240" w:after="240"/>
        <w:jc w:val="both"/>
        <w:rPr>
          <w:rFonts w:ascii="Calibri Light" w:hAnsi="Calibri Light" w:cs="Calibri Light"/>
          <w:sz w:val="22"/>
        </w:rPr>
      </w:pPr>
      <w:r w:rsidRPr="00D14B1D">
        <w:rPr>
          <w:rFonts w:ascii="Calibri Light" w:hAnsi="Calibri Light" w:cs="Calibri Light"/>
          <w:sz w:val="22"/>
          <w:u w:val="single"/>
        </w:rPr>
        <w:t>Producción de Derivados en Refinerías</w:t>
      </w:r>
      <w:r w:rsidRPr="00D14B1D">
        <w:rPr>
          <w:rFonts w:ascii="Calibri Light" w:hAnsi="Calibri Light" w:cs="Calibri Light"/>
          <w:sz w:val="22"/>
        </w:rPr>
        <w:t xml:space="preserve">, incluye NAO Importada que ingresó a refinerías para la preparación de gasolinas Extra y Eco País, Gasolina Súper Premium 95 RON para despacho por llenaderas y transferencias a Poliducto, Diésel 2 Importado (Diluyente) que ingresó para la preparación de Fuel </w:t>
      </w:r>
      <w:proofErr w:type="spellStart"/>
      <w:r w:rsidRPr="00D14B1D">
        <w:rPr>
          <w:rFonts w:ascii="Calibri Light" w:hAnsi="Calibri Light" w:cs="Calibri Light"/>
          <w:sz w:val="22"/>
        </w:rPr>
        <w:t>Oil</w:t>
      </w:r>
      <w:proofErr w:type="spellEnd"/>
      <w:r w:rsidRPr="00D14B1D">
        <w:rPr>
          <w:rFonts w:ascii="Calibri Light" w:hAnsi="Calibri Light" w:cs="Calibri Light"/>
          <w:sz w:val="22"/>
        </w:rPr>
        <w:t xml:space="preserve">. Todo el volumen de Gasolina Súper Premium RON 95 corresponde a producto importado. En el año 2024 se programó 61.406.732,62 </w:t>
      </w:r>
      <w:proofErr w:type="spellStart"/>
      <w:r w:rsidRPr="00D14B1D">
        <w:rPr>
          <w:rFonts w:ascii="Calibri Light" w:hAnsi="Calibri Light" w:cs="Calibri Light"/>
          <w:sz w:val="22"/>
        </w:rPr>
        <w:t>Bls</w:t>
      </w:r>
      <w:proofErr w:type="spellEnd"/>
      <w:r w:rsidRPr="00D14B1D">
        <w:rPr>
          <w:rFonts w:ascii="Calibri Light" w:hAnsi="Calibri Light" w:cs="Calibri Light"/>
          <w:sz w:val="22"/>
        </w:rPr>
        <w:t xml:space="preserve">. y se produjo 56.051.567,64 </w:t>
      </w:r>
      <w:proofErr w:type="spellStart"/>
      <w:r w:rsidRPr="00D14B1D">
        <w:rPr>
          <w:rFonts w:ascii="Calibri Light" w:hAnsi="Calibri Light" w:cs="Calibri Light"/>
          <w:sz w:val="22"/>
        </w:rPr>
        <w:t>Bls</w:t>
      </w:r>
      <w:proofErr w:type="spellEnd"/>
      <w:r w:rsidRPr="00D14B1D">
        <w:rPr>
          <w:rFonts w:ascii="Calibri Light" w:hAnsi="Calibri Light" w:cs="Calibri Light"/>
          <w:sz w:val="22"/>
        </w:rPr>
        <w:t>., obteniendo un cumplimiento de 95,08% debido a que durante el año 2024 se produjeron eventos no programados en las tres refinerías, por lo que las unidades estuvieron fuera de servicio.</w:t>
      </w:r>
    </w:p>
    <w:p w14:paraId="0F80E2C9" w14:textId="77777777" w:rsidR="00102E95" w:rsidRPr="00D14B1D" w:rsidRDefault="00102E95" w:rsidP="00102E95">
      <w:pPr>
        <w:pStyle w:val="Prrafodelista"/>
        <w:jc w:val="both"/>
        <w:rPr>
          <w:rFonts w:ascii="Calibri Light" w:hAnsi="Calibri Light" w:cs="Calibri Light"/>
          <w:sz w:val="22"/>
        </w:rPr>
      </w:pPr>
    </w:p>
    <w:p w14:paraId="5E88F4A9" w14:textId="77777777" w:rsidR="00102E95" w:rsidRPr="00D14B1D" w:rsidRDefault="00102E95" w:rsidP="00102E95">
      <w:pPr>
        <w:pStyle w:val="Prrafodelista"/>
        <w:numPr>
          <w:ilvl w:val="0"/>
          <w:numId w:val="46"/>
        </w:numPr>
        <w:spacing w:before="240" w:after="240"/>
        <w:jc w:val="both"/>
        <w:rPr>
          <w:rFonts w:ascii="Calibri Light" w:hAnsi="Calibri Light" w:cs="Calibri Light"/>
          <w:sz w:val="22"/>
        </w:rPr>
      </w:pPr>
      <w:r w:rsidRPr="00D14B1D">
        <w:rPr>
          <w:rFonts w:ascii="Calibri Light" w:hAnsi="Calibri Light" w:cs="Calibri Light"/>
          <w:sz w:val="22"/>
          <w:u w:val="single"/>
        </w:rPr>
        <w:t>Cargas de Crudo en refinerías</w:t>
      </w:r>
      <w:r w:rsidRPr="00D14B1D">
        <w:rPr>
          <w:rFonts w:ascii="Calibri Light" w:hAnsi="Calibri Light" w:cs="Calibri Light"/>
          <w:sz w:val="22"/>
        </w:rPr>
        <w:t xml:space="preserve">, En el año 2024 se programó 54.387.127,20 </w:t>
      </w:r>
      <w:proofErr w:type="spellStart"/>
      <w:r w:rsidRPr="00D14B1D">
        <w:rPr>
          <w:rFonts w:ascii="Calibri Light" w:hAnsi="Calibri Light" w:cs="Calibri Light"/>
          <w:sz w:val="22"/>
        </w:rPr>
        <w:t>Bls</w:t>
      </w:r>
      <w:proofErr w:type="spellEnd"/>
      <w:r w:rsidRPr="00D14B1D">
        <w:rPr>
          <w:rFonts w:ascii="Calibri Light" w:hAnsi="Calibri Light" w:cs="Calibri Light"/>
          <w:sz w:val="22"/>
        </w:rPr>
        <w:t xml:space="preserve">. y se produjo 45.468.793,35 </w:t>
      </w:r>
      <w:proofErr w:type="spellStart"/>
      <w:r w:rsidRPr="00D14B1D">
        <w:rPr>
          <w:rFonts w:ascii="Calibri Light" w:hAnsi="Calibri Light" w:cs="Calibri Light"/>
          <w:sz w:val="22"/>
        </w:rPr>
        <w:t>Bls</w:t>
      </w:r>
      <w:proofErr w:type="spellEnd"/>
      <w:r w:rsidRPr="00D14B1D">
        <w:rPr>
          <w:rFonts w:ascii="Calibri Light" w:hAnsi="Calibri Light" w:cs="Calibri Light"/>
          <w:sz w:val="22"/>
        </w:rPr>
        <w:t>., un cumplimiento de 87,09% debido a que durante el año 2024 se han producido varios eventos no programados en las tres refinerías, por lo que las unidades estuvieron fuera de servicio.</w:t>
      </w:r>
    </w:p>
    <w:p w14:paraId="471EE7B6" w14:textId="77777777" w:rsidR="00102E95" w:rsidRPr="00195253" w:rsidRDefault="00102E95" w:rsidP="00102E95">
      <w:pPr>
        <w:pStyle w:val="Prrafodelista"/>
        <w:rPr>
          <w:color w:val="FF0000"/>
          <w:lang w:val="es-ES"/>
        </w:rPr>
      </w:pPr>
    </w:p>
    <w:p w14:paraId="07AC15AD" w14:textId="77777777" w:rsidR="00102E95" w:rsidRPr="00D14B1D" w:rsidRDefault="00102E95" w:rsidP="00102E95">
      <w:pPr>
        <w:pStyle w:val="Prrafodelista"/>
        <w:numPr>
          <w:ilvl w:val="0"/>
          <w:numId w:val="46"/>
        </w:numPr>
        <w:spacing w:before="240" w:after="240"/>
        <w:jc w:val="both"/>
        <w:rPr>
          <w:rFonts w:ascii="Calibri Light" w:hAnsi="Calibri Light" w:cs="Calibri Light"/>
          <w:sz w:val="22"/>
        </w:rPr>
      </w:pPr>
      <w:r w:rsidRPr="00D14B1D">
        <w:rPr>
          <w:rFonts w:ascii="Calibri Light" w:hAnsi="Calibri Light" w:cs="Calibri Light"/>
          <w:sz w:val="22"/>
          <w:u w:val="single"/>
        </w:rPr>
        <w:t>Producción Nacional de Derivados</w:t>
      </w:r>
      <w:r w:rsidRPr="00D14B1D">
        <w:rPr>
          <w:rFonts w:ascii="Calibri Light" w:hAnsi="Calibri Light" w:cs="Calibri Light"/>
          <w:sz w:val="22"/>
        </w:rPr>
        <w:t xml:space="preserve">, en el año 2024, se produjeron 69.445.189,58 </w:t>
      </w:r>
      <w:proofErr w:type="spellStart"/>
      <w:r w:rsidRPr="00D14B1D">
        <w:rPr>
          <w:rFonts w:ascii="Calibri Light" w:hAnsi="Calibri Light" w:cs="Calibri Light"/>
          <w:sz w:val="22"/>
        </w:rPr>
        <w:t>Bls</w:t>
      </w:r>
      <w:proofErr w:type="spellEnd"/>
      <w:r w:rsidRPr="00D14B1D">
        <w:rPr>
          <w:rFonts w:ascii="Calibri Light" w:hAnsi="Calibri Light" w:cs="Calibri Light"/>
          <w:sz w:val="22"/>
        </w:rPr>
        <w:t xml:space="preserve">., del volumen programado de 76.313.796,45 </w:t>
      </w:r>
      <w:proofErr w:type="spellStart"/>
      <w:r w:rsidRPr="00D14B1D">
        <w:rPr>
          <w:rFonts w:ascii="Calibri Light" w:hAnsi="Calibri Light" w:cs="Calibri Light"/>
          <w:sz w:val="22"/>
        </w:rPr>
        <w:t>Bls</w:t>
      </w:r>
      <w:proofErr w:type="spellEnd"/>
      <w:r w:rsidRPr="00D14B1D">
        <w:rPr>
          <w:rFonts w:ascii="Calibri Light" w:hAnsi="Calibri Light" w:cs="Calibri Light"/>
          <w:sz w:val="22"/>
        </w:rPr>
        <w:t>., que represento un cumplimiento del 92,86%.</w:t>
      </w:r>
    </w:p>
    <w:p w14:paraId="6FC8382E" w14:textId="77777777" w:rsidR="00102E95" w:rsidRPr="00D14B1D" w:rsidRDefault="00102E95" w:rsidP="00102E95">
      <w:pPr>
        <w:pStyle w:val="Prrafodelista"/>
        <w:rPr>
          <w:rFonts w:ascii="Calibri Light" w:hAnsi="Calibri Light" w:cs="Calibri Light"/>
          <w:sz w:val="22"/>
        </w:rPr>
      </w:pPr>
    </w:p>
    <w:p w14:paraId="6F202E99" w14:textId="77777777" w:rsidR="00102E95" w:rsidRPr="00D14B1D" w:rsidRDefault="00102E95" w:rsidP="00102E95">
      <w:pPr>
        <w:pStyle w:val="Prrafodelista"/>
        <w:numPr>
          <w:ilvl w:val="0"/>
          <w:numId w:val="46"/>
        </w:numPr>
        <w:spacing w:before="240" w:after="240"/>
        <w:jc w:val="both"/>
        <w:rPr>
          <w:rFonts w:ascii="Calibri Light" w:hAnsi="Calibri Light" w:cs="Calibri Light"/>
          <w:sz w:val="22"/>
        </w:rPr>
      </w:pPr>
      <w:bookmarkStart w:id="163" w:name="_Hlk180395675"/>
      <w:r w:rsidRPr="00D14B1D">
        <w:rPr>
          <w:rFonts w:ascii="Calibri Light" w:hAnsi="Calibri Light" w:cs="Calibri Light"/>
          <w:sz w:val="22"/>
          <w:u w:val="single"/>
        </w:rPr>
        <w:t>Porcentaje de cumplimiento de implementación del Sistema de Gestión Antisoborno-SGAS</w:t>
      </w:r>
      <w:r w:rsidRPr="00D14B1D">
        <w:rPr>
          <w:rFonts w:ascii="Calibri Light" w:hAnsi="Calibri Light" w:cs="Calibri Light"/>
          <w:sz w:val="22"/>
        </w:rPr>
        <w:t>, se cumplieron con las 20 actividades programadas para el año 2024, el cual representó un cumplimiento del 100%.</w:t>
      </w:r>
    </w:p>
    <w:p w14:paraId="40A8A762" w14:textId="77777777" w:rsidR="00102E95" w:rsidRPr="00D14B1D" w:rsidRDefault="00102E95" w:rsidP="00102E95">
      <w:pPr>
        <w:pStyle w:val="Prrafodelista"/>
        <w:rPr>
          <w:rFonts w:ascii="Calibri Light" w:hAnsi="Calibri Light" w:cs="Calibri Light"/>
          <w:sz w:val="22"/>
        </w:rPr>
      </w:pPr>
    </w:p>
    <w:p w14:paraId="212A2190" w14:textId="77777777" w:rsidR="00102E95" w:rsidRPr="00D14B1D" w:rsidRDefault="00102E95" w:rsidP="00102E95">
      <w:pPr>
        <w:pStyle w:val="Prrafodelista"/>
        <w:numPr>
          <w:ilvl w:val="0"/>
          <w:numId w:val="46"/>
        </w:numPr>
        <w:spacing w:before="240" w:after="240"/>
        <w:jc w:val="both"/>
        <w:rPr>
          <w:rFonts w:ascii="Calibri Light" w:hAnsi="Calibri Light" w:cs="Calibri Light"/>
          <w:sz w:val="22"/>
        </w:rPr>
      </w:pPr>
      <w:r w:rsidRPr="00D14B1D">
        <w:rPr>
          <w:rFonts w:ascii="Calibri Light" w:hAnsi="Calibri Light" w:cs="Calibri Light"/>
          <w:sz w:val="22"/>
          <w:u w:val="single"/>
        </w:rPr>
        <w:t>Cumplimiento del Programa de Relaciones Comunitarias</w:t>
      </w:r>
      <w:r w:rsidRPr="00D14B1D">
        <w:rPr>
          <w:rFonts w:ascii="Calibri Light" w:hAnsi="Calibri Light" w:cs="Calibri Light"/>
          <w:sz w:val="22"/>
        </w:rPr>
        <w:t>, para cumplimiento de la meta planificada y en atención a las necesidades de la operación, se desplegó actividades de gestión comunitarias bajo los componentes de infraestructura, salud, producción y educación. En el año 2024, se planificaron y ejecutaron 120 actividades al 100%.</w:t>
      </w:r>
    </w:p>
    <w:p w14:paraId="68564550" w14:textId="77777777" w:rsidR="00102E95" w:rsidRPr="00D14B1D" w:rsidRDefault="00102E95" w:rsidP="00102E95">
      <w:pPr>
        <w:pStyle w:val="Prrafodelista"/>
        <w:spacing w:before="240" w:after="240"/>
        <w:jc w:val="both"/>
        <w:rPr>
          <w:rFonts w:ascii="Calibri Light" w:hAnsi="Calibri Light" w:cs="Calibri Light"/>
          <w:sz w:val="22"/>
        </w:rPr>
      </w:pPr>
    </w:p>
    <w:p w14:paraId="50ADEA26" w14:textId="77777777" w:rsidR="00102E95" w:rsidRPr="00D14B1D" w:rsidRDefault="00102E95" w:rsidP="00102E95">
      <w:pPr>
        <w:pStyle w:val="Prrafodelista"/>
        <w:numPr>
          <w:ilvl w:val="0"/>
          <w:numId w:val="46"/>
        </w:numPr>
        <w:spacing w:before="240" w:after="240"/>
        <w:jc w:val="both"/>
        <w:rPr>
          <w:rFonts w:ascii="Calibri Light" w:hAnsi="Calibri Light" w:cs="Calibri Light"/>
          <w:sz w:val="22"/>
        </w:rPr>
      </w:pPr>
      <w:r w:rsidRPr="00D14B1D">
        <w:rPr>
          <w:rFonts w:ascii="Calibri Light" w:hAnsi="Calibri Light" w:cs="Calibri Light"/>
          <w:sz w:val="22"/>
        </w:rPr>
        <w:t xml:space="preserve">(Inverso) </w:t>
      </w:r>
      <w:r w:rsidRPr="00D14B1D">
        <w:rPr>
          <w:rFonts w:ascii="Calibri Light" w:hAnsi="Calibri Light" w:cs="Calibri Light"/>
          <w:sz w:val="22"/>
          <w:u w:val="single"/>
        </w:rPr>
        <w:t>Consumo energético</w:t>
      </w:r>
      <w:r w:rsidRPr="00D14B1D">
        <w:rPr>
          <w:rFonts w:ascii="Calibri Light" w:hAnsi="Calibri Light" w:cs="Calibri Light"/>
          <w:sz w:val="22"/>
        </w:rPr>
        <w:t xml:space="preserve"> mide la eficiencia en el gasto / consumo energético, mismo que es resultado de las actividades de producción de petróleo y sus fluidos asociados por todos los diferentes activos.</w:t>
      </w:r>
    </w:p>
    <w:bookmarkEnd w:id="163"/>
    <w:p w14:paraId="3AFC96B6" w14:textId="77777777" w:rsidR="00102E95" w:rsidRPr="00D14B1D" w:rsidRDefault="00102E95" w:rsidP="00102E95">
      <w:pPr>
        <w:pStyle w:val="Prrafodelista"/>
        <w:numPr>
          <w:ilvl w:val="0"/>
          <w:numId w:val="46"/>
        </w:numPr>
        <w:spacing w:before="240" w:after="240"/>
        <w:jc w:val="both"/>
        <w:rPr>
          <w:rFonts w:ascii="Calibri Light" w:hAnsi="Calibri Light" w:cs="Calibri Light"/>
          <w:sz w:val="22"/>
        </w:rPr>
      </w:pPr>
      <w:r w:rsidRPr="00D14B1D">
        <w:rPr>
          <w:rFonts w:ascii="Calibri Light" w:hAnsi="Calibri Light" w:cs="Calibri Light"/>
          <w:sz w:val="22"/>
        </w:rPr>
        <w:t xml:space="preserve">El indicador </w:t>
      </w:r>
      <w:r w:rsidRPr="00D14B1D">
        <w:rPr>
          <w:rFonts w:ascii="Calibri Light" w:hAnsi="Calibri Light" w:cs="Calibri Light"/>
          <w:sz w:val="22"/>
          <w:u w:val="single"/>
        </w:rPr>
        <w:t>Reducción de emisiones al ambiente</w:t>
      </w:r>
      <w:r w:rsidRPr="00D14B1D">
        <w:rPr>
          <w:rFonts w:ascii="Calibri Light" w:hAnsi="Calibri Light" w:cs="Calibri Light"/>
          <w:sz w:val="22"/>
        </w:rPr>
        <w:t>, en el año 2024, se obtuvo una reducción de 298.212,10 toneladas de CO2 frente a la meta de 295.407,64.</w:t>
      </w:r>
    </w:p>
    <w:p w14:paraId="072E94F8" w14:textId="77777777" w:rsidR="00102E95" w:rsidRPr="00D14B1D" w:rsidRDefault="00102E95" w:rsidP="00102E95">
      <w:pPr>
        <w:pStyle w:val="Prrafodelista"/>
        <w:spacing w:before="240" w:after="240"/>
        <w:jc w:val="both"/>
        <w:rPr>
          <w:rFonts w:ascii="Calibri Light" w:hAnsi="Calibri Light" w:cs="Calibri Light"/>
          <w:sz w:val="22"/>
        </w:rPr>
      </w:pPr>
    </w:p>
    <w:p w14:paraId="2115A132" w14:textId="77777777" w:rsidR="00102E95" w:rsidRDefault="00102E95" w:rsidP="00102E95">
      <w:pPr>
        <w:pStyle w:val="Prrafodelista"/>
        <w:numPr>
          <w:ilvl w:val="0"/>
          <w:numId w:val="46"/>
        </w:numPr>
        <w:spacing w:before="240" w:after="240"/>
        <w:jc w:val="both"/>
        <w:rPr>
          <w:rFonts w:ascii="Calibri Light" w:hAnsi="Calibri Light" w:cs="Calibri Light"/>
          <w:sz w:val="22"/>
        </w:rPr>
      </w:pPr>
      <w:r w:rsidRPr="00D14B1D">
        <w:rPr>
          <w:rFonts w:ascii="Calibri Light" w:hAnsi="Calibri Light" w:cs="Calibri Light"/>
          <w:sz w:val="22"/>
          <w:u w:val="single"/>
        </w:rPr>
        <w:t>Cumplimiento de ejes de gestión de buen gobierno corporativo</w:t>
      </w:r>
      <w:r w:rsidRPr="00D14B1D">
        <w:rPr>
          <w:rFonts w:ascii="Calibri Light" w:hAnsi="Calibri Light" w:cs="Calibri Light"/>
          <w:sz w:val="22"/>
        </w:rPr>
        <w:t xml:space="preserve">, se alcanzó un resultado acumulado del 100% que corresponde al cumplimiento de nueve (9) de los ejes de gestión de buen gobierno corporativo del total de nueve (9) ejes en el año. Los ejes cumplidos fueron: </w:t>
      </w:r>
    </w:p>
    <w:p w14:paraId="55D5D05B" w14:textId="77777777" w:rsidR="00102E95" w:rsidRPr="00F005A1" w:rsidRDefault="00102E95" w:rsidP="00102E95">
      <w:pPr>
        <w:pStyle w:val="Prrafodelista"/>
        <w:rPr>
          <w:rFonts w:ascii="Calibri Light" w:hAnsi="Calibri Light" w:cs="Calibri Light"/>
          <w:sz w:val="22"/>
        </w:rPr>
      </w:pPr>
    </w:p>
    <w:p w14:paraId="06A7210F" w14:textId="77777777" w:rsidR="00102E95" w:rsidRPr="00D14B1D" w:rsidRDefault="00102E95" w:rsidP="00102E95">
      <w:pPr>
        <w:pStyle w:val="Prrafodelista"/>
        <w:numPr>
          <w:ilvl w:val="1"/>
          <w:numId w:val="47"/>
        </w:numPr>
        <w:spacing w:before="240" w:after="240"/>
        <w:jc w:val="both"/>
        <w:rPr>
          <w:rFonts w:ascii="Calibri Light" w:hAnsi="Calibri Light" w:cs="Calibri Light"/>
          <w:sz w:val="22"/>
        </w:rPr>
      </w:pPr>
      <w:r w:rsidRPr="00D14B1D">
        <w:rPr>
          <w:rFonts w:ascii="Calibri Light" w:hAnsi="Calibri Light" w:cs="Calibri Light"/>
          <w:sz w:val="22"/>
        </w:rPr>
        <w:t>Emisión de la actualización del portafolio de proyectos de descarbonización,</w:t>
      </w:r>
    </w:p>
    <w:p w14:paraId="54ABE270" w14:textId="77777777" w:rsidR="00102E95" w:rsidRPr="00D14B1D" w:rsidRDefault="00102E95" w:rsidP="00102E95">
      <w:pPr>
        <w:pStyle w:val="Prrafodelista"/>
        <w:numPr>
          <w:ilvl w:val="1"/>
          <w:numId w:val="47"/>
        </w:numPr>
        <w:spacing w:before="240" w:after="240"/>
        <w:jc w:val="both"/>
        <w:rPr>
          <w:rFonts w:ascii="Calibri Light" w:hAnsi="Calibri Light" w:cs="Calibri Light"/>
          <w:sz w:val="22"/>
        </w:rPr>
      </w:pPr>
      <w:r w:rsidRPr="00D14B1D">
        <w:rPr>
          <w:rFonts w:ascii="Calibri Light" w:hAnsi="Calibri Light" w:cs="Calibri Light"/>
          <w:sz w:val="22"/>
        </w:rPr>
        <w:t>Declaración cultural y nuevo propósito</w:t>
      </w:r>
    </w:p>
    <w:p w14:paraId="611AC00C" w14:textId="77777777" w:rsidR="00102E95" w:rsidRPr="00D14B1D" w:rsidRDefault="00102E95" w:rsidP="00102E95">
      <w:pPr>
        <w:pStyle w:val="Prrafodelista"/>
        <w:numPr>
          <w:ilvl w:val="1"/>
          <w:numId w:val="47"/>
        </w:numPr>
        <w:spacing w:before="240" w:after="240"/>
        <w:jc w:val="both"/>
        <w:rPr>
          <w:rFonts w:ascii="Calibri Light" w:hAnsi="Calibri Light" w:cs="Calibri Light"/>
          <w:sz w:val="22"/>
        </w:rPr>
      </w:pPr>
      <w:r w:rsidRPr="00D14B1D">
        <w:rPr>
          <w:rFonts w:ascii="Calibri Light" w:hAnsi="Calibri Light" w:cs="Calibri Light"/>
          <w:sz w:val="22"/>
        </w:rPr>
        <w:t>Propuesta de actualización del Plan Estratégico de Tecnologías de la Información y Comunicación.</w:t>
      </w:r>
    </w:p>
    <w:p w14:paraId="5A4672A3" w14:textId="77777777" w:rsidR="00102E95" w:rsidRPr="00D14B1D" w:rsidRDefault="00102E95" w:rsidP="00102E95">
      <w:pPr>
        <w:pStyle w:val="Prrafodelista"/>
        <w:numPr>
          <w:ilvl w:val="1"/>
          <w:numId w:val="47"/>
        </w:numPr>
        <w:spacing w:before="240" w:after="240"/>
        <w:jc w:val="both"/>
        <w:rPr>
          <w:rFonts w:ascii="Calibri Light" w:hAnsi="Calibri Light" w:cs="Calibri Light"/>
          <w:sz w:val="22"/>
        </w:rPr>
      </w:pPr>
      <w:r w:rsidRPr="00D14B1D">
        <w:rPr>
          <w:rFonts w:ascii="Calibri Light" w:hAnsi="Calibri Light" w:cs="Calibri Light"/>
          <w:sz w:val="22"/>
        </w:rPr>
        <w:t>Reporte a Organización OGMP 2.0.</w:t>
      </w:r>
    </w:p>
    <w:p w14:paraId="5BA8AEBB" w14:textId="77777777" w:rsidR="00102E95" w:rsidRPr="00D14B1D" w:rsidRDefault="00102E95" w:rsidP="00102E95">
      <w:pPr>
        <w:pStyle w:val="Prrafodelista"/>
        <w:numPr>
          <w:ilvl w:val="1"/>
          <w:numId w:val="47"/>
        </w:numPr>
        <w:spacing w:before="240" w:after="240"/>
        <w:jc w:val="both"/>
        <w:rPr>
          <w:rFonts w:ascii="Calibri Light" w:hAnsi="Calibri Light" w:cs="Calibri Light"/>
          <w:sz w:val="22"/>
        </w:rPr>
      </w:pPr>
      <w:r w:rsidRPr="00D14B1D">
        <w:rPr>
          <w:rFonts w:ascii="Calibri Light" w:hAnsi="Calibri Light" w:cs="Calibri Light"/>
          <w:sz w:val="22"/>
        </w:rPr>
        <w:lastRenderedPageBreak/>
        <w:t xml:space="preserve">Modelo de </w:t>
      </w:r>
      <w:proofErr w:type="spellStart"/>
      <w:r w:rsidRPr="00D14B1D">
        <w:rPr>
          <w:rFonts w:ascii="Calibri Light" w:hAnsi="Calibri Light" w:cs="Calibri Light"/>
          <w:sz w:val="22"/>
        </w:rPr>
        <w:t>compliance</w:t>
      </w:r>
      <w:proofErr w:type="spellEnd"/>
      <w:r w:rsidRPr="00D14B1D">
        <w:rPr>
          <w:rFonts w:ascii="Calibri Light" w:hAnsi="Calibri Light" w:cs="Calibri Light"/>
          <w:sz w:val="22"/>
        </w:rPr>
        <w:t xml:space="preserve"> y gobernanza corporativa </w:t>
      </w:r>
    </w:p>
    <w:p w14:paraId="71441BC4" w14:textId="77777777" w:rsidR="00102E95" w:rsidRPr="00D14B1D" w:rsidRDefault="00102E95" w:rsidP="00102E95">
      <w:pPr>
        <w:pStyle w:val="Prrafodelista"/>
        <w:numPr>
          <w:ilvl w:val="1"/>
          <w:numId w:val="47"/>
        </w:numPr>
        <w:spacing w:before="240" w:after="240"/>
        <w:jc w:val="both"/>
        <w:rPr>
          <w:rFonts w:ascii="Calibri Light" w:hAnsi="Calibri Light" w:cs="Calibri Light"/>
          <w:sz w:val="22"/>
        </w:rPr>
      </w:pPr>
      <w:r w:rsidRPr="00D14B1D">
        <w:rPr>
          <w:rFonts w:ascii="Calibri Light" w:hAnsi="Calibri Light" w:cs="Calibri Light"/>
          <w:sz w:val="22"/>
        </w:rPr>
        <w:t>Propuesta de definición de nueva identidad e imagen corporativa</w:t>
      </w:r>
    </w:p>
    <w:p w14:paraId="5CEA1441" w14:textId="77777777" w:rsidR="00102E95" w:rsidRPr="00D14B1D" w:rsidRDefault="00102E95" w:rsidP="00102E95">
      <w:pPr>
        <w:pStyle w:val="Prrafodelista"/>
        <w:numPr>
          <w:ilvl w:val="1"/>
          <w:numId w:val="47"/>
        </w:numPr>
        <w:spacing w:before="240" w:after="240"/>
        <w:jc w:val="both"/>
        <w:rPr>
          <w:rFonts w:ascii="Calibri Light" w:hAnsi="Calibri Light" w:cs="Calibri Light"/>
          <w:sz w:val="22"/>
        </w:rPr>
      </w:pPr>
      <w:r w:rsidRPr="00D14B1D">
        <w:rPr>
          <w:rFonts w:ascii="Calibri Light" w:hAnsi="Calibri Light" w:cs="Calibri Light"/>
          <w:sz w:val="22"/>
        </w:rPr>
        <w:t>Documentos habilitantes para la contratación de fase 1 del ERP Integral</w:t>
      </w:r>
    </w:p>
    <w:p w14:paraId="1B17EABE" w14:textId="77777777" w:rsidR="00102E95" w:rsidRPr="00D14B1D" w:rsidRDefault="00102E95" w:rsidP="00102E95">
      <w:pPr>
        <w:pStyle w:val="Prrafodelista"/>
        <w:numPr>
          <w:ilvl w:val="1"/>
          <w:numId w:val="47"/>
        </w:numPr>
        <w:spacing w:before="240" w:after="240"/>
        <w:jc w:val="both"/>
        <w:rPr>
          <w:rFonts w:ascii="Calibri Light" w:hAnsi="Calibri Light" w:cs="Calibri Light"/>
          <w:sz w:val="22"/>
        </w:rPr>
      </w:pPr>
      <w:r w:rsidRPr="00D14B1D">
        <w:rPr>
          <w:rFonts w:ascii="Calibri Light" w:hAnsi="Calibri Light" w:cs="Calibri Light"/>
          <w:sz w:val="22"/>
        </w:rPr>
        <w:t xml:space="preserve">Documentación del </w:t>
      </w:r>
      <w:bookmarkStart w:id="164" w:name="_Int_wqlZdx4d"/>
      <w:proofErr w:type="spellStart"/>
      <w:r w:rsidRPr="00D14B1D">
        <w:rPr>
          <w:rFonts w:ascii="Calibri Light" w:hAnsi="Calibri Light" w:cs="Calibri Light"/>
          <w:sz w:val="22"/>
        </w:rPr>
        <w:t>SGEn</w:t>
      </w:r>
      <w:bookmarkEnd w:id="164"/>
      <w:proofErr w:type="spellEnd"/>
      <w:r w:rsidRPr="00D14B1D">
        <w:rPr>
          <w:rFonts w:ascii="Calibri Light" w:hAnsi="Calibri Light" w:cs="Calibri Light"/>
          <w:sz w:val="22"/>
        </w:rPr>
        <w:t xml:space="preserve">. </w:t>
      </w:r>
    </w:p>
    <w:p w14:paraId="3FF667BD" w14:textId="38551E18" w:rsidR="00102E95" w:rsidRPr="009F26D2" w:rsidRDefault="00102E95" w:rsidP="009F26D2">
      <w:pPr>
        <w:pStyle w:val="Prrafodelista"/>
        <w:numPr>
          <w:ilvl w:val="1"/>
          <w:numId w:val="47"/>
        </w:numPr>
        <w:spacing w:before="240" w:after="240"/>
        <w:jc w:val="both"/>
        <w:rPr>
          <w:rFonts w:ascii="Calibri Light" w:hAnsi="Calibri Light" w:cs="Calibri Light"/>
          <w:sz w:val="22"/>
        </w:rPr>
      </w:pPr>
      <w:r w:rsidRPr="00D14B1D">
        <w:rPr>
          <w:rFonts w:ascii="Calibri Light" w:hAnsi="Calibri Light" w:cs="Calibri Light"/>
          <w:sz w:val="22"/>
        </w:rPr>
        <w:t>Documento de cumplimiento del incremento de la red a gestores culturales con sus respectivos anexos.</w:t>
      </w:r>
    </w:p>
    <w:p w14:paraId="6AF688BC" w14:textId="77777777" w:rsidR="00102E95" w:rsidRPr="00213F2B" w:rsidRDefault="00102E95" w:rsidP="00213F2B">
      <w:pPr>
        <w:pStyle w:val="Ttulo4"/>
        <w:rPr>
          <w:i w:val="0"/>
        </w:rPr>
      </w:pPr>
      <w:bookmarkStart w:id="165" w:name="_Toc195709791"/>
      <w:bookmarkStart w:id="166" w:name="_Toc197335106"/>
      <w:r w:rsidRPr="00213F2B">
        <w:rPr>
          <w:i w:val="0"/>
        </w:rPr>
        <w:t>Mantener la salud, seguridad, la responsabilidad social y ambiental de los empleados, contratistas, comunidades y ecosistemas en las áreas de operación e influencia.</w:t>
      </w:r>
      <w:bookmarkEnd w:id="165"/>
      <w:bookmarkEnd w:id="166"/>
    </w:p>
    <w:p w14:paraId="0EE894A7" w14:textId="77777777" w:rsidR="00102E95" w:rsidRPr="0061437F" w:rsidRDefault="00102E95" w:rsidP="00102E95">
      <w:pPr>
        <w:spacing w:before="240" w:after="240"/>
        <w:jc w:val="both"/>
        <w:rPr>
          <w:rFonts w:ascii="Calibri Light" w:hAnsi="Calibri Light" w:cs="Calibri Light"/>
          <w:sz w:val="22"/>
          <w:szCs w:val="22"/>
        </w:rPr>
      </w:pPr>
      <w:r w:rsidRPr="0061437F">
        <w:rPr>
          <w:rFonts w:ascii="Calibri Light" w:hAnsi="Calibri Light" w:cs="Calibri Light"/>
          <w:sz w:val="22"/>
          <w:szCs w:val="22"/>
        </w:rPr>
        <w:t>Para medir este objetivo empresarial se plantearon los indicadores que se detallan a continuación con sus respectivos resultados:</w:t>
      </w:r>
    </w:p>
    <w:p w14:paraId="0B9B83FE" w14:textId="77777777" w:rsidR="00102E95" w:rsidRPr="004A6E2C" w:rsidRDefault="00102E95" w:rsidP="00102E95">
      <w:pPr>
        <w:pStyle w:val="Prrafodelista"/>
        <w:numPr>
          <w:ilvl w:val="0"/>
          <w:numId w:val="48"/>
        </w:numPr>
        <w:spacing w:before="240" w:after="240"/>
        <w:jc w:val="both"/>
        <w:rPr>
          <w:rFonts w:ascii="Calibri Light" w:hAnsi="Calibri Light" w:cs="Calibri Light"/>
          <w:sz w:val="22"/>
          <w:szCs w:val="22"/>
        </w:rPr>
      </w:pPr>
      <w:bookmarkStart w:id="167" w:name="_Toc84276875"/>
      <w:r w:rsidRPr="0061437F">
        <w:rPr>
          <w:rFonts w:ascii="Calibri Light" w:hAnsi="Calibri Light" w:cs="Calibri Light"/>
          <w:sz w:val="22"/>
          <w:szCs w:val="22"/>
          <w:u w:val="single"/>
        </w:rPr>
        <w:t>Índice de frecuencia de accidentes</w:t>
      </w:r>
      <w:r w:rsidRPr="0061437F">
        <w:rPr>
          <w:rFonts w:ascii="Calibri Light" w:hAnsi="Calibri Light" w:cs="Calibri Light"/>
          <w:sz w:val="22"/>
          <w:szCs w:val="22"/>
        </w:rPr>
        <w:t xml:space="preserve"> al ser descendente tiene un cumplimiento positivo siempre que el valor real sea igual o menor que la meta establecida para el período. En el año 2024 los accidentes asociados a las áreas de soporte administrativo y de operación fueron setenta y tres (73) calificados por parte de Riesgos del Tra</w:t>
      </w:r>
      <w:r w:rsidRPr="004A6E2C">
        <w:rPr>
          <w:rFonts w:ascii="Calibri Light" w:hAnsi="Calibri Light" w:cs="Calibri Light"/>
          <w:sz w:val="22"/>
          <w:szCs w:val="22"/>
        </w:rPr>
        <w:t xml:space="preserve">bajo del IESS, lo que representó un resultado de 0,71 con una meta del 0,55 y obtuvo un porcentaje del 70,91%. </w:t>
      </w:r>
    </w:p>
    <w:p w14:paraId="68235906" w14:textId="77777777" w:rsidR="00102E95" w:rsidRPr="004A6E2C" w:rsidRDefault="00102E95" w:rsidP="00102E95">
      <w:pPr>
        <w:pStyle w:val="Prrafodelista"/>
        <w:spacing w:before="240" w:after="240"/>
        <w:jc w:val="both"/>
        <w:rPr>
          <w:rFonts w:ascii="Calibri Light" w:hAnsi="Calibri Light" w:cs="Calibri Light"/>
          <w:sz w:val="22"/>
          <w:szCs w:val="22"/>
        </w:rPr>
      </w:pPr>
    </w:p>
    <w:p w14:paraId="2F1B2C66" w14:textId="77777777" w:rsidR="00102E95" w:rsidRPr="0035781A" w:rsidRDefault="00102E95" w:rsidP="00102E95">
      <w:pPr>
        <w:pStyle w:val="Prrafodelista"/>
        <w:numPr>
          <w:ilvl w:val="0"/>
          <w:numId w:val="48"/>
        </w:numPr>
        <w:spacing w:before="240" w:after="240"/>
        <w:jc w:val="both"/>
        <w:rPr>
          <w:rFonts w:ascii="Calibri Light" w:hAnsi="Calibri Light" w:cs="Calibri Light"/>
          <w:sz w:val="22"/>
          <w:szCs w:val="22"/>
        </w:rPr>
      </w:pPr>
      <w:r w:rsidRPr="00F90BB6">
        <w:rPr>
          <w:rFonts w:ascii="Calibri Light" w:hAnsi="Calibri Light" w:cs="Calibri Light"/>
          <w:sz w:val="22"/>
          <w:szCs w:val="22"/>
          <w:u w:val="single"/>
        </w:rPr>
        <w:t>Cumplimiento del plan de manejo ambiental</w:t>
      </w:r>
      <w:r w:rsidRPr="00F90BB6">
        <w:rPr>
          <w:rFonts w:ascii="Calibri Light" w:hAnsi="Calibri Light" w:cs="Calibri Light"/>
          <w:sz w:val="22"/>
          <w:szCs w:val="22"/>
        </w:rPr>
        <w:t>, determina el avance del cumplimiento de lo</w:t>
      </w:r>
      <w:r w:rsidRPr="00DA55F0">
        <w:rPr>
          <w:rFonts w:ascii="Calibri Light" w:hAnsi="Calibri Light" w:cs="Calibri Light"/>
          <w:sz w:val="22"/>
          <w:szCs w:val="22"/>
        </w:rPr>
        <w:t>s Planes de Manejo Ambiental de las facilidades operativas de la EP PETROECUADOR que cuentan con licencia o estudios ambientales aprobados por la Autoridad Ambiental. Se planificó ejecutar 168 planes de manejo ambiental para el año 2024, de los cuales hast</w:t>
      </w:r>
      <w:r w:rsidRPr="0035781A">
        <w:rPr>
          <w:rFonts w:ascii="Calibri Light" w:hAnsi="Calibri Light" w:cs="Calibri Light"/>
          <w:sz w:val="22"/>
          <w:szCs w:val="22"/>
        </w:rPr>
        <w:t>a diciembre se obtuvo un avance acumulado del 99,88% de todas unidades operativas y administrativas de la EP Petroecuador.</w:t>
      </w:r>
    </w:p>
    <w:p w14:paraId="40830A24" w14:textId="77777777" w:rsidR="00102E95" w:rsidRPr="003A269C" w:rsidRDefault="00102E95" w:rsidP="00102E95">
      <w:pPr>
        <w:pStyle w:val="Prrafodelista"/>
        <w:autoSpaceDE w:val="0"/>
        <w:autoSpaceDN w:val="0"/>
        <w:adjustRightInd w:val="0"/>
        <w:spacing w:before="240" w:after="240"/>
        <w:ind w:left="426"/>
        <w:jc w:val="both"/>
        <w:rPr>
          <w:rFonts w:cs="Arial"/>
          <w:sz w:val="22"/>
          <w:szCs w:val="22"/>
          <w:lang w:val="es-ES_tradnl"/>
        </w:rPr>
      </w:pPr>
    </w:p>
    <w:p w14:paraId="7E28CCAF" w14:textId="77777777" w:rsidR="00102E95" w:rsidRPr="004A6E2C" w:rsidRDefault="00102E95" w:rsidP="00102E95">
      <w:pPr>
        <w:pStyle w:val="Prrafodelista"/>
        <w:numPr>
          <w:ilvl w:val="0"/>
          <w:numId w:val="48"/>
        </w:numPr>
        <w:spacing w:before="240" w:after="240"/>
        <w:jc w:val="both"/>
        <w:rPr>
          <w:rFonts w:ascii="Calibri Light" w:hAnsi="Calibri Light" w:cs="Calibri Light"/>
          <w:sz w:val="22"/>
          <w:szCs w:val="22"/>
        </w:rPr>
      </w:pPr>
      <w:bookmarkStart w:id="168" w:name="_Hlk175729161"/>
      <w:bookmarkEnd w:id="167"/>
      <w:r w:rsidRPr="0061437F">
        <w:rPr>
          <w:rFonts w:ascii="Calibri Light" w:hAnsi="Calibri Light" w:cs="Calibri Light"/>
          <w:sz w:val="22"/>
          <w:szCs w:val="22"/>
          <w:u w:val="single"/>
        </w:rPr>
        <w:t xml:space="preserve">Número de fuentes de contaminación de la industria </w:t>
      </w:r>
      <w:proofErr w:type="spellStart"/>
      <w:r w:rsidRPr="0061437F">
        <w:rPr>
          <w:rFonts w:ascii="Calibri Light" w:hAnsi="Calibri Light" w:cs="Calibri Light"/>
          <w:sz w:val="22"/>
          <w:szCs w:val="22"/>
          <w:u w:val="single"/>
        </w:rPr>
        <w:t>hidrocarburífera</w:t>
      </w:r>
      <w:proofErr w:type="spellEnd"/>
      <w:r w:rsidRPr="0061437F">
        <w:rPr>
          <w:rFonts w:ascii="Calibri Light" w:hAnsi="Calibri Light" w:cs="Calibri Light"/>
          <w:sz w:val="22"/>
          <w:szCs w:val="22"/>
          <w:u w:val="single"/>
        </w:rPr>
        <w:t xml:space="preserve"> remediadas por EP PETROECUADOR</w:t>
      </w:r>
      <w:r w:rsidRPr="004A6E2C">
        <w:rPr>
          <w:rFonts w:ascii="Calibri Light" w:hAnsi="Calibri Light" w:cs="Calibri Light"/>
          <w:sz w:val="22"/>
          <w:szCs w:val="22"/>
        </w:rPr>
        <w:t xml:space="preserve">, en el año 2024, </w:t>
      </w:r>
      <w:bookmarkEnd w:id="168"/>
      <w:r w:rsidRPr="004A6E2C">
        <w:rPr>
          <w:rFonts w:ascii="Calibri Light" w:hAnsi="Calibri Light" w:cs="Calibri Light"/>
          <w:sz w:val="22"/>
          <w:szCs w:val="22"/>
        </w:rPr>
        <w:t>se han eliminado un total de 128 fuentes de contaminación de las 129 planificadas, el cual represento un cumplimiento del 99,22%.</w:t>
      </w:r>
    </w:p>
    <w:p w14:paraId="7E414BF5" w14:textId="77777777" w:rsidR="00102E95" w:rsidRPr="003A269C" w:rsidRDefault="00102E95" w:rsidP="00102E95">
      <w:pPr>
        <w:pStyle w:val="Prrafodelista"/>
        <w:rPr>
          <w:rFonts w:ascii="Calibri Light" w:hAnsi="Calibri Light" w:cs="Calibri Light"/>
          <w:sz w:val="22"/>
          <w:szCs w:val="22"/>
        </w:rPr>
      </w:pPr>
    </w:p>
    <w:p w14:paraId="2A0BF5E8" w14:textId="449A71DC" w:rsidR="00102E95" w:rsidRDefault="00102E95" w:rsidP="00102E95">
      <w:pPr>
        <w:pStyle w:val="Prrafodelista"/>
        <w:numPr>
          <w:ilvl w:val="0"/>
          <w:numId w:val="48"/>
        </w:numPr>
        <w:spacing w:before="240" w:after="240"/>
        <w:jc w:val="both"/>
        <w:rPr>
          <w:rFonts w:ascii="Calibri Light" w:hAnsi="Calibri Light" w:cs="Calibri Light"/>
          <w:sz w:val="22"/>
          <w:szCs w:val="22"/>
        </w:rPr>
      </w:pPr>
      <w:r w:rsidRPr="0061437F">
        <w:rPr>
          <w:rFonts w:ascii="Calibri Light" w:hAnsi="Calibri Light" w:cs="Calibri Light"/>
          <w:sz w:val="22"/>
          <w:szCs w:val="22"/>
          <w:u w:val="single"/>
        </w:rPr>
        <w:t>Porcentaje de cumplimiento del plan de implementación de la Norma ISO-14001: e ISO 45001-2018 SIGSSA</w:t>
      </w:r>
      <w:r w:rsidRPr="004A6E2C">
        <w:rPr>
          <w:rFonts w:ascii="Calibri Light" w:hAnsi="Calibri Light" w:cs="Calibri Light"/>
          <w:sz w:val="22"/>
          <w:szCs w:val="22"/>
        </w:rPr>
        <w:t>, la EP PETROECUADOR implementa y mantiene un sistema de gestión bajo los estándares internacionales ISO 14001:2015 e ISO 45001:2018, la verificación de su cumplimiento se realiza a través de empresas certificadoras calificadas. El proceso de implementación y certificación del Sistema Integrado de Gestión de Seguridad, Salud y Ambiente - SIGSSA bajo nor</w:t>
      </w:r>
      <w:r w:rsidRPr="00F90BB6">
        <w:rPr>
          <w:rFonts w:ascii="Calibri Light" w:hAnsi="Calibri Light" w:cs="Calibri Light"/>
          <w:sz w:val="22"/>
          <w:szCs w:val="22"/>
        </w:rPr>
        <w:t>mas ISO 14001:2015 e ISO 45001:2018, se cumplió al cuarto trimestre de 2024 con el 100%</w:t>
      </w:r>
    </w:p>
    <w:p w14:paraId="79DAECA1" w14:textId="77777777" w:rsidR="00213F2B" w:rsidRPr="00213F2B" w:rsidRDefault="00213F2B" w:rsidP="00213F2B">
      <w:pPr>
        <w:pStyle w:val="Prrafodelista"/>
        <w:rPr>
          <w:rFonts w:ascii="Calibri Light" w:hAnsi="Calibri Light" w:cs="Calibri Light"/>
          <w:sz w:val="22"/>
          <w:szCs w:val="22"/>
        </w:rPr>
      </w:pPr>
    </w:p>
    <w:p w14:paraId="740EE102" w14:textId="77777777" w:rsidR="00213F2B" w:rsidRPr="00F90BB6" w:rsidRDefault="00213F2B" w:rsidP="00213F2B">
      <w:pPr>
        <w:pStyle w:val="Prrafodelista"/>
        <w:spacing w:before="240" w:after="240"/>
        <w:jc w:val="both"/>
        <w:rPr>
          <w:rFonts w:ascii="Calibri Light" w:hAnsi="Calibri Light" w:cs="Calibri Light"/>
          <w:sz w:val="22"/>
          <w:szCs w:val="22"/>
        </w:rPr>
      </w:pPr>
    </w:p>
    <w:p w14:paraId="27E5A185" w14:textId="77777777" w:rsidR="00102E95" w:rsidRPr="00D14B1D" w:rsidRDefault="00102E95" w:rsidP="00102E95">
      <w:pPr>
        <w:pStyle w:val="Prrafodelista"/>
        <w:rPr>
          <w:rFonts w:ascii="Calibri Light" w:hAnsi="Calibri Light" w:cs="Calibri Light"/>
          <w:sz w:val="22"/>
        </w:rPr>
      </w:pPr>
    </w:p>
    <w:p w14:paraId="031DFAEE" w14:textId="31B8FD57" w:rsidR="00102E95" w:rsidRPr="00213F2B" w:rsidRDefault="00102E95" w:rsidP="00213F2B">
      <w:pPr>
        <w:pStyle w:val="Ttulo4"/>
        <w:rPr>
          <w:i w:val="0"/>
          <w:sz w:val="22"/>
          <w:szCs w:val="22"/>
        </w:rPr>
      </w:pPr>
      <w:bookmarkStart w:id="169" w:name="_Toc195709792"/>
      <w:bookmarkStart w:id="170" w:name="_Toc197335107"/>
      <w:r w:rsidRPr="00213F2B">
        <w:rPr>
          <w:i w:val="0"/>
          <w:sz w:val="22"/>
          <w:szCs w:val="22"/>
        </w:rPr>
        <w:t xml:space="preserve">Fortalecer las </w:t>
      </w:r>
      <w:r w:rsidR="00E23641" w:rsidRPr="00213F2B">
        <w:rPr>
          <w:i w:val="0"/>
          <w:sz w:val="22"/>
          <w:szCs w:val="22"/>
        </w:rPr>
        <w:t>C</w:t>
      </w:r>
      <w:r w:rsidRPr="00213F2B">
        <w:rPr>
          <w:i w:val="0"/>
          <w:sz w:val="22"/>
          <w:szCs w:val="22"/>
        </w:rPr>
        <w:t xml:space="preserve">apacidades </w:t>
      </w:r>
      <w:r w:rsidR="00E23641" w:rsidRPr="00213F2B">
        <w:rPr>
          <w:i w:val="0"/>
          <w:sz w:val="22"/>
          <w:szCs w:val="22"/>
        </w:rPr>
        <w:t>I</w:t>
      </w:r>
      <w:r w:rsidRPr="00213F2B">
        <w:rPr>
          <w:i w:val="0"/>
          <w:sz w:val="22"/>
          <w:szCs w:val="22"/>
        </w:rPr>
        <w:t>nstitucionales</w:t>
      </w:r>
      <w:bookmarkEnd w:id="169"/>
      <w:bookmarkEnd w:id="170"/>
    </w:p>
    <w:p w14:paraId="3030279F" w14:textId="77777777" w:rsidR="00102E95" w:rsidRPr="00D14B1D" w:rsidRDefault="00102E95" w:rsidP="00102E95">
      <w:pPr>
        <w:spacing w:before="240" w:after="240"/>
        <w:jc w:val="both"/>
        <w:rPr>
          <w:rFonts w:ascii="Calibri Light" w:hAnsi="Calibri Light" w:cs="Calibri Light"/>
          <w:sz w:val="22"/>
        </w:rPr>
      </w:pPr>
      <w:r w:rsidRPr="00D14B1D">
        <w:rPr>
          <w:rFonts w:ascii="Calibri Light" w:hAnsi="Calibri Light" w:cs="Calibri Light"/>
          <w:sz w:val="22"/>
        </w:rPr>
        <w:t>Los indicadores para medir el cumplimiento del presente objetivo son los siguientes:</w:t>
      </w:r>
    </w:p>
    <w:p w14:paraId="426CCA38" w14:textId="77777777" w:rsidR="00102E95" w:rsidRPr="00D14B1D" w:rsidRDefault="00102E95" w:rsidP="00102E95">
      <w:pPr>
        <w:pStyle w:val="Prrafodelista"/>
        <w:numPr>
          <w:ilvl w:val="0"/>
          <w:numId w:val="49"/>
        </w:numPr>
        <w:spacing w:before="240" w:after="240"/>
        <w:jc w:val="both"/>
        <w:rPr>
          <w:rFonts w:ascii="Calibri Light" w:hAnsi="Calibri Light" w:cs="Calibri Light"/>
          <w:sz w:val="22"/>
        </w:rPr>
      </w:pPr>
      <w:r w:rsidRPr="00D14B1D">
        <w:rPr>
          <w:rFonts w:ascii="Calibri Light" w:hAnsi="Calibri Light" w:cs="Calibri Light"/>
          <w:sz w:val="22"/>
          <w:u w:val="single"/>
        </w:rPr>
        <w:t>Porcentaje de Cumplimiento del Plan de Capacitación</w:t>
      </w:r>
      <w:r w:rsidRPr="00D14B1D">
        <w:rPr>
          <w:rFonts w:ascii="Calibri Light" w:hAnsi="Calibri Light" w:cs="Calibri Light"/>
          <w:sz w:val="22"/>
        </w:rPr>
        <w:t xml:space="preserve">, en el año 2024 se programó 132 cursos y se ejecutaron 143 cursos. </w:t>
      </w:r>
    </w:p>
    <w:p w14:paraId="62968D73" w14:textId="77777777" w:rsidR="00102E95" w:rsidRPr="00D14B1D" w:rsidRDefault="00102E95" w:rsidP="00102E95">
      <w:pPr>
        <w:pStyle w:val="Prrafodelista"/>
        <w:autoSpaceDE w:val="0"/>
        <w:autoSpaceDN w:val="0"/>
        <w:adjustRightInd w:val="0"/>
        <w:spacing w:before="240" w:after="240"/>
        <w:ind w:left="426"/>
        <w:jc w:val="both"/>
        <w:rPr>
          <w:rFonts w:cs="Calibri"/>
          <w:bCs/>
          <w:sz w:val="10"/>
          <w:lang w:val="es-ES_tradnl"/>
        </w:rPr>
      </w:pPr>
    </w:p>
    <w:p w14:paraId="44BD5D14" w14:textId="77777777" w:rsidR="00102E95" w:rsidRPr="00D14B1D" w:rsidRDefault="00102E95" w:rsidP="00102E95">
      <w:pPr>
        <w:pStyle w:val="Prrafodelista"/>
        <w:numPr>
          <w:ilvl w:val="0"/>
          <w:numId w:val="49"/>
        </w:numPr>
        <w:spacing w:before="240" w:after="240"/>
        <w:jc w:val="both"/>
        <w:rPr>
          <w:rFonts w:ascii="Calibri Light" w:hAnsi="Calibri Light" w:cs="Calibri Light"/>
          <w:sz w:val="22"/>
        </w:rPr>
      </w:pPr>
      <w:r w:rsidRPr="00D14B1D">
        <w:rPr>
          <w:rFonts w:ascii="Calibri Light" w:hAnsi="Calibri Light" w:cs="Calibri Light"/>
          <w:sz w:val="22"/>
          <w:u w:val="single"/>
        </w:rPr>
        <w:t>Porcentaje de Inclusión de Personal con Discapacidad</w:t>
      </w:r>
      <w:r w:rsidRPr="00D14B1D">
        <w:rPr>
          <w:rFonts w:ascii="Calibri Light" w:hAnsi="Calibri Light" w:cs="Calibri Light"/>
          <w:sz w:val="22"/>
        </w:rPr>
        <w:t xml:space="preserve"> en el año 2024, obtuvo un resultado del 7,11% con un total de 679 trabajadores con discapacidad, en relación con los 9.544 trabajadores permanentes en la Empresa; cumpliendo de esta manera con lo establecido en el artículo 47 de la Ley Orgánica de Discapacidades.</w:t>
      </w:r>
    </w:p>
    <w:p w14:paraId="50773467" w14:textId="08E66FE4" w:rsidR="00102E95" w:rsidRPr="00213F2B" w:rsidRDefault="00140159" w:rsidP="00213F2B">
      <w:pPr>
        <w:pStyle w:val="Ttulo2"/>
        <w:rPr>
          <w:sz w:val="24"/>
          <w:szCs w:val="24"/>
        </w:rPr>
      </w:pPr>
      <w:bookmarkStart w:id="171" w:name="_Toc197335108"/>
      <w:bookmarkStart w:id="172" w:name="_Toc199759560"/>
      <w:r w:rsidRPr="00213F2B">
        <w:rPr>
          <w:sz w:val="24"/>
          <w:szCs w:val="24"/>
        </w:rPr>
        <w:lastRenderedPageBreak/>
        <w:t>Gestión del Instituto de Investigación Geológico Y Energético</w:t>
      </w:r>
      <w:bookmarkEnd w:id="171"/>
      <w:bookmarkEnd w:id="172"/>
    </w:p>
    <w:p w14:paraId="08222338" w14:textId="77777777" w:rsidR="00102E95" w:rsidRPr="002C024A" w:rsidRDefault="00102E95" w:rsidP="00102E95">
      <w:pPr>
        <w:spacing w:before="240" w:after="240"/>
        <w:jc w:val="both"/>
        <w:rPr>
          <w:rFonts w:ascii="Calibri Light" w:hAnsi="Calibri Light" w:cs="Calibri Light"/>
          <w:sz w:val="22"/>
        </w:rPr>
      </w:pPr>
      <w:r w:rsidRPr="002C024A">
        <w:rPr>
          <w:rFonts w:ascii="Calibri Light" w:hAnsi="Calibri Light" w:cs="Calibri Light"/>
          <w:sz w:val="22"/>
        </w:rPr>
        <w:t>El IIGE desarrolló el Balance Energético Nacional (BEN) 2023, a través del cual se puede identificar las tendencias de consumo energético por fuente y por sector. El Balance Energético Nacional es un instrumento estadístico que sirve como base para la planificación, la toma de decisiones fundamentales con base en datos reales y verificados.</w:t>
      </w:r>
    </w:p>
    <w:p w14:paraId="20ADDFFB" w14:textId="77777777" w:rsidR="00102E95" w:rsidRPr="002C024A" w:rsidRDefault="00102E95" w:rsidP="00102E95">
      <w:pPr>
        <w:spacing w:before="240" w:after="240"/>
        <w:jc w:val="both"/>
        <w:rPr>
          <w:rFonts w:ascii="Calibri Light" w:hAnsi="Calibri Light" w:cs="Calibri Light"/>
          <w:sz w:val="22"/>
        </w:rPr>
      </w:pPr>
      <w:r w:rsidRPr="002C024A">
        <w:rPr>
          <w:rFonts w:ascii="Calibri Light" w:hAnsi="Calibri Light" w:cs="Calibri Light"/>
          <w:sz w:val="22"/>
        </w:rPr>
        <w:t>Según datos del Balance Energético Nacional 2023, el consumo energético por habitante en el período 2013-2023 creció 5,1 %. El consumo energético por habitante para el 2023 creció 1 % respecto al año 2022, pasando de 5,7 BEP/hab. a 5,8 BEP/hab. (Barriles Equivalentes de Petróleo/habitante).</w:t>
      </w:r>
    </w:p>
    <w:p w14:paraId="5DA7B2B8" w14:textId="34705F01" w:rsidR="00102E95" w:rsidRDefault="00102E95" w:rsidP="00102E95">
      <w:pPr>
        <w:spacing w:before="240" w:after="240"/>
        <w:jc w:val="both"/>
        <w:rPr>
          <w:rFonts w:ascii="Calibri Light" w:hAnsi="Calibri Light" w:cs="Calibri Light"/>
          <w:sz w:val="22"/>
        </w:rPr>
      </w:pPr>
      <w:r w:rsidRPr="002C024A">
        <w:rPr>
          <w:rFonts w:ascii="Calibri Light" w:hAnsi="Calibri Light" w:cs="Calibri Light"/>
          <w:sz w:val="22"/>
        </w:rPr>
        <w:t>De acuerdo a los datos del BEN 2023 la demanda energética en el país se incrementó 18,3 % durante el período 2013-2023, pasando de 86 millones BEP en el año 2013 a 102 millones BEP en 2023. Manteniendo la tendencia histórica, el sector transporte continúa siendo el mayor demandante de energía. El 51,9 % de la demanda de energía provino del sector transporte; 16,6 % provino del sector industrial y el 13,5 % del sector residencial.</w:t>
      </w:r>
    </w:p>
    <w:p w14:paraId="05801424" w14:textId="6F222AD4" w:rsidR="00102E95" w:rsidRPr="002C024A" w:rsidRDefault="00102E95" w:rsidP="00102E95">
      <w:pPr>
        <w:spacing w:before="240" w:after="240"/>
        <w:jc w:val="both"/>
        <w:rPr>
          <w:rFonts w:ascii="Calibri Light" w:hAnsi="Calibri Light" w:cs="Calibri Light"/>
          <w:sz w:val="22"/>
        </w:rPr>
      </w:pPr>
      <w:r w:rsidRPr="002C024A">
        <w:rPr>
          <w:rFonts w:ascii="Calibri Light" w:hAnsi="Calibri Light" w:cs="Calibri Light"/>
          <w:sz w:val="22"/>
        </w:rPr>
        <w:t>Según los datos presentados en el 202</w:t>
      </w:r>
      <w:r w:rsidR="00183F81">
        <w:rPr>
          <w:rFonts w:ascii="Calibri Light" w:hAnsi="Calibri Light" w:cs="Calibri Light"/>
          <w:sz w:val="22"/>
        </w:rPr>
        <w:t>4</w:t>
      </w:r>
      <w:r w:rsidRPr="002C024A">
        <w:rPr>
          <w:rFonts w:ascii="Calibri Light" w:hAnsi="Calibri Light" w:cs="Calibri Light"/>
          <w:sz w:val="22"/>
        </w:rPr>
        <w:t xml:space="preserve"> el 69,1 % de la generación eléctrica en el país provino de hidroelectricidad, mientras que 25,6 % provino de fuentes térmicas, 1,6 % de otras fuentes y 3,6 % de interconexión eléctrica. En 202</w:t>
      </w:r>
      <w:r w:rsidR="00183F81">
        <w:rPr>
          <w:rFonts w:ascii="Calibri Light" w:hAnsi="Calibri Light" w:cs="Calibri Light"/>
          <w:sz w:val="22"/>
        </w:rPr>
        <w:t>4</w:t>
      </w:r>
      <w:r w:rsidRPr="002C024A">
        <w:rPr>
          <w:rFonts w:ascii="Calibri Light" w:hAnsi="Calibri Light" w:cs="Calibri Light"/>
          <w:sz w:val="22"/>
        </w:rPr>
        <w:t xml:space="preserve"> Ecuador importó un total de 1.321 GWh de electricidad y mantuvo una exportación de 545 GWh de electricidad.</w:t>
      </w:r>
    </w:p>
    <w:p w14:paraId="1D914DA5" w14:textId="6CA8CC56" w:rsidR="00102E95" w:rsidRPr="002C024A" w:rsidRDefault="00102E95" w:rsidP="00102E95">
      <w:pPr>
        <w:spacing w:before="240" w:after="240"/>
        <w:jc w:val="both"/>
        <w:rPr>
          <w:rFonts w:ascii="Calibri Light" w:hAnsi="Calibri Light" w:cs="Calibri Light"/>
          <w:sz w:val="22"/>
        </w:rPr>
      </w:pPr>
      <w:r w:rsidRPr="002C024A">
        <w:rPr>
          <w:rFonts w:ascii="Calibri Light" w:hAnsi="Calibri Light" w:cs="Calibri Light"/>
          <w:sz w:val="22"/>
        </w:rPr>
        <w:t>En este documento se reporta que la producción de energía primaria en Ecuador para el año 202</w:t>
      </w:r>
      <w:r w:rsidR="00183F81">
        <w:rPr>
          <w:rFonts w:ascii="Calibri Light" w:hAnsi="Calibri Light" w:cs="Calibri Light"/>
          <w:sz w:val="22"/>
        </w:rPr>
        <w:t>4</w:t>
      </w:r>
      <w:r w:rsidRPr="002C024A">
        <w:rPr>
          <w:rFonts w:ascii="Calibri Light" w:hAnsi="Calibri Light" w:cs="Calibri Light"/>
          <w:sz w:val="22"/>
        </w:rPr>
        <w:t xml:space="preserve"> decreció 0,7 % respecto al año 202</w:t>
      </w:r>
      <w:r w:rsidR="00183F81">
        <w:rPr>
          <w:rFonts w:ascii="Calibri Light" w:hAnsi="Calibri Light" w:cs="Calibri Light"/>
          <w:sz w:val="22"/>
        </w:rPr>
        <w:t>34</w:t>
      </w:r>
      <w:r w:rsidRPr="002C024A">
        <w:rPr>
          <w:rFonts w:ascii="Calibri Light" w:hAnsi="Calibri Light" w:cs="Calibri Light"/>
          <w:sz w:val="22"/>
        </w:rPr>
        <w:t xml:space="preserve"> alcanzando los 202 millones de BEP. Correspondió el 85,8 % a producción de petróleo; 4,5 % a producción de gas natural; y, 9,7 % a producción de energía renovable (hidroenergía, leña, productos de caña, energía eólica, fotovoltaica y biogás).</w:t>
      </w:r>
    </w:p>
    <w:p w14:paraId="6A5C7EFE" w14:textId="22B3FE79" w:rsidR="00102E95" w:rsidRPr="002C024A" w:rsidRDefault="00102E95" w:rsidP="00102E95">
      <w:pPr>
        <w:spacing w:before="240" w:after="240"/>
        <w:jc w:val="both"/>
        <w:rPr>
          <w:rFonts w:ascii="Calibri Light" w:hAnsi="Calibri Light" w:cs="Calibri Light"/>
          <w:sz w:val="22"/>
        </w:rPr>
      </w:pPr>
      <w:r w:rsidRPr="002C024A">
        <w:rPr>
          <w:rFonts w:ascii="Calibri Light" w:hAnsi="Calibri Light" w:cs="Calibri Light"/>
          <w:sz w:val="22"/>
        </w:rPr>
        <w:t>En 202</w:t>
      </w:r>
      <w:r w:rsidR="00183F81">
        <w:rPr>
          <w:rFonts w:ascii="Calibri Light" w:hAnsi="Calibri Light" w:cs="Calibri Light"/>
          <w:sz w:val="22"/>
        </w:rPr>
        <w:t>4</w:t>
      </w:r>
      <w:r w:rsidRPr="002C024A">
        <w:rPr>
          <w:rFonts w:ascii="Calibri Light" w:hAnsi="Calibri Light" w:cs="Calibri Light"/>
          <w:sz w:val="22"/>
        </w:rPr>
        <w:t xml:space="preserve"> el sector con mayores emisiones de gases de efecto invernadero (GEI) fue el transporte, al ser este el principal demandante de energía proveniente de fuentes fósiles, generando 51,7 % del total. Otros sectores con emisiones relevantes fueron el industrial con 10,5 % y el residencial con 8 %.</w:t>
      </w:r>
    </w:p>
    <w:p w14:paraId="39074222" w14:textId="7A7F8236" w:rsidR="00102E95" w:rsidRDefault="00102E95" w:rsidP="002B52C2">
      <w:pPr>
        <w:spacing w:before="240" w:after="240"/>
        <w:jc w:val="both"/>
        <w:rPr>
          <w:rFonts w:ascii="Calibri Light" w:hAnsi="Calibri Light" w:cs="Calibri Light"/>
          <w:sz w:val="22"/>
        </w:rPr>
      </w:pPr>
      <w:r w:rsidRPr="002C024A">
        <w:rPr>
          <w:rFonts w:ascii="Calibri Light" w:hAnsi="Calibri Light" w:cs="Calibri Light"/>
          <w:sz w:val="22"/>
        </w:rPr>
        <w:t>Los datos requeridos para la elaboración del balance fueron provistos por las siguientes entidades: Agencia de Regulación y Control de Hidrocarburos (ARCH), Agencia de Regulación y Control de Electricidad (ARCONEL), Banco Central del Ecuador, Instituto Nacional de Estadísticas y Censos (INEC), EP PETROECUADOR y su proyecto Optimización de Generación Eléctrica (OGE).</w:t>
      </w:r>
    </w:p>
    <w:p w14:paraId="08B351E6" w14:textId="77777777" w:rsidR="00213F2B" w:rsidRPr="002B52C2" w:rsidRDefault="00213F2B" w:rsidP="002B52C2">
      <w:pPr>
        <w:spacing w:before="240" w:after="240"/>
        <w:jc w:val="both"/>
        <w:rPr>
          <w:rFonts w:ascii="Calibri Light" w:hAnsi="Calibri Light" w:cs="Calibri Light"/>
          <w:sz w:val="22"/>
        </w:rPr>
      </w:pPr>
    </w:p>
    <w:p w14:paraId="6680EAFD" w14:textId="722DC2BF" w:rsidR="00102E95" w:rsidRPr="00213F2B" w:rsidRDefault="00102E95" w:rsidP="00213F2B">
      <w:pPr>
        <w:pStyle w:val="Ttulo2"/>
        <w:rPr>
          <w:sz w:val="24"/>
          <w:szCs w:val="24"/>
        </w:rPr>
      </w:pPr>
      <w:r w:rsidRPr="00E23641">
        <w:t xml:space="preserve"> </w:t>
      </w:r>
      <w:bookmarkStart w:id="173" w:name="_Toc197335112"/>
      <w:bookmarkStart w:id="174" w:name="_Toc199759561"/>
      <w:r w:rsidRPr="00213F2B">
        <w:rPr>
          <w:sz w:val="24"/>
          <w:szCs w:val="24"/>
        </w:rPr>
        <w:t>G</w:t>
      </w:r>
      <w:r w:rsidR="00140159" w:rsidRPr="00213F2B">
        <w:rPr>
          <w:sz w:val="24"/>
          <w:szCs w:val="24"/>
        </w:rPr>
        <w:t>estión de</w:t>
      </w:r>
      <w:r w:rsidRPr="00213F2B">
        <w:rPr>
          <w:sz w:val="24"/>
          <w:szCs w:val="24"/>
        </w:rPr>
        <w:t xml:space="preserve"> EP FLOPEC</w:t>
      </w:r>
      <w:bookmarkEnd w:id="173"/>
      <w:bookmarkEnd w:id="174"/>
    </w:p>
    <w:p w14:paraId="7AC3E78A" w14:textId="77777777" w:rsidR="00102E95" w:rsidRDefault="00102E95" w:rsidP="00102E95"/>
    <w:p w14:paraId="48968E18" w14:textId="77777777" w:rsidR="00102E95" w:rsidRPr="00213F2B" w:rsidRDefault="00102E95" w:rsidP="00213F2B">
      <w:pPr>
        <w:pStyle w:val="Ttulo4"/>
        <w:rPr>
          <w:i w:val="0"/>
          <w:sz w:val="22"/>
          <w:szCs w:val="22"/>
        </w:rPr>
      </w:pPr>
      <w:bookmarkStart w:id="175" w:name="_Toc157596526"/>
      <w:bookmarkStart w:id="176" w:name="_Toc195518401"/>
      <w:bookmarkStart w:id="177" w:name="_Toc197335113"/>
      <w:r w:rsidRPr="00213F2B">
        <w:rPr>
          <w:i w:val="0"/>
          <w:sz w:val="22"/>
          <w:szCs w:val="22"/>
        </w:rPr>
        <w:t>Líneas de Negocio de EP FLOPEC</w:t>
      </w:r>
      <w:bookmarkEnd w:id="175"/>
      <w:bookmarkEnd w:id="176"/>
      <w:bookmarkEnd w:id="177"/>
    </w:p>
    <w:p w14:paraId="52D61D63" w14:textId="77777777" w:rsidR="00102E95" w:rsidRPr="00F6691E" w:rsidRDefault="00102E95" w:rsidP="00102E95"/>
    <w:p w14:paraId="7B3243AA" w14:textId="77777777" w:rsidR="00102E95" w:rsidRPr="00577597" w:rsidRDefault="00102E95" w:rsidP="00102E95">
      <w:pPr>
        <w:jc w:val="both"/>
        <w:rPr>
          <w:rFonts w:ascii="Calibri Light" w:hAnsi="Calibri Light" w:cs="Calibri Light"/>
          <w:color w:val="000000"/>
          <w:sz w:val="22"/>
          <w:szCs w:val="22"/>
        </w:rPr>
      </w:pPr>
      <w:r w:rsidRPr="00577597">
        <w:rPr>
          <w:rFonts w:ascii="Calibri Light" w:hAnsi="Calibri Light" w:cs="Calibri Light"/>
          <w:color w:val="000000"/>
          <w:sz w:val="22"/>
          <w:szCs w:val="22"/>
        </w:rPr>
        <w:t xml:space="preserve">La empresa </w:t>
      </w:r>
      <w:r w:rsidRPr="0058513B">
        <w:rPr>
          <w:rFonts w:ascii="Calibri Light" w:hAnsi="Calibri Light" w:cs="Calibri Light"/>
          <w:color w:val="000000"/>
          <w:sz w:val="22"/>
          <w:szCs w:val="22"/>
        </w:rPr>
        <w:t>constantemente busca nuevas oportunidades de negocio que le permitan mantener un crecimiento sostenido</w:t>
      </w:r>
      <w:r w:rsidRPr="00577597">
        <w:rPr>
          <w:rFonts w:ascii="Calibri Light" w:hAnsi="Calibri Light" w:cs="Calibri Light"/>
          <w:color w:val="000000"/>
          <w:sz w:val="22"/>
          <w:szCs w:val="22"/>
        </w:rPr>
        <w:t xml:space="preserve">, y con una sólida evidencia de mayor participación en el mercado nacional y regional; manteniendo los estándares de calidad que demanda la industria marítima a nivel nacional e internacional. </w:t>
      </w:r>
    </w:p>
    <w:p w14:paraId="525AD5C1" w14:textId="77777777" w:rsidR="00102E95" w:rsidRPr="00577597" w:rsidRDefault="00102E95" w:rsidP="00102E95">
      <w:pPr>
        <w:jc w:val="both"/>
        <w:rPr>
          <w:rFonts w:ascii="Calibri Light" w:hAnsi="Calibri Light" w:cs="Calibri Light"/>
          <w:color w:val="000000"/>
          <w:sz w:val="22"/>
          <w:szCs w:val="22"/>
        </w:rPr>
      </w:pPr>
    </w:p>
    <w:p w14:paraId="528F94E5" w14:textId="76F7ABDB" w:rsidR="00102E95" w:rsidRPr="00577597" w:rsidRDefault="00102E95" w:rsidP="00102E95">
      <w:pPr>
        <w:jc w:val="both"/>
        <w:rPr>
          <w:rFonts w:ascii="Calibri Light" w:hAnsi="Calibri Light" w:cs="Calibri Light"/>
          <w:color w:val="000000"/>
          <w:sz w:val="22"/>
          <w:szCs w:val="22"/>
        </w:rPr>
      </w:pPr>
      <w:r w:rsidRPr="00577597">
        <w:rPr>
          <w:rFonts w:ascii="Calibri Light" w:hAnsi="Calibri Light" w:cs="Calibri Light"/>
          <w:color w:val="000000"/>
          <w:sz w:val="22"/>
          <w:szCs w:val="22"/>
        </w:rPr>
        <w:t>En la siguiente figura se muestran las líneas de negocios que tiene la empresa.</w:t>
      </w:r>
    </w:p>
    <w:p w14:paraId="694FF746" w14:textId="29ACEDB9" w:rsidR="00102E95" w:rsidRPr="00577597" w:rsidRDefault="00E30DD7" w:rsidP="00102E95">
      <w:pPr>
        <w:jc w:val="both"/>
        <w:rPr>
          <w:rFonts w:ascii="Calibri Light" w:hAnsi="Calibri Light" w:cs="Calibri Light"/>
          <w:color w:val="000000"/>
          <w:sz w:val="22"/>
          <w:szCs w:val="22"/>
        </w:rPr>
      </w:pPr>
      <w:r>
        <w:rPr>
          <w:noProof/>
        </w:rPr>
        <mc:AlternateContent>
          <mc:Choice Requires="wps">
            <w:drawing>
              <wp:anchor distT="0" distB="0" distL="114300" distR="114300" simplePos="0" relativeHeight="251699200" behindDoc="1" locked="0" layoutInCell="1" allowOverlap="1" wp14:anchorId="155368BF" wp14:editId="10966A32">
                <wp:simplePos x="0" y="0"/>
                <wp:positionH relativeFrom="column">
                  <wp:posOffset>1049036</wp:posOffset>
                </wp:positionH>
                <wp:positionV relativeFrom="paragraph">
                  <wp:posOffset>132868</wp:posOffset>
                </wp:positionV>
                <wp:extent cx="3817620" cy="167833"/>
                <wp:effectExtent l="0" t="0" r="0" b="3810"/>
                <wp:wrapNone/>
                <wp:docPr id="1421088722" name="Cuadro de texto 1421088722"/>
                <wp:cNvGraphicFramePr/>
                <a:graphic xmlns:a="http://schemas.openxmlformats.org/drawingml/2006/main">
                  <a:graphicData uri="http://schemas.microsoft.com/office/word/2010/wordprocessingShape">
                    <wps:wsp>
                      <wps:cNvSpPr txBox="1"/>
                      <wps:spPr>
                        <a:xfrm>
                          <a:off x="0" y="0"/>
                          <a:ext cx="3817620" cy="167833"/>
                        </a:xfrm>
                        <a:prstGeom prst="rect">
                          <a:avLst/>
                        </a:prstGeom>
                        <a:solidFill>
                          <a:prstClr val="white"/>
                        </a:solidFill>
                        <a:ln>
                          <a:noFill/>
                        </a:ln>
                      </wps:spPr>
                      <wps:txbx>
                        <w:txbxContent>
                          <w:p w14:paraId="6B9DCACA" w14:textId="1969B448" w:rsidR="00941411" w:rsidRPr="00E30DD7" w:rsidRDefault="00941411" w:rsidP="00E30DD7">
                            <w:pPr>
                              <w:pStyle w:val="Descripcin"/>
                              <w:rPr>
                                <w:rFonts w:asciiTheme="majorHAnsi" w:hAnsiTheme="majorHAnsi" w:cstheme="majorHAnsi"/>
                                <w:noProof/>
                                <w:sz w:val="24"/>
                                <w:szCs w:val="24"/>
                              </w:rPr>
                            </w:pPr>
                            <w:bookmarkStart w:id="178" w:name="_Toc199757576"/>
                            <w:r w:rsidRPr="00E30DD7">
                              <w:rPr>
                                <w:rFonts w:asciiTheme="majorHAnsi" w:hAnsiTheme="majorHAnsi" w:cstheme="majorHAnsi"/>
                              </w:rPr>
                              <w:t xml:space="preserve">Ilustración </w:t>
                            </w:r>
                            <w:r w:rsidRPr="00E30DD7">
                              <w:rPr>
                                <w:rFonts w:asciiTheme="majorHAnsi" w:hAnsiTheme="majorHAnsi" w:cstheme="majorHAnsi"/>
                              </w:rPr>
                              <w:fldChar w:fldCharType="begin"/>
                            </w:r>
                            <w:r w:rsidRPr="00E30DD7">
                              <w:rPr>
                                <w:rFonts w:asciiTheme="majorHAnsi" w:hAnsiTheme="majorHAnsi" w:cstheme="majorHAnsi"/>
                              </w:rPr>
                              <w:instrText xml:space="preserve"> SEQ Ilustración \* ARABIC </w:instrText>
                            </w:r>
                            <w:r w:rsidRPr="00E30DD7">
                              <w:rPr>
                                <w:rFonts w:asciiTheme="majorHAnsi" w:hAnsiTheme="majorHAnsi" w:cstheme="majorHAnsi"/>
                              </w:rPr>
                              <w:fldChar w:fldCharType="separate"/>
                            </w:r>
                            <w:r w:rsidRPr="00E30DD7">
                              <w:rPr>
                                <w:rFonts w:asciiTheme="majorHAnsi" w:hAnsiTheme="majorHAnsi" w:cstheme="majorHAnsi"/>
                                <w:noProof/>
                              </w:rPr>
                              <w:t>3</w:t>
                            </w:r>
                            <w:r w:rsidRPr="00E30DD7">
                              <w:rPr>
                                <w:rFonts w:asciiTheme="majorHAnsi" w:hAnsiTheme="majorHAnsi" w:cstheme="majorHAnsi"/>
                              </w:rPr>
                              <w:fldChar w:fldCharType="end"/>
                            </w:r>
                            <w:r>
                              <w:rPr>
                                <w:rFonts w:asciiTheme="majorHAnsi" w:hAnsiTheme="majorHAnsi" w:cstheme="majorHAnsi"/>
                              </w:rPr>
                              <w:t xml:space="preserve">: </w:t>
                            </w:r>
                            <w:r w:rsidRPr="00E30DD7">
                              <w:rPr>
                                <w:rFonts w:asciiTheme="majorHAnsi" w:hAnsiTheme="majorHAnsi" w:cstheme="majorHAnsi"/>
                              </w:rPr>
                              <w:t>Líneas de Negocio EP FLOPEC</w:t>
                            </w:r>
                            <w:bookmarkEnd w:id="1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368BF" id="Cuadro de texto 1421088722" o:spid="_x0000_s1039" type="#_x0000_t202" style="position:absolute;left:0;text-align:left;margin-left:82.6pt;margin-top:10.45pt;width:300.6pt;height:13.2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" stroked="f">
                <v:textbox inset="0,0,0,0">
                  <w:txbxContent>
                    <w:p w14:paraId="6B9DCACA" w14:textId="1969B448" w:rsidR="00941411" w:rsidRPr="00E30DD7" w:rsidRDefault="00941411" w:rsidP="00E30DD7">
                      <w:pPr>
                        <w:pStyle w:val="Descripcin"/>
                        <w:rPr>
                          <w:rFonts w:asciiTheme="majorHAnsi" w:hAnsiTheme="majorHAnsi" w:cstheme="majorHAnsi"/>
                          <w:noProof/>
                          <w:sz w:val="24"/>
                          <w:szCs w:val="24"/>
                        </w:rPr>
                      </w:pPr>
                      <w:bookmarkStart w:id="179" w:name="_Toc199757576"/>
                      <w:r w:rsidRPr="00E30DD7">
                        <w:rPr>
                          <w:rFonts w:asciiTheme="majorHAnsi" w:hAnsiTheme="majorHAnsi" w:cstheme="majorHAnsi"/>
                        </w:rPr>
                        <w:t xml:space="preserve">Ilustración </w:t>
                      </w:r>
                      <w:r w:rsidRPr="00E30DD7">
                        <w:rPr>
                          <w:rFonts w:asciiTheme="majorHAnsi" w:hAnsiTheme="majorHAnsi" w:cstheme="majorHAnsi"/>
                        </w:rPr>
                        <w:fldChar w:fldCharType="begin"/>
                      </w:r>
                      <w:r w:rsidRPr="00E30DD7">
                        <w:rPr>
                          <w:rFonts w:asciiTheme="majorHAnsi" w:hAnsiTheme="majorHAnsi" w:cstheme="majorHAnsi"/>
                        </w:rPr>
                        <w:instrText xml:space="preserve"> SEQ Ilustración \* ARABIC </w:instrText>
                      </w:r>
                      <w:r w:rsidRPr="00E30DD7">
                        <w:rPr>
                          <w:rFonts w:asciiTheme="majorHAnsi" w:hAnsiTheme="majorHAnsi" w:cstheme="majorHAnsi"/>
                        </w:rPr>
                        <w:fldChar w:fldCharType="separate"/>
                      </w:r>
                      <w:r w:rsidRPr="00E30DD7">
                        <w:rPr>
                          <w:rFonts w:asciiTheme="majorHAnsi" w:hAnsiTheme="majorHAnsi" w:cstheme="majorHAnsi"/>
                          <w:noProof/>
                        </w:rPr>
                        <w:t>3</w:t>
                      </w:r>
                      <w:r w:rsidRPr="00E30DD7">
                        <w:rPr>
                          <w:rFonts w:asciiTheme="majorHAnsi" w:hAnsiTheme="majorHAnsi" w:cstheme="majorHAnsi"/>
                        </w:rPr>
                        <w:fldChar w:fldCharType="end"/>
                      </w:r>
                      <w:r>
                        <w:rPr>
                          <w:rFonts w:asciiTheme="majorHAnsi" w:hAnsiTheme="majorHAnsi" w:cstheme="majorHAnsi"/>
                        </w:rPr>
                        <w:t xml:space="preserve">: </w:t>
                      </w:r>
                      <w:r w:rsidRPr="00E30DD7">
                        <w:rPr>
                          <w:rFonts w:asciiTheme="majorHAnsi" w:hAnsiTheme="majorHAnsi" w:cstheme="majorHAnsi"/>
                        </w:rPr>
                        <w:t>Líneas de Negocio EP FLOPEC</w:t>
                      </w:r>
                      <w:bookmarkEnd w:id="179"/>
                    </w:p>
                  </w:txbxContent>
                </v:textbox>
              </v:shape>
            </w:pict>
          </mc:Fallback>
        </mc:AlternateContent>
      </w:r>
    </w:p>
    <w:p w14:paraId="3BCE205B" w14:textId="05130AD4" w:rsidR="00102E95" w:rsidRPr="00DF5A8A" w:rsidRDefault="00102E95" w:rsidP="00102E95">
      <w:pPr>
        <w:pStyle w:val="Descripcin"/>
        <w:rPr>
          <w:b/>
          <w:bCs/>
          <w:i w:val="0"/>
          <w:iCs w:val="0"/>
        </w:rPr>
      </w:pPr>
    </w:p>
    <w:p w14:paraId="6DBC1A6C" w14:textId="2FBA430C" w:rsidR="00102E95" w:rsidRPr="00577597" w:rsidRDefault="00102E95" w:rsidP="00102E95">
      <w:pPr>
        <w:keepNext/>
        <w:tabs>
          <w:tab w:val="left" w:pos="2977"/>
        </w:tabs>
        <w:jc w:val="center"/>
        <w:rPr>
          <w:rFonts w:cs="Calibri"/>
        </w:rPr>
      </w:pPr>
      <w:r>
        <w:rPr>
          <w:noProof/>
        </w:rPr>
        <w:drawing>
          <wp:anchor distT="0" distB="0" distL="114300" distR="114300" simplePos="0" relativeHeight="251664384" behindDoc="1" locked="0" layoutInCell="1" allowOverlap="1" wp14:anchorId="65952946" wp14:editId="0B064298">
            <wp:simplePos x="0" y="0"/>
            <wp:positionH relativeFrom="margin">
              <wp:posOffset>996315</wp:posOffset>
            </wp:positionH>
            <wp:positionV relativeFrom="paragraph">
              <wp:posOffset>15875</wp:posOffset>
            </wp:positionV>
            <wp:extent cx="3817620" cy="2490470"/>
            <wp:effectExtent l="0" t="0" r="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7620" cy="2490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E997E" w14:textId="77777777" w:rsidR="00102E95" w:rsidRPr="00577597" w:rsidRDefault="00102E95" w:rsidP="00102E95">
      <w:pPr>
        <w:jc w:val="center"/>
        <w:rPr>
          <w:rFonts w:cs="Calibri"/>
          <w:i/>
          <w:sz w:val="16"/>
          <w:szCs w:val="16"/>
        </w:rPr>
      </w:pPr>
    </w:p>
    <w:p w14:paraId="36636525" w14:textId="77777777" w:rsidR="00102E95" w:rsidRPr="00577597" w:rsidRDefault="00102E95" w:rsidP="00102E95">
      <w:pPr>
        <w:jc w:val="center"/>
        <w:rPr>
          <w:rFonts w:cs="Calibri"/>
          <w:i/>
          <w:sz w:val="16"/>
          <w:szCs w:val="16"/>
        </w:rPr>
      </w:pPr>
    </w:p>
    <w:p w14:paraId="1E2C0546" w14:textId="77777777" w:rsidR="00102E95" w:rsidRPr="00577597" w:rsidRDefault="00102E95" w:rsidP="00102E95">
      <w:pPr>
        <w:jc w:val="center"/>
        <w:rPr>
          <w:rFonts w:cs="Calibri"/>
          <w:i/>
          <w:sz w:val="16"/>
          <w:szCs w:val="16"/>
        </w:rPr>
      </w:pPr>
    </w:p>
    <w:p w14:paraId="19D31730" w14:textId="77777777" w:rsidR="00102E95" w:rsidRPr="00577597" w:rsidRDefault="00102E95" w:rsidP="00102E95">
      <w:pPr>
        <w:jc w:val="center"/>
        <w:rPr>
          <w:rFonts w:cs="Calibri"/>
          <w:i/>
          <w:sz w:val="16"/>
          <w:szCs w:val="16"/>
        </w:rPr>
      </w:pPr>
    </w:p>
    <w:p w14:paraId="522D4E39" w14:textId="77777777" w:rsidR="00102E95" w:rsidRPr="00577597" w:rsidRDefault="00102E95" w:rsidP="00102E95">
      <w:pPr>
        <w:jc w:val="center"/>
        <w:rPr>
          <w:rFonts w:cs="Calibri"/>
          <w:i/>
          <w:sz w:val="16"/>
          <w:szCs w:val="16"/>
        </w:rPr>
      </w:pPr>
    </w:p>
    <w:p w14:paraId="2F1ECCFB" w14:textId="77777777" w:rsidR="00102E95" w:rsidRPr="00577597" w:rsidRDefault="00102E95" w:rsidP="00102E95">
      <w:pPr>
        <w:jc w:val="center"/>
        <w:rPr>
          <w:rFonts w:cs="Calibri"/>
          <w:i/>
          <w:sz w:val="16"/>
          <w:szCs w:val="16"/>
        </w:rPr>
      </w:pPr>
    </w:p>
    <w:p w14:paraId="4BAA7EB7" w14:textId="77777777" w:rsidR="00102E95" w:rsidRPr="00577597" w:rsidRDefault="00102E95" w:rsidP="00102E95">
      <w:pPr>
        <w:jc w:val="center"/>
        <w:rPr>
          <w:rFonts w:cs="Calibri"/>
          <w:i/>
          <w:sz w:val="16"/>
          <w:szCs w:val="16"/>
        </w:rPr>
      </w:pPr>
    </w:p>
    <w:p w14:paraId="66CC21E6" w14:textId="77777777" w:rsidR="00102E95" w:rsidRPr="00577597" w:rsidRDefault="00102E95" w:rsidP="00102E95">
      <w:pPr>
        <w:jc w:val="center"/>
        <w:rPr>
          <w:rFonts w:cs="Calibri"/>
          <w:i/>
          <w:sz w:val="16"/>
          <w:szCs w:val="16"/>
        </w:rPr>
      </w:pPr>
    </w:p>
    <w:p w14:paraId="403D5237" w14:textId="77777777" w:rsidR="00102E95" w:rsidRPr="00577597" w:rsidRDefault="00102E95" w:rsidP="00102E95">
      <w:pPr>
        <w:jc w:val="center"/>
        <w:rPr>
          <w:rFonts w:cs="Calibri"/>
          <w:i/>
          <w:sz w:val="16"/>
          <w:szCs w:val="16"/>
        </w:rPr>
      </w:pPr>
    </w:p>
    <w:p w14:paraId="6F4A3947" w14:textId="03D11CD4" w:rsidR="00102E95" w:rsidRPr="00EE578D" w:rsidRDefault="00102E95" w:rsidP="00EE578D">
      <w:pPr>
        <w:tabs>
          <w:tab w:val="left" w:pos="5358"/>
        </w:tabs>
        <w:rPr>
          <w:rFonts w:cs="Calibri"/>
          <w:i/>
          <w:sz w:val="16"/>
          <w:szCs w:val="16"/>
        </w:rPr>
      </w:pPr>
    </w:p>
    <w:p w14:paraId="0D844A63" w14:textId="77777777" w:rsidR="00102E95" w:rsidRPr="00577597" w:rsidRDefault="00102E95" w:rsidP="00102E95">
      <w:pPr>
        <w:jc w:val="center"/>
        <w:rPr>
          <w:rFonts w:ascii="Calibri Light" w:hAnsi="Calibri Light" w:cs="Calibri Light"/>
          <w:color w:val="7F7F7F"/>
          <w:sz w:val="20"/>
        </w:rPr>
      </w:pPr>
    </w:p>
    <w:p w14:paraId="27267987" w14:textId="77777777" w:rsidR="00102E95" w:rsidRPr="00577597" w:rsidRDefault="00102E95" w:rsidP="00102E95">
      <w:pPr>
        <w:jc w:val="center"/>
        <w:rPr>
          <w:rFonts w:ascii="Calibri Light" w:hAnsi="Calibri Light" w:cs="Calibri Light"/>
          <w:color w:val="7F7F7F"/>
          <w:sz w:val="20"/>
        </w:rPr>
      </w:pPr>
    </w:p>
    <w:p w14:paraId="39D0A563" w14:textId="77777777" w:rsidR="00E30DD7" w:rsidRDefault="00E30DD7" w:rsidP="00102E95">
      <w:pPr>
        <w:jc w:val="center"/>
        <w:rPr>
          <w:rFonts w:ascii="Calibri Light" w:hAnsi="Calibri Light" w:cs="Calibri Light"/>
          <w:color w:val="7F7F7F"/>
          <w:sz w:val="20"/>
        </w:rPr>
      </w:pPr>
    </w:p>
    <w:p w14:paraId="16F6F19E" w14:textId="77777777" w:rsidR="00E30DD7" w:rsidRDefault="00E30DD7" w:rsidP="00102E95">
      <w:pPr>
        <w:jc w:val="center"/>
        <w:rPr>
          <w:rFonts w:ascii="Calibri Light" w:hAnsi="Calibri Light" w:cs="Calibri Light"/>
          <w:color w:val="7F7F7F"/>
          <w:sz w:val="20"/>
        </w:rPr>
      </w:pPr>
    </w:p>
    <w:p w14:paraId="07441BB8" w14:textId="77777777" w:rsidR="00E30DD7" w:rsidRDefault="00E30DD7" w:rsidP="00102E95">
      <w:pPr>
        <w:jc w:val="center"/>
        <w:rPr>
          <w:rFonts w:ascii="Calibri Light" w:hAnsi="Calibri Light" w:cs="Calibri Light"/>
          <w:color w:val="7F7F7F"/>
          <w:sz w:val="20"/>
        </w:rPr>
      </w:pPr>
    </w:p>
    <w:p w14:paraId="154A33AB" w14:textId="77777777" w:rsidR="00E30DD7" w:rsidRDefault="00E30DD7" w:rsidP="00102E95">
      <w:pPr>
        <w:jc w:val="center"/>
        <w:rPr>
          <w:rFonts w:ascii="Calibri Light" w:hAnsi="Calibri Light" w:cs="Calibri Light"/>
          <w:color w:val="7F7F7F"/>
          <w:sz w:val="20"/>
        </w:rPr>
      </w:pPr>
    </w:p>
    <w:p w14:paraId="383903FE" w14:textId="77777777" w:rsidR="00E30DD7" w:rsidRDefault="00E30DD7" w:rsidP="00102E95">
      <w:pPr>
        <w:jc w:val="center"/>
        <w:rPr>
          <w:rFonts w:ascii="Calibri Light" w:hAnsi="Calibri Light" w:cs="Calibri Light"/>
          <w:color w:val="7F7F7F"/>
          <w:sz w:val="20"/>
        </w:rPr>
      </w:pPr>
    </w:p>
    <w:p w14:paraId="00C5AF90" w14:textId="77777777" w:rsidR="00E30DD7" w:rsidRPr="00E30DD7" w:rsidRDefault="00E30DD7" w:rsidP="00102E95">
      <w:pPr>
        <w:jc w:val="center"/>
        <w:rPr>
          <w:rFonts w:ascii="Calibri Light" w:hAnsi="Calibri Light" w:cs="Calibri Light"/>
          <w:i/>
          <w:color w:val="7F7F7F"/>
          <w:sz w:val="20"/>
        </w:rPr>
      </w:pPr>
    </w:p>
    <w:p w14:paraId="0A11076A" w14:textId="6A2893EB" w:rsidR="00102E95" w:rsidRPr="00E30DD7" w:rsidRDefault="00102E95" w:rsidP="00102E95">
      <w:pPr>
        <w:jc w:val="center"/>
        <w:rPr>
          <w:rFonts w:ascii="Calibri Light" w:hAnsi="Calibri Light" w:cs="Calibri Light"/>
          <w:i/>
          <w:color w:val="7F7F7F"/>
          <w:sz w:val="20"/>
        </w:rPr>
      </w:pPr>
      <w:r w:rsidRPr="00E30DD7">
        <w:rPr>
          <w:rFonts w:ascii="Calibri Light" w:hAnsi="Calibri Light" w:cs="Calibri Light"/>
          <w:i/>
          <w:color w:val="7F7F7F"/>
          <w:sz w:val="20"/>
        </w:rPr>
        <w:t>Fuente: Gerencia Comercial y Elaborado por: Gerencia de Planificación.</w:t>
      </w:r>
    </w:p>
    <w:p w14:paraId="63584ECE" w14:textId="28927DB3" w:rsidR="00140159" w:rsidRDefault="00140159" w:rsidP="009348E0">
      <w:pPr>
        <w:rPr>
          <w:rFonts w:ascii="Calibri Light" w:hAnsi="Calibri Light" w:cs="Calibri Light"/>
          <w:color w:val="7F7F7F"/>
          <w:sz w:val="20"/>
        </w:rPr>
      </w:pPr>
    </w:p>
    <w:p w14:paraId="60916186" w14:textId="602BB3A5" w:rsidR="00140159" w:rsidRDefault="00140159" w:rsidP="00E23641">
      <w:pPr>
        <w:rPr>
          <w:rFonts w:ascii="Calibri Light" w:hAnsi="Calibri Light" w:cs="Calibri Light"/>
          <w:color w:val="7F7F7F"/>
          <w:sz w:val="20"/>
        </w:rPr>
      </w:pPr>
    </w:p>
    <w:p w14:paraId="0797BCF4" w14:textId="3FD65DF8" w:rsidR="00F7193D" w:rsidRDefault="00F7193D" w:rsidP="00E23641">
      <w:pPr>
        <w:rPr>
          <w:rFonts w:ascii="Calibri Light" w:hAnsi="Calibri Light" w:cs="Calibri Light"/>
          <w:color w:val="7F7F7F"/>
          <w:sz w:val="20"/>
        </w:rPr>
      </w:pPr>
    </w:p>
    <w:p w14:paraId="1DDFC43E" w14:textId="77777777" w:rsidR="00F7193D" w:rsidRPr="00577597" w:rsidRDefault="00F7193D" w:rsidP="00E23641">
      <w:pPr>
        <w:rPr>
          <w:rFonts w:ascii="Calibri Light" w:hAnsi="Calibri Light" w:cs="Calibri Light"/>
          <w:color w:val="7F7F7F"/>
          <w:sz w:val="20"/>
        </w:rPr>
      </w:pPr>
    </w:p>
    <w:p w14:paraId="5C6BBAEE" w14:textId="77777777" w:rsidR="00102E95" w:rsidRPr="00213F2B" w:rsidRDefault="00102E95" w:rsidP="00213F2B">
      <w:pPr>
        <w:pStyle w:val="Ttulo4"/>
        <w:rPr>
          <w:i w:val="0"/>
          <w:sz w:val="22"/>
          <w:szCs w:val="22"/>
        </w:rPr>
      </w:pPr>
      <w:bookmarkStart w:id="180" w:name="_Toc157596535"/>
      <w:bookmarkStart w:id="181" w:name="_Toc195518408"/>
      <w:bookmarkStart w:id="182" w:name="_Toc197335117"/>
      <w:r w:rsidRPr="00213F2B">
        <w:rPr>
          <w:i w:val="0"/>
          <w:sz w:val="22"/>
          <w:szCs w:val="22"/>
        </w:rPr>
        <w:t>Responsabilidad Social y Ambiental</w:t>
      </w:r>
      <w:bookmarkEnd w:id="180"/>
      <w:bookmarkEnd w:id="181"/>
      <w:bookmarkEnd w:id="182"/>
    </w:p>
    <w:p w14:paraId="2BEF1182" w14:textId="77777777" w:rsidR="00102E95" w:rsidRPr="00446AF9" w:rsidRDefault="00102E95" w:rsidP="00102E95"/>
    <w:p w14:paraId="0D7F61ED" w14:textId="77777777" w:rsidR="00102E95" w:rsidRPr="00213F2B" w:rsidRDefault="00102E95" w:rsidP="00213F2B">
      <w:pPr>
        <w:pStyle w:val="Ttulo4"/>
        <w:rPr>
          <w:i w:val="0"/>
        </w:rPr>
      </w:pPr>
      <w:bookmarkStart w:id="183" w:name="_Toc157596536"/>
      <w:bookmarkStart w:id="184" w:name="_Toc195518409"/>
      <w:r w:rsidRPr="00213F2B">
        <w:rPr>
          <w:i w:val="0"/>
        </w:rPr>
        <w:t>Responsabilidad Ambiental</w:t>
      </w:r>
      <w:bookmarkEnd w:id="183"/>
      <w:bookmarkEnd w:id="184"/>
    </w:p>
    <w:p w14:paraId="6ADC6F53" w14:textId="77777777" w:rsidR="00102E95" w:rsidRPr="00C94502" w:rsidRDefault="00102E95" w:rsidP="00102E95"/>
    <w:p w14:paraId="25A7C621" w14:textId="1FE7E97A" w:rsidR="00102E95" w:rsidRDefault="00102E95" w:rsidP="00102E95">
      <w:pPr>
        <w:jc w:val="both"/>
        <w:rPr>
          <w:rFonts w:ascii="Calibri Light" w:hAnsi="Calibri Light" w:cs="Calibri Light"/>
          <w:color w:val="000000"/>
          <w:sz w:val="22"/>
          <w:szCs w:val="22"/>
        </w:rPr>
      </w:pPr>
      <w:r w:rsidRPr="00577597">
        <w:rPr>
          <w:rFonts w:ascii="Calibri Light" w:hAnsi="Calibri Light" w:cs="Calibri Light"/>
          <w:color w:val="000000"/>
          <w:sz w:val="22"/>
          <w:szCs w:val="22"/>
        </w:rPr>
        <w:t>EP FLOPEC, en relación a los servicios de calidad y medio ambiente mantiene vigente la certificación de la ISO 14001 (Gestión del ambiente), para las oficinas en la ciudad de Esmeraldas, Quito y La Libertad. Además, para la flota de 5 buques propios, se mantienen vigente las Certificaciones del Sistema de Gestión de Seguridad para cada buque (SMC) y para las oficinas (DOC) banderas Ecuador y Panamá, la empresa cumple con los Códigos Internacionales de Gestión de la Seguridad Marítima (ISM); Código Internacional para la Protección de los Buques (ISPS), con las Normas ISO 9001 (Calidad), también se mantienen vigente las Certificaciones del Sistema de Gestión de  Protección Marítima (ISSC) para cada buque. Así también, se mantiene la Certificación del Convenio marítimo de trabajo (MLC) para la empresa y buques de bandera panameña y de manera voluntaria a los buques de bandera ecuatoriana.</w:t>
      </w:r>
    </w:p>
    <w:p w14:paraId="1EF4C01E" w14:textId="2E7B0DB9" w:rsidR="00213F2B" w:rsidRDefault="00213F2B" w:rsidP="00102E95">
      <w:pPr>
        <w:jc w:val="both"/>
        <w:rPr>
          <w:rFonts w:ascii="Calibri Light" w:hAnsi="Calibri Light" w:cs="Calibri Light"/>
          <w:color w:val="000000"/>
          <w:sz w:val="22"/>
          <w:szCs w:val="22"/>
        </w:rPr>
      </w:pPr>
    </w:p>
    <w:p w14:paraId="41CA4F58" w14:textId="77777777" w:rsidR="00213F2B" w:rsidRPr="00577597" w:rsidRDefault="00213F2B" w:rsidP="00102E95">
      <w:pPr>
        <w:jc w:val="both"/>
        <w:rPr>
          <w:rFonts w:ascii="Calibri Light" w:hAnsi="Calibri Light" w:cs="Calibri Light"/>
          <w:color w:val="000000"/>
          <w:sz w:val="22"/>
          <w:szCs w:val="22"/>
        </w:rPr>
      </w:pPr>
    </w:p>
    <w:p w14:paraId="3068A6F2" w14:textId="77777777" w:rsidR="00102E95" w:rsidRPr="00577597" w:rsidRDefault="00102E95" w:rsidP="00102E95">
      <w:pPr>
        <w:jc w:val="both"/>
        <w:rPr>
          <w:rFonts w:ascii="Calibri Light" w:hAnsi="Calibri Light" w:cs="Calibri Light"/>
          <w:color w:val="000000"/>
          <w:sz w:val="22"/>
          <w:szCs w:val="22"/>
        </w:rPr>
      </w:pPr>
    </w:p>
    <w:p w14:paraId="651BBBE1" w14:textId="77777777" w:rsidR="00102E95" w:rsidRPr="00091074" w:rsidRDefault="00102E95" w:rsidP="00091074">
      <w:pPr>
        <w:pStyle w:val="Ttulo4"/>
        <w:rPr>
          <w:i w:val="0"/>
        </w:rPr>
      </w:pPr>
      <w:bookmarkStart w:id="185" w:name="_Toc157596537"/>
      <w:bookmarkStart w:id="186" w:name="_Toc195518410"/>
      <w:r w:rsidRPr="00091074">
        <w:rPr>
          <w:i w:val="0"/>
        </w:rPr>
        <w:t>Responsabilidad Social</w:t>
      </w:r>
      <w:bookmarkEnd w:id="185"/>
      <w:bookmarkEnd w:id="186"/>
    </w:p>
    <w:p w14:paraId="740389A4" w14:textId="77777777" w:rsidR="00102E95" w:rsidRPr="00B74948" w:rsidRDefault="00102E95" w:rsidP="00102E95"/>
    <w:p w14:paraId="46C44FCA" w14:textId="77777777" w:rsidR="00102E95" w:rsidRPr="00577597" w:rsidRDefault="00102E95" w:rsidP="00102E95">
      <w:pPr>
        <w:jc w:val="both"/>
        <w:rPr>
          <w:rFonts w:ascii="Calibri Light" w:hAnsi="Calibri Light" w:cs="Calibri Light"/>
          <w:color w:val="000000"/>
          <w:sz w:val="22"/>
          <w:szCs w:val="22"/>
        </w:rPr>
      </w:pPr>
      <w:r w:rsidRPr="00577597">
        <w:rPr>
          <w:rFonts w:ascii="Calibri Light" w:hAnsi="Calibri Light" w:cs="Calibri Light"/>
          <w:color w:val="000000"/>
          <w:sz w:val="22"/>
          <w:szCs w:val="22"/>
        </w:rPr>
        <w:t>EP FLOPEC es una empresa comprometida con la responsabilidad social empresarial, que busca convertirse en corresponsable del desarrollo de capacidades y desenvolvimiento social en las áreas de influencia de sus operaciones, con las comunidades rurales más vulnerables dentro de su radio de acción.</w:t>
      </w:r>
    </w:p>
    <w:p w14:paraId="7435D1EB" w14:textId="77777777" w:rsidR="00102E95" w:rsidRPr="00577597" w:rsidRDefault="00102E95" w:rsidP="00102E95">
      <w:pPr>
        <w:jc w:val="both"/>
        <w:rPr>
          <w:rFonts w:ascii="Calibri Light" w:hAnsi="Calibri Light" w:cs="Calibri Light"/>
          <w:color w:val="000000"/>
          <w:sz w:val="22"/>
          <w:szCs w:val="22"/>
        </w:rPr>
      </w:pPr>
    </w:p>
    <w:p w14:paraId="4FC326E5" w14:textId="7C94FAD0" w:rsidR="00102E95" w:rsidRDefault="00102E95" w:rsidP="00102E95">
      <w:pPr>
        <w:jc w:val="both"/>
        <w:rPr>
          <w:rFonts w:ascii="Calibri Light" w:hAnsi="Calibri Light" w:cs="Calibri Light"/>
          <w:color w:val="000000"/>
          <w:sz w:val="22"/>
          <w:szCs w:val="22"/>
        </w:rPr>
      </w:pPr>
      <w:r w:rsidRPr="00577597">
        <w:rPr>
          <w:rFonts w:ascii="Calibri Light" w:hAnsi="Calibri Light" w:cs="Calibri Light"/>
          <w:color w:val="000000"/>
          <w:sz w:val="22"/>
          <w:szCs w:val="22"/>
        </w:rPr>
        <w:t xml:space="preserve">En el año 2024, a través de los programas de Responsabilidad Social que ejecuta la empresa se beneficiaron a 53,716 personas en las zonas de influencia. Entre ellos cuenta: Campaña Odontológica, Campaña Ambiental, Convenio con Fundación EDUNOVA, EP FLOPEC Siembra Conocimiento Para Todos, Convenio con Fundación Amiguitos del Océano, Entrega de kits de ayuda humanitaria, Convenio del Proyecto del Dragado de la Dársena del Puerto de Autoridad </w:t>
      </w:r>
      <w:r w:rsidRPr="00577597">
        <w:rPr>
          <w:rFonts w:ascii="Calibri Light" w:hAnsi="Calibri Light" w:cs="Calibri Light"/>
          <w:color w:val="000000"/>
          <w:sz w:val="22"/>
          <w:szCs w:val="22"/>
        </w:rPr>
        <w:lastRenderedPageBreak/>
        <w:t>Portuaria de Esmeraldas-APE, Adecuación y mantenimiento Ludoteca Cununo entre otros proyectos que ejecuta la empresa.</w:t>
      </w:r>
    </w:p>
    <w:p w14:paraId="5D8E2071" w14:textId="77777777" w:rsidR="00102E95" w:rsidRPr="00742E9A" w:rsidRDefault="00102E95" w:rsidP="00102E95"/>
    <w:p w14:paraId="307F860A" w14:textId="6E1E7DBF" w:rsidR="00102E95" w:rsidRPr="00213F2B" w:rsidRDefault="00140159" w:rsidP="00E23641">
      <w:pPr>
        <w:pStyle w:val="Ttulo2"/>
        <w:rPr>
          <w:sz w:val="24"/>
          <w:szCs w:val="24"/>
        </w:rPr>
      </w:pPr>
      <w:bookmarkStart w:id="187" w:name="_Toc197335119"/>
      <w:bookmarkStart w:id="188" w:name="_Toc199759562"/>
      <w:r w:rsidRPr="00213F2B">
        <w:rPr>
          <w:sz w:val="24"/>
          <w:szCs w:val="24"/>
        </w:rPr>
        <w:t>Conclusiones del Sector De Hidrocarburos</w:t>
      </w:r>
      <w:bookmarkEnd w:id="187"/>
      <w:bookmarkEnd w:id="188"/>
    </w:p>
    <w:p w14:paraId="797E46ED" w14:textId="77777777" w:rsidR="00102E95" w:rsidRPr="000410FF" w:rsidRDefault="00102E95" w:rsidP="00102E95"/>
    <w:p w14:paraId="7C73EF60" w14:textId="77777777" w:rsidR="00102E95" w:rsidRPr="001B5A27" w:rsidRDefault="00102E95" w:rsidP="00102E95">
      <w:pPr>
        <w:pStyle w:val="Prrafodelista"/>
        <w:numPr>
          <w:ilvl w:val="0"/>
          <w:numId w:val="77"/>
        </w:numPr>
        <w:jc w:val="both"/>
        <w:rPr>
          <w:rFonts w:ascii="Calibri Light" w:hAnsi="Calibri Light" w:cs="Calibri Light"/>
          <w:color w:val="000000"/>
          <w:sz w:val="22"/>
          <w:szCs w:val="22"/>
        </w:rPr>
      </w:pPr>
      <w:r w:rsidRPr="001B5A27">
        <w:rPr>
          <w:rFonts w:ascii="Calibri Light" w:hAnsi="Calibri Light" w:cs="Calibri Light"/>
          <w:color w:val="000000"/>
          <w:sz w:val="22"/>
          <w:szCs w:val="22"/>
        </w:rPr>
        <w:t>El Viceministerio de Hidrocarburos, mediante el Banco de Información Petrolera del Ecuador - BIPE, recibió y procesó integralmente la información técnica (1.487 lotes de información) generada en la cadena de valor del Sector de Hidrocarburos para el año 2024.</w:t>
      </w:r>
    </w:p>
    <w:p w14:paraId="06B32AB1" w14:textId="77777777" w:rsidR="00102E95" w:rsidRPr="001B5A27" w:rsidRDefault="00102E95" w:rsidP="00102E95">
      <w:pPr>
        <w:pStyle w:val="Prrafodelista"/>
        <w:numPr>
          <w:ilvl w:val="0"/>
          <w:numId w:val="77"/>
        </w:numPr>
        <w:jc w:val="both"/>
        <w:rPr>
          <w:rFonts w:ascii="Calibri Light" w:hAnsi="Calibri Light" w:cs="Calibri Light"/>
          <w:color w:val="000000"/>
          <w:sz w:val="22"/>
          <w:szCs w:val="22"/>
        </w:rPr>
      </w:pPr>
      <w:r w:rsidRPr="001B5A27">
        <w:rPr>
          <w:rFonts w:ascii="Calibri Light" w:hAnsi="Calibri Light" w:cs="Calibri Light"/>
          <w:color w:val="000000"/>
          <w:sz w:val="22"/>
          <w:szCs w:val="22"/>
        </w:rPr>
        <w:t xml:space="preserve">El Proyecto BIPE 4.0, respaldado por el BID, representa una iniciativa estratégica para la modernización tecnológica del sector energético. Su implementación busca asegurar la interoperabilidad de sistemas, la sistematización de procesos y la capacitación del talento humano, consolidando una plataforma digital sólida para la gestión integral de la información del sector </w:t>
      </w:r>
      <w:proofErr w:type="spellStart"/>
      <w:r w:rsidRPr="001B5A27">
        <w:rPr>
          <w:rFonts w:ascii="Calibri Light" w:hAnsi="Calibri Light" w:cs="Calibri Light"/>
          <w:color w:val="000000"/>
          <w:sz w:val="22"/>
          <w:szCs w:val="22"/>
        </w:rPr>
        <w:t>hidrocarburífero</w:t>
      </w:r>
      <w:proofErr w:type="spellEnd"/>
      <w:r w:rsidRPr="001B5A27">
        <w:rPr>
          <w:rFonts w:ascii="Calibri Light" w:hAnsi="Calibri Light" w:cs="Calibri Light"/>
          <w:color w:val="000000"/>
          <w:sz w:val="22"/>
          <w:szCs w:val="22"/>
        </w:rPr>
        <w:t>.</w:t>
      </w:r>
    </w:p>
    <w:p w14:paraId="227982AC" w14:textId="77777777" w:rsidR="00102E95" w:rsidRPr="001B5A27" w:rsidRDefault="00102E95" w:rsidP="00102E95">
      <w:pPr>
        <w:pStyle w:val="Prrafodelista"/>
        <w:numPr>
          <w:ilvl w:val="0"/>
          <w:numId w:val="77"/>
        </w:numPr>
        <w:jc w:val="both"/>
        <w:rPr>
          <w:rFonts w:ascii="Calibri Light" w:hAnsi="Calibri Light" w:cs="Calibri Light"/>
          <w:color w:val="000000"/>
          <w:sz w:val="22"/>
          <w:szCs w:val="22"/>
        </w:rPr>
      </w:pPr>
      <w:r w:rsidRPr="001B5A27">
        <w:rPr>
          <w:rFonts w:ascii="Calibri Light" w:hAnsi="Calibri Light" w:cs="Calibri Light"/>
          <w:color w:val="000000"/>
          <w:sz w:val="22"/>
          <w:szCs w:val="22"/>
        </w:rPr>
        <w:t>La balanza comercial de hidrocarburos en 2024 mostró resultados mixtos. Aunque en el primer trimestre se logró un superávit gracias al aumento de la producción, eventos imprevistos como el cierre del campo ITT y condiciones climáticas extremas en el segundo semestre afectaron negativamente las exportaciones, generando un déficit en los trimestres posteriores.</w:t>
      </w:r>
    </w:p>
    <w:p w14:paraId="2A96C712" w14:textId="77777777" w:rsidR="00102E95" w:rsidRPr="001B5A27" w:rsidRDefault="00102E95" w:rsidP="00102E95">
      <w:pPr>
        <w:pStyle w:val="Prrafodelista"/>
        <w:numPr>
          <w:ilvl w:val="0"/>
          <w:numId w:val="77"/>
        </w:numPr>
        <w:jc w:val="both"/>
        <w:rPr>
          <w:rFonts w:ascii="Calibri Light" w:hAnsi="Calibri Light" w:cs="Calibri Light"/>
          <w:color w:val="000000"/>
          <w:sz w:val="22"/>
          <w:szCs w:val="22"/>
        </w:rPr>
      </w:pPr>
      <w:r w:rsidRPr="001B5A27">
        <w:rPr>
          <w:rFonts w:ascii="Calibri Light" w:hAnsi="Calibri Light" w:cs="Calibri Light"/>
          <w:color w:val="000000"/>
          <w:sz w:val="22"/>
          <w:szCs w:val="22"/>
        </w:rPr>
        <w:t>Los proyectos de Recuperación Secundaria implementados tanto por la Empresa Pública, como las Empresas Privadas, han permitido mantener la presión del reservorio y mejorar el factor de recobro.</w:t>
      </w:r>
    </w:p>
    <w:p w14:paraId="755FB50F" w14:textId="77777777" w:rsidR="00102E95" w:rsidRPr="00A51E6E" w:rsidRDefault="00102E95" w:rsidP="00102E95">
      <w:pPr>
        <w:pStyle w:val="Prrafodelista"/>
        <w:numPr>
          <w:ilvl w:val="0"/>
          <w:numId w:val="32"/>
        </w:numPr>
        <w:spacing w:before="240" w:after="240"/>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Durante el año 2024, se perforó un total de 122 pozos, de los cuales, 70 pozos fueron perforados por la Empresa Pública y 52 por las Compañías Privadas en el País, de acuerdo a lo reportado por la Agencia de Regulación y Control de Hidrocarburos (ARCH).</w:t>
      </w:r>
    </w:p>
    <w:p w14:paraId="73B1F123" w14:textId="77777777" w:rsidR="00102E95" w:rsidRPr="00A51E6E" w:rsidRDefault="00102E95" w:rsidP="00102E95">
      <w:pPr>
        <w:pStyle w:val="Prrafodelista"/>
        <w:numPr>
          <w:ilvl w:val="0"/>
          <w:numId w:val="32"/>
        </w:numPr>
        <w:spacing w:before="240" w:after="240"/>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 xml:space="preserve">De acuerdo a lo reportado por la ARCH, la producción nacional de petróleo promedio del 2024 fue de 475.272 BPPD. La producción Nacional Acumulada registrada en el año 2024, fue de 173.949.569 </w:t>
      </w:r>
      <w:proofErr w:type="spellStart"/>
      <w:r w:rsidRPr="00A51E6E">
        <w:rPr>
          <w:rFonts w:ascii="Calibri Light" w:eastAsia="Times New Roman" w:hAnsi="Calibri Light" w:cs="Calibri Light"/>
          <w:sz w:val="22"/>
          <w:szCs w:val="22"/>
          <w:lang w:eastAsia="es-EC"/>
        </w:rPr>
        <w:t>Bls</w:t>
      </w:r>
      <w:proofErr w:type="spellEnd"/>
      <w:r w:rsidRPr="00A51E6E">
        <w:rPr>
          <w:rFonts w:ascii="Calibri Light" w:eastAsia="Times New Roman" w:hAnsi="Calibri Light" w:cs="Calibri Light"/>
          <w:sz w:val="22"/>
          <w:szCs w:val="22"/>
          <w:lang w:eastAsia="es-EC"/>
        </w:rPr>
        <w:t xml:space="preserve">, de los cuales, 139.649.455 </w:t>
      </w:r>
      <w:proofErr w:type="spellStart"/>
      <w:r w:rsidRPr="00A51E6E">
        <w:rPr>
          <w:rFonts w:ascii="Calibri Light" w:eastAsia="Times New Roman" w:hAnsi="Calibri Light" w:cs="Calibri Light"/>
          <w:sz w:val="22"/>
          <w:szCs w:val="22"/>
          <w:lang w:eastAsia="es-EC"/>
        </w:rPr>
        <w:t>Bls</w:t>
      </w:r>
      <w:proofErr w:type="spellEnd"/>
      <w:r w:rsidRPr="00A51E6E">
        <w:rPr>
          <w:rFonts w:ascii="Calibri Light" w:eastAsia="Times New Roman" w:hAnsi="Calibri Light" w:cs="Calibri Light"/>
          <w:sz w:val="22"/>
          <w:szCs w:val="22"/>
          <w:lang w:eastAsia="es-EC"/>
        </w:rPr>
        <w:t xml:space="preserve">, corresponden a la Empresa Pública y 34.300.114 </w:t>
      </w:r>
      <w:proofErr w:type="spellStart"/>
      <w:r w:rsidRPr="00A51E6E">
        <w:rPr>
          <w:rFonts w:ascii="Calibri Light" w:eastAsia="Times New Roman" w:hAnsi="Calibri Light" w:cs="Calibri Light"/>
          <w:sz w:val="22"/>
          <w:szCs w:val="22"/>
          <w:lang w:eastAsia="es-EC"/>
        </w:rPr>
        <w:t>Bls</w:t>
      </w:r>
      <w:proofErr w:type="spellEnd"/>
      <w:r w:rsidRPr="00A51E6E">
        <w:rPr>
          <w:rFonts w:ascii="Calibri Light" w:eastAsia="Times New Roman" w:hAnsi="Calibri Light" w:cs="Calibri Light"/>
          <w:sz w:val="22"/>
          <w:szCs w:val="22"/>
          <w:lang w:eastAsia="es-EC"/>
        </w:rPr>
        <w:t xml:space="preserve"> a las Empresas Privadas.</w:t>
      </w:r>
    </w:p>
    <w:p w14:paraId="0C7CD31D" w14:textId="77777777" w:rsidR="00102E95" w:rsidRPr="00A51E6E" w:rsidRDefault="00102E95" w:rsidP="00102E95">
      <w:pPr>
        <w:pStyle w:val="Prrafodelista"/>
        <w:numPr>
          <w:ilvl w:val="0"/>
          <w:numId w:val="32"/>
        </w:numPr>
        <w:spacing w:before="240" w:after="240"/>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La Subsecretaría de Exploración y Explotación de Petróleo y Gas Natural, durante el año 2024, aprobó tanto a la Empresa Pública como a las Compañías Privadas, un total de 2.477 planes y programas técnicos.</w:t>
      </w:r>
    </w:p>
    <w:p w14:paraId="2BBBBBB4" w14:textId="77777777" w:rsidR="00102E95" w:rsidRPr="00A51E6E" w:rsidRDefault="00102E95" w:rsidP="00102E95">
      <w:pPr>
        <w:pStyle w:val="Prrafodelista"/>
        <w:numPr>
          <w:ilvl w:val="0"/>
          <w:numId w:val="32"/>
        </w:numPr>
        <w:spacing w:before="240"/>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En lo que se refiere a Gas Natural, se produjo durante el año 2024 un total de 1.243.131,70 BEPD.</w:t>
      </w:r>
    </w:p>
    <w:p w14:paraId="5C1CBCC2" w14:textId="77777777" w:rsidR="00102E95" w:rsidRPr="00A51E6E" w:rsidRDefault="00102E95" w:rsidP="00102E95">
      <w:pPr>
        <w:pStyle w:val="Prrafodelista"/>
        <w:numPr>
          <w:ilvl w:val="0"/>
          <w:numId w:val="32"/>
        </w:numPr>
        <w:spacing w:before="240"/>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 xml:space="preserve">Durante el año 2024, se registraron pérdidas de producción de aproximadamente 3.695.242 </w:t>
      </w:r>
      <w:proofErr w:type="spellStart"/>
      <w:r w:rsidRPr="00A51E6E">
        <w:rPr>
          <w:rFonts w:ascii="Calibri Light" w:eastAsia="Times New Roman" w:hAnsi="Calibri Light" w:cs="Calibri Light"/>
          <w:sz w:val="22"/>
          <w:szCs w:val="22"/>
          <w:lang w:eastAsia="es-EC"/>
        </w:rPr>
        <w:t>Bls</w:t>
      </w:r>
      <w:proofErr w:type="spellEnd"/>
      <w:r w:rsidRPr="00A51E6E">
        <w:rPr>
          <w:rFonts w:ascii="Calibri Light" w:eastAsia="Times New Roman" w:hAnsi="Calibri Light" w:cs="Calibri Light"/>
          <w:sz w:val="22"/>
          <w:szCs w:val="22"/>
          <w:lang w:eastAsia="es-EC"/>
        </w:rPr>
        <w:t xml:space="preserve"> de petróleo, debido al evento mayor suscitado en el OCP, así como, a factores externos. </w:t>
      </w:r>
    </w:p>
    <w:p w14:paraId="55824C8C" w14:textId="77777777" w:rsidR="00102E95" w:rsidRPr="00A51E6E" w:rsidRDefault="00102E95" w:rsidP="00102E95">
      <w:pPr>
        <w:pStyle w:val="Prrafodelista"/>
        <w:numPr>
          <w:ilvl w:val="0"/>
          <w:numId w:val="64"/>
        </w:numPr>
        <w:jc w:val="both"/>
        <w:rPr>
          <w:rFonts w:ascii="Calibri Light" w:eastAsia="Times New Roman" w:hAnsi="Calibri Light" w:cs="Calibri Light"/>
          <w:sz w:val="22"/>
          <w:szCs w:val="22"/>
          <w:lang w:eastAsia="es-EC"/>
        </w:rPr>
      </w:pPr>
      <w:bookmarkStart w:id="189" w:name="_Toc196468178"/>
      <w:r w:rsidRPr="00A51E6E">
        <w:rPr>
          <w:rFonts w:ascii="Calibri Light" w:eastAsia="Times New Roman" w:hAnsi="Calibri Light" w:cs="Calibri Light"/>
          <w:sz w:val="22"/>
          <w:szCs w:val="22"/>
          <w:lang w:eastAsia="es-EC"/>
        </w:rPr>
        <w:t xml:space="preserve">Fortalecer los procesos de asesoría orientados a maximizar los beneficios e incentivos disponibles en los distintos procesos licitatorios del sector </w:t>
      </w:r>
      <w:proofErr w:type="spellStart"/>
      <w:r w:rsidRPr="00A51E6E">
        <w:rPr>
          <w:rFonts w:ascii="Calibri Light" w:eastAsia="Times New Roman" w:hAnsi="Calibri Light" w:cs="Calibri Light"/>
          <w:sz w:val="22"/>
          <w:szCs w:val="22"/>
          <w:lang w:eastAsia="es-EC"/>
        </w:rPr>
        <w:t>hidrocarburífero</w:t>
      </w:r>
      <w:proofErr w:type="spellEnd"/>
      <w:r w:rsidRPr="00A51E6E">
        <w:rPr>
          <w:rFonts w:ascii="Calibri Light" w:eastAsia="Times New Roman" w:hAnsi="Calibri Light" w:cs="Calibri Light"/>
          <w:sz w:val="22"/>
          <w:szCs w:val="22"/>
          <w:lang w:eastAsia="es-EC"/>
        </w:rPr>
        <w:t xml:space="preserve">. Asimismo, concluir con en el proceso licitatorio “Ronda </w:t>
      </w:r>
      <w:proofErr w:type="spellStart"/>
      <w:r w:rsidRPr="00A51E6E">
        <w:rPr>
          <w:rFonts w:ascii="Calibri Light" w:eastAsia="Times New Roman" w:hAnsi="Calibri Light" w:cs="Calibri Light"/>
          <w:sz w:val="22"/>
          <w:szCs w:val="22"/>
          <w:lang w:eastAsia="es-EC"/>
        </w:rPr>
        <w:t>Intracampos</w:t>
      </w:r>
      <w:proofErr w:type="spellEnd"/>
      <w:r w:rsidRPr="00A51E6E">
        <w:rPr>
          <w:rFonts w:ascii="Calibri Light" w:eastAsia="Times New Roman" w:hAnsi="Calibri Light" w:cs="Calibri Light"/>
          <w:sz w:val="22"/>
          <w:szCs w:val="22"/>
          <w:lang w:eastAsia="es-EC"/>
        </w:rPr>
        <w:t xml:space="preserve"> II”, considerando los avances alcanzados en los ámbitos técnico, económico y legal.</w:t>
      </w:r>
      <w:bookmarkEnd w:id="189"/>
    </w:p>
    <w:p w14:paraId="02BF6A2F" w14:textId="77777777" w:rsidR="00102E95" w:rsidRPr="00A51E6E" w:rsidRDefault="00102E95" w:rsidP="00102E95">
      <w:pPr>
        <w:pStyle w:val="Prrafodelista"/>
        <w:numPr>
          <w:ilvl w:val="0"/>
          <w:numId w:val="64"/>
        </w:numPr>
        <w:jc w:val="both"/>
        <w:rPr>
          <w:rFonts w:ascii="Calibri Light" w:eastAsia="Times New Roman" w:hAnsi="Calibri Light" w:cs="Calibri Light"/>
          <w:sz w:val="22"/>
          <w:szCs w:val="22"/>
          <w:lang w:eastAsia="es-EC"/>
        </w:rPr>
      </w:pPr>
      <w:bookmarkStart w:id="190" w:name="_Toc196468179"/>
      <w:r w:rsidRPr="00A51E6E">
        <w:rPr>
          <w:rFonts w:ascii="Calibri Light" w:eastAsia="Times New Roman" w:hAnsi="Calibri Light" w:cs="Calibri Light"/>
          <w:sz w:val="22"/>
          <w:szCs w:val="22"/>
          <w:lang w:eastAsia="es-EC"/>
        </w:rPr>
        <w:t xml:space="preserve">Reforzar la gestión de asesoría y el soporte técnico al Comité de Licitación </w:t>
      </w:r>
      <w:proofErr w:type="spellStart"/>
      <w:r w:rsidRPr="00A51E6E">
        <w:rPr>
          <w:rFonts w:ascii="Calibri Light" w:eastAsia="Times New Roman" w:hAnsi="Calibri Light" w:cs="Calibri Light"/>
          <w:sz w:val="22"/>
          <w:szCs w:val="22"/>
          <w:lang w:eastAsia="es-EC"/>
        </w:rPr>
        <w:t>Hidrocarburífera</w:t>
      </w:r>
      <w:proofErr w:type="spellEnd"/>
      <w:r w:rsidRPr="00A51E6E">
        <w:rPr>
          <w:rFonts w:ascii="Calibri Light" w:eastAsia="Times New Roman" w:hAnsi="Calibri Light" w:cs="Calibri Light"/>
          <w:sz w:val="22"/>
          <w:szCs w:val="22"/>
          <w:lang w:eastAsia="es-EC"/>
        </w:rPr>
        <w:t xml:space="preserve"> (COLH), así como gestionar, a través de la Secretaría de este cuerpo colegiado, todos los temas pendientes en agenda.</w:t>
      </w:r>
      <w:bookmarkEnd w:id="190"/>
    </w:p>
    <w:p w14:paraId="04593FF4" w14:textId="77777777" w:rsidR="00102E95" w:rsidRPr="00A51E6E" w:rsidRDefault="00102E95" w:rsidP="00102E95">
      <w:pPr>
        <w:pStyle w:val="Prrafodelista"/>
        <w:numPr>
          <w:ilvl w:val="0"/>
          <w:numId w:val="64"/>
        </w:numPr>
        <w:jc w:val="both"/>
        <w:rPr>
          <w:rFonts w:ascii="Calibri Light" w:eastAsia="Times New Roman" w:hAnsi="Calibri Light" w:cs="Calibri Light"/>
          <w:sz w:val="22"/>
          <w:szCs w:val="22"/>
          <w:lang w:eastAsia="es-EC"/>
        </w:rPr>
      </w:pPr>
      <w:bookmarkStart w:id="191" w:name="_Toc196468180"/>
      <w:r w:rsidRPr="00A51E6E">
        <w:rPr>
          <w:rFonts w:ascii="Calibri Light" w:eastAsia="Times New Roman" w:hAnsi="Calibri Light" w:cs="Calibri Light"/>
          <w:sz w:val="22"/>
          <w:szCs w:val="22"/>
          <w:lang w:eastAsia="es-EC"/>
        </w:rPr>
        <w:t xml:space="preserve">Brindar acompañamiento a los inversionistas desde las etapas preliminares de los proyectos de inversión </w:t>
      </w:r>
      <w:proofErr w:type="spellStart"/>
      <w:r w:rsidRPr="00A51E6E">
        <w:rPr>
          <w:rFonts w:ascii="Calibri Light" w:eastAsia="Times New Roman" w:hAnsi="Calibri Light" w:cs="Calibri Light"/>
          <w:sz w:val="22"/>
          <w:szCs w:val="22"/>
          <w:lang w:eastAsia="es-EC"/>
        </w:rPr>
        <w:t>hidrocarburífera</w:t>
      </w:r>
      <w:proofErr w:type="spellEnd"/>
      <w:r w:rsidRPr="00A51E6E">
        <w:rPr>
          <w:rFonts w:ascii="Calibri Light" w:eastAsia="Times New Roman" w:hAnsi="Calibri Light" w:cs="Calibri Light"/>
          <w:sz w:val="22"/>
          <w:szCs w:val="22"/>
          <w:lang w:eastAsia="es-EC"/>
        </w:rPr>
        <w:t>, abarcando aspectos precontractuales, contractuales y regulatorios, con el fin de estructurar adecuadamente proyectos en los sectores de petróleo y gas.</w:t>
      </w:r>
      <w:bookmarkEnd w:id="191"/>
    </w:p>
    <w:p w14:paraId="6EF733EE" w14:textId="77777777" w:rsidR="00102E95" w:rsidRPr="00A51E6E" w:rsidRDefault="00102E95" w:rsidP="00102E95">
      <w:pPr>
        <w:pStyle w:val="Prrafodelista"/>
        <w:numPr>
          <w:ilvl w:val="0"/>
          <w:numId w:val="64"/>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 xml:space="preserve">Se fortaleció el control de calidad de combustibles y la eficiencia operativa de la refinación nacional. Se consolidó el soporte técnico a proyectos estratégicos públicos y </w:t>
      </w:r>
      <w:r w:rsidRPr="00A51E6E">
        <w:rPr>
          <w:rFonts w:ascii="Calibri Light" w:eastAsia="Times New Roman" w:hAnsi="Calibri Light" w:cs="Calibri Light"/>
          <w:sz w:val="22"/>
          <w:szCs w:val="22"/>
          <w:lang w:eastAsia="es-EC"/>
        </w:rPr>
        <w:lastRenderedPageBreak/>
        <w:t>privados, impulsando la modernización del parque refinador y el desarrollo industrial sin inversión estatal.</w:t>
      </w:r>
    </w:p>
    <w:p w14:paraId="1C901C74" w14:textId="77777777" w:rsidR="00102E95" w:rsidRPr="00A51E6E" w:rsidRDefault="00102E95" w:rsidP="00102E95">
      <w:pPr>
        <w:pStyle w:val="Prrafodelista"/>
        <w:numPr>
          <w:ilvl w:val="0"/>
          <w:numId w:val="64"/>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El transporte de Crudo por Oleoductos Total (SOTE + OCP) en el periodo de enero a diciembre de 2024 fue de 172.240.943 barriles, con un promedio día de 470.604 barriles. En este periodo se transportó 103.955.015 barriles por el Sistema de Oleoducto Transecuatoriano SOTE y 68.285.929 barriles por el Oleoducto de Crudos Pesados OCP.</w:t>
      </w:r>
    </w:p>
    <w:p w14:paraId="5FA0412A" w14:textId="77777777" w:rsidR="00102E95" w:rsidRPr="00A51E6E" w:rsidRDefault="00102E95" w:rsidP="00102E95">
      <w:pPr>
        <w:pStyle w:val="Prrafodelista"/>
        <w:numPr>
          <w:ilvl w:val="0"/>
          <w:numId w:val="64"/>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El transporte de derivados de hidrocarburos por la red nacional de poliductos durante el año 2024 fue de 99.658.033 barriles.</w:t>
      </w:r>
    </w:p>
    <w:p w14:paraId="21F0DCD9" w14:textId="77777777" w:rsidR="00102E95" w:rsidRPr="00A51E6E" w:rsidRDefault="00102E95" w:rsidP="00102E95">
      <w:pPr>
        <w:pStyle w:val="Prrafodelista"/>
        <w:numPr>
          <w:ilvl w:val="0"/>
          <w:numId w:val="64"/>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El Estado Ecuatoriano a través del Ministerio de Energía y Minas lidera la gestión estratégica del OCP de forma ordenada y transparente, fortaleciendo garantizando la continuidad de la operación. En este sentido, se tiene previsto lanzar una licitación internacional para adjudicar la operación a una empresa privada durante el primer semestre del año 2025.</w:t>
      </w:r>
    </w:p>
    <w:p w14:paraId="30553C96" w14:textId="77777777" w:rsidR="00102E95" w:rsidRPr="00A51E6E" w:rsidRDefault="00102E95" w:rsidP="00102E95">
      <w:pPr>
        <w:pStyle w:val="Prrafodelista"/>
        <w:numPr>
          <w:ilvl w:val="0"/>
          <w:numId w:val="64"/>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El desarrollo de los estudios de prefactibilidad para el plan integral de mejoramiento de la infraestructura de recepción, transporte, almacenamiento y despacho para cubrir las operaciones y la demanda de combustibles, permitirá garantizar y satisfacer los requerimientos de combustibles en el país durante los próximos 25 años.</w:t>
      </w:r>
    </w:p>
    <w:p w14:paraId="51021278" w14:textId="77777777" w:rsidR="00102E95" w:rsidRPr="00A51E6E" w:rsidRDefault="00102E95" w:rsidP="00102E95">
      <w:pPr>
        <w:pStyle w:val="Prrafodelista"/>
        <w:numPr>
          <w:ilvl w:val="0"/>
          <w:numId w:val="64"/>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 xml:space="preserve">Las Actividades de exportación de derivados de hidrocarburos del periodo enero-diciembre 2024 corresponden a 404.721.111,74 USD en consecuencia a 6.593.421,38 </w:t>
      </w:r>
      <w:proofErr w:type="spellStart"/>
      <w:r w:rsidRPr="00A51E6E">
        <w:rPr>
          <w:rFonts w:ascii="Calibri Light" w:eastAsia="Times New Roman" w:hAnsi="Calibri Light" w:cs="Calibri Light"/>
          <w:sz w:val="22"/>
          <w:szCs w:val="22"/>
          <w:lang w:eastAsia="es-EC"/>
        </w:rPr>
        <w:t>Bls</w:t>
      </w:r>
      <w:proofErr w:type="spellEnd"/>
      <w:r w:rsidRPr="00A51E6E">
        <w:rPr>
          <w:rFonts w:ascii="Calibri Light" w:eastAsia="Times New Roman" w:hAnsi="Calibri Light" w:cs="Calibri Light"/>
          <w:sz w:val="22"/>
          <w:szCs w:val="22"/>
          <w:lang w:eastAsia="es-EC"/>
        </w:rPr>
        <w:t xml:space="preserve"> mientras que las actividades de importación de derivados de hidrocarburos del periodo enero-diciembre 2024 corresponden a 6.598.047.199,44USD en consecuencia a 70.870.344,08 </w:t>
      </w:r>
      <w:proofErr w:type="spellStart"/>
      <w:r w:rsidRPr="00A51E6E">
        <w:rPr>
          <w:rFonts w:ascii="Calibri Light" w:eastAsia="Times New Roman" w:hAnsi="Calibri Light" w:cs="Calibri Light"/>
          <w:sz w:val="22"/>
          <w:szCs w:val="22"/>
          <w:lang w:eastAsia="es-EC"/>
        </w:rPr>
        <w:t>Bls</w:t>
      </w:r>
      <w:proofErr w:type="spellEnd"/>
      <w:r w:rsidRPr="00A51E6E">
        <w:rPr>
          <w:rFonts w:ascii="Calibri Light" w:eastAsia="Times New Roman" w:hAnsi="Calibri Light" w:cs="Calibri Light"/>
          <w:sz w:val="22"/>
          <w:szCs w:val="22"/>
          <w:lang w:eastAsia="es-EC"/>
        </w:rPr>
        <w:t>.</w:t>
      </w:r>
    </w:p>
    <w:p w14:paraId="578B667A" w14:textId="77777777" w:rsidR="00102E95" w:rsidRPr="00A51E6E" w:rsidRDefault="00102E95" w:rsidP="00102E95">
      <w:pPr>
        <w:pStyle w:val="Prrafodelista"/>
        <w:numPr>
          <w:ilvl w:val="0"/>
          <w:numId w:val="64"/>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El volumen despachado de derivados líquidos de hidrocarburos del año 2024 es de 3.811.356.385 barriles.</w:t>
      </w:r>
    </w:p>
    <w:p w14:paraId="19E72AD8" w14:textId="77777777" w:rsidR="00102E95" w:rsidRPr="00A51E6E" w:rsidRDefault="00102E95" w:rsidP="00102E95">
      <w:pPr>
        <w:pStyle w:val="Prrafodelista"/>
        <w:numPr>
          <w:ilvl w:val="0"/>
          <w:numId w:val="64"/>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Los despachos de GLP doméstico alcanzan el 90,36% de participación, el industrial el 4,67%, el segmento vehicular 3,29%, y el agroindustrial 1,68%, durante el año 2024.</w:t>
      </w:r>
    </w:p>
    <w:p w14:paraId="54634FBF" w14:textId="77777777" w:rsidR="00102E95" w:rsidRPr="00A51E6E" w:rsidRDefault="00102E95" w:rsidP="00102E95">
      <w:pPr>
        <w:pStyle w:val="Prrafodelista"/>
        <w:numPr>
          <w:ilvl w:val="0"/>
          <w:numId w:val="64"/>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La mayor participación de despachos por segmento de consumo en Gas Natural, es el sector eléctrico con el 83,11%, seguido con el Industrial con el 16,89%.</w:t>
      </w:r>
    </w:p>
    <w:p w14:paraId="00F743D5" w14:textId="77777777" w:rsidR="00102E95" w:rsidRPr="00A51E6E" w:rsidRDefault="00102E95" w:rsidP="00102E95">
      <w:pPr>
        <w:pStyle w:val="Prrafodelista"/>
        <w:numPr>
          <w:ilvl w:val="0"/>
          <w:numId w:val="64"/>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De los datos tomados de los informes mensuales de ejecución presupuestaria, que presentan las compañías privadas al Ministerio de Energía y Minas, se ha cuantificado que la Ejecución de Inversiones de las contratistas privadas de hidrocarburos, con un porcentaje de cumplimiento aproximado del 111,78</w:t>
      </w:r>
      <w:proofErr w:type="gramStart"/>
      <w:r w:rsidRPr="00A51E6E">
        <w:rPr>
          <w:rFonts w:ascii="Calibri Light" w:eastAsia="Times New Roman" w:hAnsi="Calibri Light" w:cs="Calibri Light"/>
          <w:sz w:val="22"/>
          <w:szCs w:val="22"/>
          <w:lang w:eastAsia="es-EC"/>
        </w:rPr>
        <w:t>% ,</w:t>
      </w:r>
      <w:proofErr w:type="gramEnd"/>
      <w:r w:rsidRPr="00A51E6E">
        <w:rPr>
          <w:rFonts w:ascii="Calibri Light" w:eastAsia="Times New Roman" w:hAnsi="Calibri Light" w:cs="Calibri Light"/>
          <w:sz w:val="22"/>
          <w:szCs w:val="22"/>
          <w:lang w:eastAsia="es-EC"/>
        </w:rPr>
        <w:t xml:space="preserve"> de lo comprometido frente a lo ejecutado para la exploración y explotación de hidrocarburos durante el año 2024.</w:t>
      </w:r>
    </w:p>
    <w:p w14:paraId="28F1F602" w14:textId="77777777" w:rsidR="00102E95" w:rsidRPr="00A51E6E" w:rsidRDefault="00102E95" w:rsidP="00102E95">
      <w:pPr>
        <w:pStyle w:val="Prrafodelista"/>
        <w:numPr>
          <w:ilvl w:val="0"/>
          <w:numId w:val="64"/>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Se ha cumplido con las productos, servicios y responsabilidades establecidas para la Dirección de Planes, Programas y Seguimiento Técnico a Contratos de Hidrocarburos y Áreas Asignadas y de la Dirección Económica Comercio Internacional de Petróleo, establecidas en el Estatuto Orgánico de Gestión Organizacional por Procesos del Ministerio de Energía y Minas.</w:t>
      </w:r>
    </w:p>
    <w:p w14:paraId="657763F9" w14:textId="77777777" w:rsidR="00102E95" w:rsidRPr="00A51E6E" w:rsidRDefault="00102E95" w:rsidP="00102E95">
      <w:pPr>
        <w:pStyle w:val="Prrafodelista"/>
        <w:numPr>
          <w:ilvl w:val="0"/>
          <w:numId w:val="64"/>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Se cuantificó los valores pagados al Fondo de Desarrollo Amazónico en cumplimiento del Artículo 033 del MEF y demás normativa correspondiente.</w:t>
      </w:r>
    </w:p>
    <w:p w14:paraId="4524C062" w14:textId="17615F36" w:rsidR="00102E95" w:rsidRPr="00C538A0" w:rsidRDefault="00102E95" w:rsidP="00102E95">
      <w:pPr>
        <w:pStyle w:val="Prrafodelista"/>
        <w:numPr>
          <w:ilvl w:val="0"/>
          <w:numId w:val="64"/>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Se cumplió con la recaudación de las obligaciones establecidas en la Ley de Hidrocarburos por parte de las empresas que tienen suscritos contratos de Exploración y Explotación de Hidrocarburos con el Ministerio de Energía y Minas.</w:t>
      </w:r>
    </w:p>
    <w:p w14:paraId="333DC62F" w14:textId="77777777" w:rsidR="00102E95" w:rsidRPr="00DA0C09" w:rsidRDefault="00102E95" w:rsidP="00102E95"/>
    <w:p w14:paraId="63E8D10A" w14:textId="77777777" w:rsidR="00102E95" w:rsidRPr="00213F2B" w:rsidRDefault="00102E95" w:rsidP="00213F2B">
      <w:pPr>
        <w:pStyle w:val="Ttulo4"/>
        <w:rPr>
          <w:i w:val="0"/>
          <w:sz w:val="22"/>
          <w:szCs w:val="22"/>
        </w:rPr>
      </w:pPr>
      <w:bookmarkStart w:id="192" w:name="_Toc197335121"/>
      <w:r w:rsidRPr="00213F2B">
        <w:rPr>
          <w:i w:val="0"/>
          <w:sz w:val="22"/>
          <w:szCs w:val="22"/>
        </w:rPr>
        <w:t>IIGE</w:t>
      </w:r>
      <w:bookmarkEnd w:id="192"/>
    </w:p>
    <w:p w14:paraId="75A84FE9" w14:textId="77777777" w:rsidR="00102E95" w:rsidRDefault="00102E95" w:rsidP="00102E95">
      <w:pPr>
        <w:rPr>
          <w:lang w:eastAsia="es-EC"/>
        </w:rPr>
      </w:pPr>
    </w:p>
    <w:p w14:paraId="550E9155" w14:textId="77777777" w:rsidR="00102E95" w:rsidRPr="00A51E6E" w:rsidRDefault="00102E95" w:rsidP="00102E95">
      <w:pPr>
        <w:pStyle w:val="Prrafodelista"/>
        <w:numPr>
          <w:ilvl w:val="0"/>
          <w:numId w:val="30"/>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El IIGE, en el 2024 tuvo una ejecución presupuestaria institucional del 42,25%, desagregado para gasto corriente el 96,47% de ejecución y el 21,42% para gasto de inversión.</w:t>
      </w:r>
    </w:p>
    <w:p w14:paraId="2AEA551A" w14:textId="77777777" w:rsidR="00102E95" w:rsidRPr="00A51E6E" w:rsidRDefault="00102E95" w:rsidP="00102E95">
      <w:pPr>
        <w:pStyle w:val="Prrafodelista"/>
        <w:numPr>
          <w:ilvl w:val="0"/>
          <w:numId w:val="30"/>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lastRenderedPageBreak/>
        <w:t>Se han cumplido las metas trazadas para el año 2024, en cada uno de sus indicadores y objetivos estratégicos.</w:t>
      </w:r>
    </w:p>
    <w:p w14:paraId="7ACF9D82" w14:textId="77777777" w:rsidR="00102E95" w:rsidRPr="00A51E6E" w:rsidRDefault="00102E95" w:rsidP="00102E95">
      <w:pPr>
        <w:pStyle w:val="Prrafodelista"/>
        <w:numPr>
          <w:ilvl w:val="0"/>
          <w:numId w:val="30"/>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Tanto los proyectos como las líneas de investigación, han generado varios productos de carácter técnico científico, lo que permite avanzar en el cumplimiento de la visión institucional.</w:t>
      </w:r>
    </w:p>
    <w:p w14:paraId="09DA86FB" w14:textId="77777777" w:rsidR="00102E95" w:rsidRPr="00A51E6E" w:rsidRDefault="00102E95" w:rsidP="00102E95">
      <w:pPr>
        <w:pStyle w:val="Prrafodelista"/>
        <w:numPr>
          <w:ilvl w:val="0"/>
          <w:numId w:val="30"/>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La transferencia del conocimiento del Instituto hacia la comunidad, se ve reflejada en 1.312 personas capacitadas, en modalidad presencial y online.</w:t>
      </w:r>
    </w:p>
    <w:p w14:paraId="1F78FD50" w14:textId="77777777" w:rsidR="00102E95" w:rsidRPr="00A51E6E" w:rsidRDefault="00102E95" w:rsidP="00102E95">
      <w:pPr>
        <w:numPr>
          <w:ilvl w:val="0"/>
          <w:numId w:val="30"/>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 xml:space="preserve">Se </w:t>
      </w:r>
      <w:proofErr w:type="gramStart"/>
      <w:r w:rsidRPr="00A51E6E">
        <w:rPr>
          <w:rFonts w:ascii="Calibri Light" w:eastAsia="Times New Roman" w:hAnsi="Calibri Light" w:cs="Calibri Light"/>
          <w:sz w:val="22"/>
          <w:szCs w:val="22"/>
          <w:lang w:eastAsia="es-EC"/>
        </w:rPr>
        <w:t>generaron  38</w:t>
      </w:r>
      <w:proofErr w:type="gramEnd"/>
      <w:r w:rsidRPr="00A51E6E">
        <w:rPr>
          <w:rFonts w:ascii="Calibri Light" w:eastAsia="Times New Roman" w:hAnsi="Calibri Light" w:cs="Calibri Light"/>
          <w:sz w:val="22"/>
          <w:szCs w:val="22"/>
          <w:lang w:eastAsia="es-EC"/>
        </w:rPr>
        <w:t xml:space="preserve"> publicaciones científicas (ISBN; revisión por pares), 42 productos de difusión científica, ha participado en 16 congresos científicos, suscribió 9 convenios entre marco y específicos con algunas entidades que forman parte de los actores de interés del IIGE. </w:t>
      </w:r>
    </w:p>
    <w:p w14:paraId="7F9AAD64" w14:textId="77777777" w:rsidR="00102E95" w:rsidRPr="00A51E6E" w:rsidRDefault="00102E95" w:rsidP="00102E95">
      <w:pPr>
        <w:pStyle w:val="Prrafodelista"/>
        <w:numPr>
          <w:ilvl w:val="0"/>
          <w:numId w:val="30"/>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Durante el periodo se realizó la actualización de la Base de Indicadores de Eficiencia Energética 2022, herramienta de información energética como insumo para la planificación energética sectorial.</w:t>
      </w:r>
    </w:p>
    <w:p w14:paraId="6BFAD288" w14:textId="77777777" w:rsidR="00102E95" w:rsidRPr="00A51E6E" w:rsidRDefault="00102E95" w:rsidP="00102E95">
      <w:pPr>
        <w:pStyle w:val="Prrafodelista"/>
        <w:numPr>
          <w:ilvl w:val="0"/>
          <w:numId w:val="30"/>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Se desarrolló el Balance Energético Nacional 2023, insumo de información estadística fundamental para el análisis del sector energético.</w:t>
      </w:r>
    </w:p>
    <w:p w14:paraId="0AE5F0FA" w14:textId="77777777" w:rsidR="00102E95" w:rsidRPr="005E1D47" w:rsidRDefault="00102E95" w:rsidP="00102E95">
      <w:pPr>
        <w:rPr>
          <w:lang w:eastAsia="es-EC"/>
        </w:rPr>
      </w:pPr>
    </w:p>
    <w:p w14:paraId="325A68E9" w14:textId="77777777" w:rsidR="00102E95" w:rsidRPr="00213F2B" w:rsidRDefault="00102E95" w:rsidP="00213F2B">
      <w:pPr>
        <w:pStyle w:val="Ttulo4"/>
        <w:rPr>
          <w:i w:val="0"/>
          <w:sz w:val="22"/>
          <w:szCs w:val="22"/>
        </w:rPr>
      </w:pPr>
      <w:bookmarkStart w:id="193" w:name="_Toc197335122"/>
      <w:r w:rsidRPr="00213F2B">
        <w:rPr>
          <w:i w:val="0"/>
          <w:sz w:val="22"/>
          <w:szCs w:val="22"/>
        </w:rPr>
        <w:t>EP FLOPEC</w:t>
      </w:r>
      <w:bookmarkEnd w:id="193"/>
    </w:p>
    <w:p w14:paraId="51776E10" w14:textId="77777777" w:rsidR="00102E95" w:rsidRPr="00A51E6E" w:rsidRDefault="00102E95" w:rsidP="00102E95">
      <w:pPr>
        <w:pStyle w:val="Ttulo2"/>
        <w:spacing w:before="0"/>
        <w:jc w:val="both"/>
        <w:rPr>
          <w:lang w:eastAsia="es-EC"/>
        </w:rPr>
      </w:pPr>
    </w:p>
    <w:p w14:paraId="6DC63739" w14:textId="77777777" w:rsidR="00102E95" w:rsidRPr="00A51E6E" w:rsidRDefault="00102E95" w:rsidP="00102E95">
      <w:pPr>
        <w:pStyle w:val="Prrafodelista"/>
        <w:numPr>
          <w:ilvl w:val="0"/>
          <w:numId w:val="50"/>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 xml:space="preserve">Los resultados financieros fueron favorables durante el año 2024, con una utilidad a diciembre de $283,712 millones de dólares, en comparación con el año 2023 que fueron de $282,720 millones de dólares. </w:t>
      </w:r>
    </w:p>
    <w:p w14:paraId="6841769F" w14:textId="77777777" w:rsidR="00102E95" w:rsidRPr="00A51E6E" w:rsidRDefault="00102E95" w:rsidP="00102E95">
      <w:pPr>
        <w:pStyle w:val="Prrafodelista"/>
        <w:numPr>
          <w:ilvl w:val="0"/>
          <w:numId w:val="50"/>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 xml:space="preserve">Al 31 de diciembre de 2024, el patrimonio de la empresa fue de $428,590,375 millones de dólares, experimentó un decremento del 27%, en comparación con el mismo período del año anterior que fue de $586,426,181 millones de dólares, debido a transferencias realizadas en utilidades acumuladas al Ministerio de Finanzas. Esta transferencia, aunque impacta directamente en el patrimonio, no refleja necesariamente una gestión financiera negativa, sino el cumplimiento de una obligación legal. </w:t>
      </w:r>
    </w:p>
    <w:p w14:paraId="3270A7C6" w14:textId="77777777" w:rsidR="00102E95" w:rsidRPr="00A51E6E" w:rsidRDefault="00102E95" w:rsidP="00102E95">
      <w:pPr>
        <w:pStyle w:val="Prrafodelista"/>
        <w:numPr>
          <w:ilvl w:val="0"/>
          <w:numId w:val="50"/>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 xml:space="preserve">Los servicios de transporte marítimo de la empresa en las operaciones comerciales generaron ingresos por actividad principal, ascendiendo a un total de $1,022,231,318 millones de dólares. Durante el último trimestre de 2024, la empresa mantuvo estables las tarifas de flete para el transporte marítimo de hidrocarburos desde y hacia Ecuador, en línea con las tendencias observadas en otros mercados. Sin embargo, es fundamental reconocer que el mercado ecuatoriano presenta particularidades que impiden su comparación directa con otros mercados. </w:t>
      </w:r>
    </w:p>
    <w:p w14:paraId="26E133FE" w14:textId="77777777" w:rsidR="00102E95" w:rsidRPr="00A51E6E" w:rsidRDefault="00102E95" w:rsidP="00102E95">
      <w:pPr>
        <w:pStyle w:val="Prrafodelista"/>
        <w:numPr>
          <w:ilvl w:val="0"/>
          <w:numId w:val="50"/>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Consolidar la cooperación con clientes internacionales permite mejorar el trading (comercio) de nuestra flota de limpios para lograr posicionamiento en la región de las Américas.</w:t>
      </w:r>
    </w:p>
    <w:p w14:paraId="289461AE" w14:textId="77777777" w:rsidR="00102E95" w:rsidRPr="00A51E6E" w:rsidRDefault="00102E95" w:rsidP="00102E95">
      <w:pPr>
        <w:pStyle w:val="Prrafodelista"/>
        <w:numPr>
          <w:ilvl w:val="0"/>
          <w:numId w:val="50"/>
        </w:numPr>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 xml:space="preserve">Se acordó un total de $82,666,881 millones de dólares por </w:t>
      </w:r>
      <w:proofErr w:type="spellStart"/>
      <w:r w:rsidRPr="00A51E6E">
        <w:rPr>
          <w:rFonts w:ascii="Calibri Light" w:eastAsia="Times New Roman" w:hAnsi="Calibri Light" w:cs="Calibri Light"/>
          <w:sz w:val="22"/>
          <w:szCs w:val="22"/>
          <w:lang w:eastAsia="es-EC"/>
        </w:rPr>
        <w:t>demorajes</w:t>
      </w:r>
      <w:proofErr w:type="spellEnd"/>
      <w:r w:rsidRPr="00A51E6E">
        <w:rPr>
          <w:rFonts w:ascii="Calibri Light" w:eastAsia="Times New Roman" w:hAnsi="Calibri Light" w:cs="Calibri Light"/>
          <w:sz w:val="22"/>
          <w:szCs w:val="22"/>
          <w:lang w:eastAsia="es-EC"/>
        </w:rPr>
        <w:t xml:space="preserve">. En cuanto a la facturación de los servicios marítimos se obtuvo mayor impacto en la línea de negocios </w:t>
      </w:r>
      <w:proofErr w:type="spellStart"/>
      <w:r w:rsidRPr="00A51E6E">
        <w:rPr>
          <w:rFonts w:ascii="Calibri Light" w:eastAsia="Times New Roman" w:hAnsi="Calibri Light" w:cs="Calibri Light"/>
          <w:sz w:val="22"/>
          <w:szCs w:val="22"/>
          <w:lang w:eastAsia="es-EC"/>
        </w:rPr>
        <w:t>Aframax</w:t>
      </w:r>
      <w:proofErr w:type="spellEnd"/>
      <w:r w:rsidRPr="00A51E6E">
        <w:rPr>
          <w:rFonts w:ascii="Calibri Light" w:eastAsia="Times New Roman" w:hAnsi="Calibri Light" w:cs="Calibri Light"/>
          <w:sz w:val="22"/>
          <w:szCs w:val="22"/>
          <w:lang w:eastAsia="es-EC"/>
        </w:rPr>
        <w:t xml:space="preserve"> con un 51% del total de la facturación y los fletes con 69%.</w:t>
      </w:r>
      <w:bookmarkStart w:id="194" w:name="_Toc197335123"/>
    </w:p>
    <w:p w14:paraId="5F7411D9" w14:textId="77777777" w:rsidR="00102E95" w:rsidRPr="00A51E6E" w:rsidRDefault="00102E95" w:rsidP="00102E95">
      <w:pPr>
        <w:pStyle w:val="Prrafodelista"/>
        <w:jc w:val="both"/>
        <w:rPr>
          <w:rFonts w:ascii="Calibri Light" w:eastAsia="Times New Roman" w:hAnsi="Calibri Light" w:cs="Calibri Light"/>
          <w:sz w:val="22"/>
          <w:szCs w:val="22"/>
          <w:lang w:eastAsia="es-EC"/>
        </w:rPr>
      </w:pPr>
    </w:p>
    <w:p w14:paraId="02DD902C" w14:textId="77777777" w:rsidR="00102E95" w:rsidRPr="00213F2B" w:rsidRDefault="00102E95" w:rsidP="00213F2B">
      <w:pPr>
        <w:pStyle w:val="Ttulo4"/>
        <w:rPr>
          <w:i w:val="0"/>
          <w:sz w:val="22"/>
          <w:szCs w:val="22"/>
        </w:rPr>
      </w:pPr>
      <w:r w:rsidRPr="00213F2B">
        <w:rPr>
          <w:i w:val="0"/>
          <w:sz w:val="22"/>
          <w:szCs w:val="22"/>
        </w:rPr>
        <w:t>ARCH</w:t>
      </w:r>
      <w:bookmarkEnd w:id="194"/>
    </w:p>
    <w:p w14:paraId="08F08F66" w14:textId="77777777" w:rsidR="00102E95" w:rsidRPr="000410FF" w:rsidRDefault="00102E95" w:rsidP="00102E95">
      <w:pPr>
        <w:rPr>
          <w:lang w:eastAsia="es-EC"/>
        </w:rPr>
      </w:pPr>
    </w:p>
    <w:p w14:paraId="0FBA045E" w14:textId="77777777" w:rsidR="00102E95" w:rsidRPr="00A51E6E" w:rsidRDefault="00102E95" w:rsidP="00102E95">
      <w:pPr>
        <w:pStyle w:val="Prrafodelista"/>
        <w:numPr>
          <w:ilvl w:val="0"/>
          <w:numId w:val="31"/>
        </w:numPr>
        <w:spacing w:after="240" w:line="276" w:lineRule="auto"/>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 xml:space="preserve">La gestión de la Agencia de Regulación y Control de Hidrocarburos - ARCH en el 2024, se caracterizó por una gestión de transición, considerando la aplicación del Decreto Ejecutivo Nro. 256, que escindió la Agencia de Regulación y Control de Energía y Recursos Naturales no Renovables – ARCERNNR, misma que funcionó de enero hasta julio de 2024 y desde el mes de agosto inicio su funcionamiento la ARCH, cabe recalcar que existió </w:t>
      </w:r>
      <w:r w:rsidRPr="00A51E6E">
        <w:rPr>
          <w:rFonts w:ascii="Calibri Light" w:eastAsia="Times New Roman" w:hAnsi="Calibri Light" w:cs="Calibri Light"/>
          <w:sz w:val="22"/>
          <w:szCs w:val="22"/>
          <w:lang w:eastAsia="es-EC"/>
        </w:rPr>
        <w:lastRenderedPageBreak/>
        <w:t xml:space="preserve">decremento importante del presupuesto asignado a la institución, que únicamente permitió cumplir con el pago de nómina y la gestión administrativa para mantener los servicios básicos institucionales, dejando a las áreas </w:t>
      </w:r>
      <w:proofErr w:type="spellStart"/>
      <w:r w:rsidRPr="00A51E6E">
        <w:rPr>
          <w:rFonts w:ascii="Calibri Light" w:eastAsia="Times New Roman" w:hAnsi="Calibri Light" w:cs="Calibri Light"/>
          <w:sz w:val="22"/>
          <w:szCs w:val="22"/>
          <w:lang w:eastAsia="es-EC"/>
        </w:rPr>
        <w:t>agregadoras</w:t>
      </w:r>
      <w:proofErr w:type="spellEnd"/>
      <w:r w:rsidRPr="00A51E6E">
        <w:rPr>
          <w:rFonts w:ascii="Calibri Light" w:eastAsia="Times New Roman" w:hAnsi="Calibri Light" w:cs="Calibri Light"/>
          <w:sz w:val="22"/>
          <w:szCs w:val="22"/>
          <w:lang w:eastAsia="es-EC"/>
        </w:rPr>
        <w:t xml:space="preserve"> de valor, sin recursos financieros, para su funcionamiento adecuado.</w:t>
      </w:r>
    </w:p>
    <w:p w14:paraId="7262E943" w14:textId="45E72655" w:rsidR="00341041" w:rsidRPr="00850D33" w:rsidRDefault="00102E95" w:rsidP="00850D33">
      <w:pPr>
        <w:pStyle w:val="Prrafodelista"/>
        <w:numPr>
          <w:ilvl w:val="0"/>
          <w:numId w:val="31"/>
        </w:numPr>
        <w:spacing w:after="240" w:line="276" w:lineRule="auto"/>
        <w:jc w:val="both"/>
        <w:rPr>
          <w:rFonts w:ascii="Calibri Light" w:eastAsia="Times New Roman" w:hAnsi="Calibri Light" w:cs="Calibri Light"/>
          <w:sz w:val="22"/>
          <w:szCs w:val="22"/>
          <w:lang w:eastAsia="es-EC"/>
        </w:rPr>
      </w:pPr>
      <w:r w:rsidRPr="00A51E6E">
        <w:rPr>
          <w:rFonts w:ascii="Calibri Light" w:eastAsia="Times New Roman" w:hAnsi="Calibri Light" w:cs="Calibri Light"/>
          <w:sz w:val="22"/>
          <w:szCs w:val="22"/>
          <w:lang w:eastAsia="es-EC"/>
        </w:rPr>
        <w:t xml:space="preserve">Bajo estas condiciones, las diferentes unidades que conforman la Agencia y que cuentan con servidores de carrera con experiencia, conocimiento y compromiso la ARCH continua, de manera ininterrumpida, brindando servicio, atención y asistencia técnica a los sujetos de control para el cumplimiento de las competencias establecidas en la Ley, respecto a la regulación, gestión, control y fiscalización del sector </w:t>
      </w:r>
      <w:proofErr w:type="spellStart"/>
      <w:r w:rsidRPr="00A51E6E">
        <w:rPr>
          <w:rFonts w:ascii="Calibri Light" w:eastAsia="Times New Roman" w:hAnsi="Calibri Light" w:cs="Calibri Light"/>
          <w:sz w:val="22"/>
          <w:szCs w:val="22"/>
          <w:lang w:eastAsia="es-EC"/>
        </w:rPr>
        <w:t>Hidrocarburífero</w:t>
      </w:r>
      <w:proofErr w:type="spellEnd"/>
      <w:r w:rsidRPr="00A51E6E">
        <w:rPr>
          <w:rFonts w:ascii="Calibri Light" w:eastAsia="Times New Roman" w:hAnsi="Calibri Light" w:cs="Calibri Light"/>
          <w:sz w:val="22"/>
          <w:szCs w:val="22"/>
          <w:lang w:eastAsia="es-EC"/>
        </w:rPr>
        <w:t>.</w:t>
      </w:r>
    </w:p>
    <w:p w14:paraId="0CAB9440" w14:textId="32EE4D33" w:rsidR="00C06F03" w:rsidRDefault="00140159" w:rsidP="00091074">
      <w:pPr>
        <w:pStyle w:val="Ttulo1"/>
        <w:rPr>
          <w:sz w:val="24"/>
          <w:szCs w:val="24"/>
        </w:rPr>
      </w:pPr>
      <w:bookmarkStart w:id="195" w:name="_Toc196485193"/>
      <w:bookmarkStart w:id="196" w:name="_Toc199759563"/>
      <w:r w:rsidRPr="00091074">
        <w:rPr>
          <w:sz w:val="24"/>
          <w:szCs w:val="24"/>
        </w:rPr>
        <w:t xml:space="preserve">Sector Minero (Gestión Viceministerial De </w:t>
      </w:r>
      <w:r w:rsidR="00275F62" w:rsidRPr="00091074">
        <w:rPr>
          <w:sz w:val="24"/>
          <w:szCs w:val="24"/>
        </w:rPr>
        <w:t>Minería</w:t>
      </w:r>
      <w:r w:rsidRPr="00091074">
        <w:rPr>
          <w:sz w:val="24"/>
          <w:szCs w:val="24"/>
        </w:rPr>
        <w:t>)</w:t>
      </w:r>
      <w:bookmarkEnd w:id="195"/>
      <w:bookmarkEnd w:id="196"/>
    </w:p>
    <w:p w14:paraId="7B14762A" w14:textId="77777777" w:rsidR="00091074" w:rsidRPr="00091074" w:rsidRDefault="00091074" w:rsidP="00091074"/>
    <w:p w14:paraId="5BAD9BFA" w14:textId="77777777" w:rsidR="00BF001E" w:rsidRPr="00941411" w:rsidRDefault="00BF001E" w:rsidP="00941411">
      <w:pPr>
        <w:pStyle w:val="Ttulo2"/>
        <w:rPr>
          <w:sz w:val="24"/>
          <w:szCs w:val="24"/>
        </w:rPr>
      </w:pPr>
      <w:bookmarkStart w:id="197" w:name="_Toc197425650"/>
      <w:bookmarkStart w:id="198" w:name="_Toc199759564"/>
      <w:r w:rsidRPr="00941411">
        <w:rPr>
          <w:sz w:val="24"/>
          <w:szCs w:val="24"/>
        </w:rPr>
        <w:t>Gestión Subsecretaria De Minería Industrial</w:t>
      </w:r>
      <w:bookmarkEnd w:id="197"/>
      <w:bookmarkEnd w:id="198"/>
    </w:p>
    <w:p w14:paraId="2E45AA13" w14:textId="77777777" w:rsidR="00BF001E" w:rsidRPr="00216668" w:rsidRDefault="00BF001E" w:rsidP="00BF001E">
      <w:pPr>
        <w:pStyle w:val="NormalWeb"/>
        <w:jc w:val="both"/>
        <w:rPr>
          <w:rFonts w:asciiTheme="majorHAnsi" w:eastAsiaTheme="minorHAnsi" w:hAnsiTheme="majorHAnsi" w:cstheme="majorHAnsi"/>
          <w:sz w:val="22"/>
          <w:szCs w:val="22"/>
          <w:lang w:eastAsia="en-US"/>
        </w:rPr>
      </w:pPr>
      <w:r w:rsidRPr="00216668">
        <w:rPr>
          <w:rFonts w:asciiTheme="majorHAnsi" w:eastAsiaTheme="minorHAnsi" w:hAnsiTheme="majorHAnsi" w:cstheme="majorHAnsi"/>
          <w:sz w:val="22"/>
          <w:szCs w:val="22"/>
          <w:lang w:eastAsia="en-US"/>
        </w:rPr>
        <w:t>La Subsecretaría de Minería Industrial tiene como misión coordinar y dar seguimiento a las políticas, planes, programas y proyectos orientados al desarrollo del sector minero de mediana y gran escala, en sus diferentes etapas.</w:t>
      </w:r>
    </w:p>
    <w:p w14:paraId="419A7617" w14:textId="77777777" w:rsidR="00BF001E" w:rsidRPr="00216668" w:rsidRDefault="00BF001E" w:rsidP="00BF001E">
      <w:pPr>
        <w:pStyle w:val="NormalWeb"/>
        <w:jc w:val="both"/>
        <w:rPr>
          <w:rFonts w:asciiTheme="majorHAnsi" w:eastAsiaTheme="minorHAnsi" w:hAnsiTheme="majorHAnsi" w:cstheme="majorHAnsi"/>
          <w:sz w:val="22"/>
          <w:szCs w:val="22"/>
          <w:lang w:eastAsia="en-US"/>
        </w:rPr>
      </w:pPr>
      <w:r w:rsidRPr="00216668">
        <w:rPr>
          <w:rFonts w:asciiTheme="majorHAnsi" w:eastAsiaTheme="minorHAnsi" w:hAnsiTheme="majorHAnsi" w:cstheme="majorHAnsi"/>
          <w:sz w:val="22"/>
          <w:szCs w:val="22"/>
          <w:lang w:eastAsia="en-US"/>
        </w:rPr>
        <w:t>En su estructura, cuenta con dos direcciones técnicas:</w:t>
      </w:r>
    </w:p>
    <w:p w14:paraId="5DB12C5E" w14:textId="77777777" w:rsidR="00BF001E" w:rsidRPr="00216668" w:rsidRDefault="00BF001E" w:rsidP="00BF001E">
      <w:pPr>
        <w:pStyle w:val="NormalWeb"/>
        <w:numPr>
          <w:ilvl w:val="0"/>
          <w:numId w:val="168"/>
        </w:numPr>
        <w:jc w:val="both"/>
        <w:rPr>
          <w:rFonts w:asciiTheme="majorHAnsi" w:eastAsiaTheme="minorHAnsi" w:hAnsiTheme="majorHAnsi" w:cstheme="majorHAnsi"/>
          <w:sz w:val="22"/>
          <w:szCs w:val="22"/>
          <w:lang w:eastAsia="en-US"/>
        </w:rPr>
      </w:pPr>
      <w:r w:rsidRPr="00216668">
        <w:rPr>
          <w:rFonts w:asciiTheme="majorHAnsi" w:eastAsiaTheme="minorHAnsi" w:hAnsiTheme="majorHAnsi" w:cstheme="majorHAnsi"/>
          <w:bCs/>
          <w:sz w:val="22"/>
          <w:szCs w:val="22"/>
          <w:lang w:eastAsia="en-US"/>
        </w:rPr>
        <w:t>La Dirección de Minería en Etapa de Exploración</w:t>
      </w:r>
    </w:p>
    <w:p w14:paraId="70FFEE15" w14:textId="77777777" w:rsidR="00BF001E" w:rsidRPr="00216668" w:rsidRDefault="00BF001E" w:rsidP="00BF001E">
      <w:pPr>
        <w:pStyle w:val="NormalWeb"/>
        <w:numPr>
          <w:ilvl w:val="0"/>
          <w:numId w:val="168"/>
        </w:numPr>
        <w:jc w:val="both"/>
        <w:rPr>
          <w:rFonts w:asciiTheme="majorHAnsi" w:eastAsiaTheme="minorHAnsi" w:hAnsiTheme="majorHAnsi" w:cstheme="majorHAnsi"/>
          <w:sz w:val="22"/>
          <w:szCs w:val="22"/>
          <w:lang w:eastAsia="en-US"/>
        </w:rPr>
      </w:pPr>
      <w:r w:rsidRPr="00216668">
        <w:rPr>
          <w:rFonts w:asciiTheme="majorHAnsi" w:eastAsiaTheme="minorHAnsi" w:hAnsiTheme="majorHAnsi" w:cstheme="majorHAnsi"/>
          <w:bCs/>
          <w:sz w:val="22"/>
          <w:szCs w:val="22"/>
          <w:lang w:eastAsia="en-US"/>
        </w:rPr>
        <w:t>La Dirección de Minería en Etapa de Explotación</w:t>
      </w:r>
    </w:p>
    <w:p w14:paraId="255D96F6" w14:textId="77777777" w:rsidR="00BF001E" w:rsidRPr="00216668" w:rsidRDefault="00BF001E" w:rsidP="00BF001E">
      <w:pPr>
        <w:pStyle w:val="NormalWeb"/>
        <w:jc w:val="both"/>
        <w:rPr>
          <w:rFonts w:asciiTheme="majorHAnsi" w:eastAsiaTheme="minorHAnsi" w:hAnsiTheme="majorHAnsi" w:cstheme="majorHAnsi"/>
          <w:sz w:val="22"/>
          <w:szCs w:val="22"/>
          <w:lang w:eastAsia="en-US"/>
        </w:rPr>
      </w:pPr>
      <w:r w:rsidRPr="00216668">
        <w:rPr>
          <w:rFonts w:asciiTheme="majorHAnsi" w:eastAsiaTheme="minorHAnsi" w:hAnsiTheme="majorHAnsi" w:cstheme="majorHAnsi"/>
          <w:sz w:val="22"/>
          <w:szCs w:val="22"/>
          <w:lang w:eastAsia="en-US"/>
        </w:rPr>
        <w:t>Cada una de estas direcciones cumple funciones específicas dentro del ciclo minero y contribuye al cumplimiento de los objetivos establecidos en la Política Pública Minera.</w:t>
      </w:r>
    </w:p>
    <w:p w14:paraId="1275349C" w14:textId="77777777" w:rsidR="00BF001E" w:rsidRPr="00216668" w:rsidRDefault="00BF001E" w:rsidP="00BF001E">
      <w:pPr>
        <w:pStyle w:val="NormalWeb"/>
        <w:jc w:val="both"/>
        <w:rPr>
          <w:rFonts w:asciiTheme="majorHAnsi" w:eastAsiaTheme="minorHAnsi" w:hAnsiTheme="majorHAnsi" w:cstheme="majorHAnsi"/>
          <w:sz w:val="22"/>
          <w:szCs w:val="22"/>
          <w:lang w:eastAsia="en-US"/>
        </w:rPr>
      </w:pPr>
      <w:r w:rsidRPr="00216668">
        <w:rPr>
          <w:rFonts w:asciiTheme="majorHAnsi" w:eastAsiaTheme="minorHAnsi" w:hAnsiTheme="majorHAnsi" w:cstheme="majorHAnsi"/>
          <w:sz w:val="22"/>
          <w:szCs w:val="22"/>
          <w:lang w:eastAsia="en-US"/>
        </w:rPr>
        <w:t xml:space="preserve">La </w:t>
      </w:r>
      <w:r w:rsidRPr="00216668">
        <w:rPr>
          <w:rFonts w:asciiTheme="majorHAnsi" w:eastAsiaTheme="minorHAnsi" w:hAnsiTheme="majorHAnsi" w:cstheme="majorHAnsi"/>
          <w:b/>
          <w:sz w:val="22"/>
          <w:szCs w:val="22"/>
          <w:lang w:eastAsia="en-US"/>
        </w:rPr>
        <w:t>Dirección de Minería en Etapa de Exploración</w:t>
      </w:r>
      <w:r w:rsidRPr="00216668">
        <w:rPr>
          <w:rFonts w:asciiTheme="majorHAnsi" w:eastAsiaTheme="minorHAnsi" w:hAnsiTheme="majorHAnsi" w:cstheme="majorHAnsi"/>
          <w:sz w:val="22"/>
          <w:szCs w:val="22"/>
          <w:lang w:eastAsia="en-US"/>
        </w:rPr>
        <w:t xml:space="preserve"> tiene como objetivo gestionar el cumplimiento de la Política Pública Minera mediante la generación e implementación de metodologías, instrumentos y soporte técnico necesarios para impulsar las actividades responsables de exploración minera de mediana y gran escala. Esta labor busca incrementar el conocimiento geológico y de la ocurrencia de minerales en el territorio ecuatoriano, con el fin de incentivar el interés de inversionistas en actividades de explotación minera y dinamizar la economía en las zonas de influencia.</w:t>
      </w:r>
    </w:p>
    <w:p w14:paraId="357004F6" w14:textId="77777777" w:rsidR="00BF001E" w:rsidRPr="00216668" w:rsidRDefault="00BF001E" w:rsidP="00BF001E">
      <w:pPr>
        <w:pStyle w:val="NormalWeb"/>
        <w:jc w:val="both"/>
        <w:rPr>
          <w:rFonts w:asciiTheme="majorHAnsi" w:eastAsiaTheme="minorHAnsi" w:hAnsiTheme="majorHAnsi" w:cstheme="majorHAnsi"/>
          <w:sz w:val="22"/>
          <w:szCs w:val="22"/>
          <w:lang w:eastAsia="en-US"/>
        </w:rPr>
      </w:pPr>
      <w:r w:rsidRPr="00216668">
        <w:rPr>
          <w:rFonts w:asciiTheme="majorHAnsi" w:eastAsiaTheme="minorHAnsi" w:hAnsiTheme="majorHAnsi" w:cstheme="majorHAnsi"/>
          <w:sz w:val="22"/>
          <w:szCs w:val="22"/>
          <w:lang w:eastAsia="en-US"/>
        </w:rPr>
        <w:t xml:space="preserve">Durante el año 2024, la Dirección de Minería Industrial en Etapa de Exploración ha venido desarrollando insumos técnicos fundamentales para el fortalecimiento del sector minero, en concordancia con el </w:t>
      </w:r>
      <w:r w:rsidRPr="00216668">
        <w:rPr>
          <w:rFonts w:asciiTheme="majorHAnsi" w:eastAsiaTheme="minorHAnsi" w:hAnsiTheme="majorHAnsi" w:cstheme="majorHAnsi"/>
          <w:i/>
          <w:iCs/>
          <w:sz w:val="22"/>
          <w:szCs w:val="22"/>
          <w:lang w:eastAsia="en-US"/>
        </w:rPr>
        <w:t>Plan Nacional de Desarrollo para un Nuevo Ecuador 2024-2025</w:t>
      </w:r>
      <w:r w:rsidRPr="00216668">
        <w:rPr>
          <w:rFonts w:asciiTheme="majorHAnsi" w:eastAsiaTheme="minorHAnsi" w:hAnsiTheme="majorHAnsi" w:cstheme="majorHAnsi"/>
          <w:sz w:val="22"/>
          <w:szCs w:val="22"/>
          <w:lang w:eastAsia="en-US"/>
        </w:rPr>
        <w:t>, alineado a uno de los objetivos nacionales de desarrollo:</w:t>
      </w:r>
    </w:p>
    <w:p w14:paraId="0576E555" w14:textId="25C065D0" w:rsidR="00EE578D" w:rsidRPr="00E23641" w:rsidRDefault="00BF001E" w:rsidP="00E23641">
      <w:pPr>
        <w:pStyle w:val="NormalWeb"/>
        <w:rPr>
          <w:rFonts w:asciiTheme="majorHAnsi" w:eastAsiaTheme="minorHAnsi" w:hAnsiTheme="majorHAnsi" w:cstheme="majorHAnsi"/>
          <w:sz w:val="22"/>
          <w:szCs w:val="22"/>
          <w:lang w:eastAsia="en-US"/>
        </w:rPr>
      </w:pPr>
      <w:r w:rsidRPr="00216668">
        <w:rPr>
          <w:rFonts w:asciiTheme="majorHAnsi" w:eastAsiaTheme="minorHAnsi" w:hAnsiTheme="majorHAnsi" w:cstheme="majorHAnsi"/>
          <w:bCs/>
          <w:sz w:val="22"/>
          <w:szCs w:val="22"/>
          <w:lang w:eastAsia="en-US"/>
        </w:rPr>
        <w:t>Bajo estos antecedentes, se llevaron a cabo las siguientes actividades:</w:t>
      </w:r>
    </w:p>
    <w:p w14:paraId="4A23658A" w14:textId="77777777" w:rsidR="00BF001E" w:rsidRPr="00941411" w:rsidRDefault="00BF001E" w:rsidP="00941411">
      <w:pPr>
        <w:pStyle w:val="Ttulo4"/>
        <w:rPr>
          <w:i w:val="0"/>
          <w:sz w:val="22"/>
          <w:szCs w:val="22"/>
        </w:rPr>
      </w:pPr>
      <w:bookmarkStart w:id="199" w:name="_Toc198739124"/>
      <w:r w:rsidRPr="00941411">
        <w:rPr>
          <w:i w:val="0"/>
          <w:sz w:val="22"/>
          <w:szCs w:val="22"/>
        </w:rPr>
        <w:t>Elaborar la Propuesta de Instructivo que Regula el Ejercicio del Derecho Preferente y de Primera Opción de la Empresa Nacional Minera ENAMI EP</w:t>
      </w:r>
      <w:bookmarkEnd w:id="199"/>
    </w:p>
    <w:p w14:paraId="4AFB2F61" w14:textId="77777777" w:rsidR="00BF001E" w:rsidRPr="00AE4614" w:rsidRDefault="00BF001E" w:rsidP="00BF001E">
      <w:pPr>
        <w:jc w:val="both"/>
        <w:rPr>
          <w:rFonts w:cstheme="minorHAnsi"/>
          <w:sz w:val="22"/>
          <w:szCs w:val="22"/>
        </w:rPr>
      </w:pPr>
    </w:p>
    <w:p w14:paraId="21558AAF" w14:textId="6AD66EB6"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 xml:space="preserve">Se elaboro la pro la propuesta del </w:t>
      </w:r>
      <w:r w:rsidRPr="003615DC">
        <w:rPr>
          <w:rStyle w:val="Textoennegrita"/>
          <w:rFonts w:asciiTheme="majorHAnsi" w:hAnsiTheme="majorHAnsi" w:cstheme="majorHAnsi"/>
          <w:b w:val="0"/>
          <w:sz w:val="22"/>
          <w:szCs w:val="22"/>
        </w:rPr>
        <w:t>Instructivo que Regula el Ejercicio del Derecho Preferente y de Primera Opción de la Empresa Nacional Minera ENAMI EP</w:t>
      </w:r>
      <w:r w:rsidRPr="003615DC">
        <w:rPr>
          <w:rFonts w:asciiTheme="majorHAnsi" w:hAnsiTheme="majorHAnsi" w:cstheme="majorHAnsi"/>
          <w:sz w:val="22"/>
          <w:szCs w:val="22"/>
        </w:rPr>
        <w:t>. El cual se espera que esté aprobado para los primeros meses del 2025.</w:t>
      </w:r>
    </w:p>
    <w:p w14:paraId="69B62B5F" w14:textId="77777777" w:rsidR="00BF001E" w:rsidRPr="00AE4614" w:rsidRDefault="00BF001E" w:rsidP="00BF001E">
      <w:pPr>
        <w:jc w:val="both"/>
        <w:rPr>
          <w:rFonts w:cstheme="minorHAnsi"/>
          <w:sz w:val="22"/>
          <w:szCs w:val="22"/>
        </w:rPr>
      </w:pPr>
    </w:p>
    <w:p w14:paraId="65342B58" w14:textId="75372CEE" w:rsidR="00941411" w:rsidRPr="00941411" w:rsidRDefault="00941411" w:rsidP="00941411">
      <w:pPr>
        <w:pStyle w:val="Ttulo4"/>
        <w:rPr>
          <w:sz w:val="22"/>
          <w:szCs w:val="22"/>
        </w:rPr>
      </w:pPr>
      <w:bookmarkStart w:id="200" w:name="_Toc198739125"/>
      <w:r w:rsidRPr="00941411">
        <w:rPr>
          <w:i w:val="0"/>
          <w:sz w:val="22"/>
          <w:szCs w:val="22"/>
        </w:rPr>
        <w:lastRenderedPageBreak/>
        <w:t>Propuesta de reforma al “Instructivo para el Otorgamiento de Concesiones Mineras para Minerales Metálicos</w:t>
      </w:r>
      <w:r w:rsidRPr="00941411">
        <w:rPr>
          <w:sz w:val="22"/>
          <w:szCs w:val="22"/>
        </w:rPr>
        <w:t>”</w:t>
      </w:r>
      <w:bookmarkEnd w:id="200"/>
    </w:p>
    <w:p w14:paraId="0E8E51C1" w14:textId="3F622CF6" w:rsidR="00BF001E" w:rsidRPr="003615DC" w:rsidRDefault="00BF001E" w:rsidP="00BF001E">
      <w:pPr>
        <w:spacing w:before="100" w:beforeAutospacing="1" w:after="100" w:afterAutospacing="1"/>
        <w:jc w:val="both"/>
        <w:rPr>
          <w:rFonts w:asciiTheme="majorHAnsi" w:hAnsiTheme="majorHAnsi" w:cstheme="majorHAnsi"/>
          <w:sz w:val="22"/>
          <w:szCs w:val="22"/>
        </w:rPr>
      </w:pPr>
      <w:r w:rsidRPr="003615DC">
        <w:rPr>
          <w:rFonts w:asciiTheme="majorHAnsi" w:hAnsiTheme="majorHAnsi" w:cstheme="majorHAnsi"/>
          <w:sz w:val="22"/>
          <w:szCs w:val="22"/>
        </w:rPr>
        <w:t>En lo relacionado a la ejecución de inversiones en actividades exploratorias, se ha generado la propuesta de reforma al “Instructivo para el Otorgamiento de Concesiones Mineras para Minerales Metálicos”, así como el correspondiente informe de necesidad, enfocado en fortalecer los mecanismos de control y seguimiento de las inversiones destinadas al desarrollo de actividades exploratorias. Con estas mejoras, se busca no solo garantizar una mayor eficacia en la gestión de las concesiones, sino también promover prácticas responsables y sostenibles dentro del sector minero.</w:t>
      </w:r>
    </w:p>
    <w:p w14:paraId="04E31B81" w14:textId="77777777" w:rsidR="00BF001E" w:rsidRPr="00213F2B" w:rsidRDefault="00BF001E" w:rsidP="00213F2B">
      <w:pPr>
        <w:pStyle w:val="Ttulo4"/>
        <w:rPr>
          <w:i w:val="0"/>
          <w:sz w:val="22"/>
          <w:szCs w:val="22"/>
        </w:rPr>
      </w:pPr>
      <w:bookmarkStart w:id="201" w:name="_Toc198739126"/>
      <w:r w:rsidRPr="00213F2B">
        <w:rPr>
          <w:i w:val="0"/>
          <w:sz w:val="22"/>
          <w:szCs w:val="22"/>
        </w:rPr>
        <w:t>Programa de Gestión Sostenible del Sector Estratégico de Energía y Recursos Naturales No Renovables e Infraestructura Asociada”</w:t>
      </w:r>
      <w:bookmarkEnd w:id="201"/>
    </w:p>
    <w:p w14:paraId="17A2D4CB" w14:textId="77777777" w:rsidR="00BF001E" w:rsidRPr="00AE4614" w:rsidRDefault="00BF001E" w:rsidP="00BF001E">
      <w:pPr>
        <w:rPr>
          <w:rFonts w:cstheme="minorHAnsi"/>
          <w:sz w:val="22"/>
          <w:szCs w:val="22"/>
        </w:rPr>
      </w:pPr>
    </w:p>
    <w:p w14:paraId="5CCA3AAC" w14:textId="77777777"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Con el propósito de impulsar una gestión sostenible de los recursos del subsuelo y la infraestructura asociada, el Gobierno de Ecuador, representado por las carteras de Economía y Finanzas y por el Banco Interamericano de Desarrollo, acordó financiar un programa de desarrollo minero de amplio alcance. Este programa se ejecuta a través de dos entidades principales: el Ministerio de Energía y Minas, que asumió la responsabilidad sobre componentes clave relacionados con la planificación y supervisión de proyectos, y el Instituto de Investigación Geológico y Energético, encargado de la generación de información técnica y científica que respalde la toma de decisiones.</w:t>
      </w:r>
    </w:p>
    <w:p w14:paraId="5539CAE6" w14:textId="0959A602" w:rsidR="00BF001E"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br/>
        <w:t>Para garantizar la eficiencia de las actividades, el Ministerio de Energía y Minas diseñó un esquema de trabajo que contempla la coordinación entre las distintas áreas técnicas y administrativas, así como un cronograma de ejecución. Como parte de este esfuerzo, la Dirección de Minería Industrial en Etapa de Exploración lideró la contratación de un especialista tecnológico para aportar conocimientos especializados.</w:t>
      </w:r>
    </w:p>
    <w:p w14:paraId="0A8A72A1" w14:textId="77777777" w:rsidR="009348E0" w:rsidRPr="00275F62" w:rsidRDefault="009348E0" w:rsidP="00BF001E">
      <w:pPr>
        <w:rPr>
          <w:rFonts w:asciiTheme="majorHAnsi" w:hAnsiTheme="majorHAnsi" w:cstheme="majorHAnsi"/>
          <w:sz w:val="22"/>
          <w:szCs w:val="22"/>
        </w:rPr>
      </w:pPr>
    </w:p>
    <w:p w14:paraId="4DED832E" w14:textId="77777777" w:rsidR="00BF001E" w:rsidRPr="00213F2B" w:rsidRDefault="00BF001E" w:rsidP="00213F2B">
      <w:pPr>
        <w:pStyle w:val="Ttulo4"/>
        <w:rPr>
          <w:i w:val="0"/>
          <w:sz w:val="22"/>
          <w:szCs w:val="22"/>
        </w:rPr>
      </w:pPr>
      <w:bookmarkStart w:id="202" w:name="_Toc198739127"/>
      <w:r w:rsidRPr="00213F2B">
        <w:rPr>
          <w:i w:val="0"/>
          <w:sz w:val="22"/>
          <w:szCs w:val="22"/>
        </w:rPr>
        <w:t>Proyecto de Implementación del Sistema Integral de Gestión Minera SIGMIN</w:t>
      </w:r>
      <w:bookmarkEnd w:id="202"/>
    </w:p>
    <w:p w14:paraId="2BCE51BB" w14:textId="77777777" w:rsidR="00BF001E" w:rsidRPr="003615DC" w:rsidRDefault="00BF001E" w:rsidP="00BF001E">
      <w:pPr>
        <w:jc w:val="both"/>
        <w:rPr>
          <w:rFonts w:asciiTheme="majorHAnsi" w:hAnsiTheme="majorHAnsi" w:cstheme="majorHAnsi"/>
          <w:sz w:val="22"/>
          <w:szCs w:val="22"/>
        </w:rPr>
      </w:pPr>
    </w:p>
    <w:p w14:paraId="25223A7E" w14:textId="77777777"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Como resultado de esta gestión, se cuenta con los recursos técnicos necesarios para iniciar el despliegue del correspondiente a los módulos de registro de clientes y subasta.</w:t>
      </w:r>
    </w:p>
    <w:p w14:paraId="2D2AB929" w14:textId="77777777"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 xml:space="preserve">Se presentan los entregables relacionados con la preparación del ambiente de desarrollo del proyecto, y el licenciamiento de la herramienta </w:t>
      </w:r>
      <w:proofErr w:type="spellStart"/>
      <w:r w:rsidRPr="003615DC">
        <w:rPr>
          <w:rFonts w:asciiTheme="majorHAnsi" w:hAnsiTheme="majorHAnsi" w:cstheme="majorHAnsi"/>
          <w:sz w:val="22"/>
          <w:szCs w:val="22"/>
        </w:rPr>
        <w:t>TruePermit</w:t>
      </w:r>
      <w:proofErr w:type="spellEnd"/>
      <w:r w:rsidRPr="003615DC">
        <w:rPr>
          <w:rFonts w:asciiTheme="majorHAnsi" w:hAnsiTheme="majorHAnsi" w:cstheme="majorHAnsi"/>
          <w:sz w:val="22"/>
          <w:szCs w:val="22"/>
        </w:rPr>
        <w:t xml:space="preserve"> a las autoridades y representantes de las entidades del sector. </w:t>
      </w:r>
    </w:p>
    <w:p w14:paraId="5B0E1503" w14:textId="77777777" w:rsidR="00BF001E" w:rsidRPr="003615DC" w:rsidRDefault="00BF001E" w:rsidP="00BF001E">
      <w:pPr>
        <w:jc w:val="both"/>
        <w:rPr>
          <w:rFonts w:asciiTheme="majorHAnsi" w:hAnsiTheme="majorHAnsi" w:cstheme="majorHAnsi"/>
          <w:sz w:val="22"/>
          <w:szCs w:val="22"/>
        </w:rPr>
      </w:pPr>
    </w:p>
    <w:p w14:paraId="619AAB23" w14:textId="192D6B14" w:rsidR="00BF001E"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Asimismo, se ha dado inicio a la revisión de la información geográfica del catastro minero. Se ha definido una periodicidad semanal para las reuniones de coordinación, así como la conformación de los equipos de trabajo para el desarrollo de procesos del SIGMIN.</w:t>
      </w:r>
    </w:p>
    <w:p w14:paraId="7D69690C" w14:textId="7AF7F7DB" w:rsidR="00BF001E" w:rsidRPr="00F7193D" w:rsidRDefault="00BF001E" w:rsidP="00F7193D">
      <w:pPr>
        <w:pStyle w:val="NormalWeb"/>
        <w:jc w:val="both"/>
        <w:rPr>
          <w:rFonts w:asciiTheme="majorHAnsi" w:hAnsiTheme="majorHAnsi" w:cstheme="majorHAnsi"/>
          <w:b/>
          <w:sz w:val="22"/>
          <w:szCs w:val="22"/>
        </w:rPr>
      </w:pPr>
      <w:r w:rsidRPr="003615DC">
        <w:rPr>
          <w:rStyle w:val="Textoennegrita"/>
          <w:rFonts w:asciiTheme="majorHAnsi" w:eastAsiaTheme="majorEastAsia" w:hAnsiTheme="majorHAnsi" w:cstheme="majorHAnsi"/>
          <w:b w:val="0"/>
          <w:sz w:val="22"/>
          <w:szCs w:val="22"/>
        </w:rPr>
        <w:t>En este marco, se llevaron a cabo las siguientes funciones y acciones complementarias:</w:t>
      </w:r>
    </w:p>
    <w:p w14:paraId="4FEFEAAB" w14:textId="77777777" w:rsidR="00BF001E" w:rsidRPr="00213F2B" w:rsidRDefault="00BF001E" w:rsidP="00213F2B">
      <w:pPr>
        <w:pStyle w:val="Ttulo4"/>
        <w:rPr>
          <w:i w:val="0"/>
          <w:sz w:val="22"/>
          <w:szCs w:val="22"/>
        </w:rPr>
      </w:pPr>
      <w:bookmarkStart w:id="203" w:name="_Toc198739128"/>
      <w:r w:rsidRPr="00213F2B">
        <w:rPr>
          <w:i w:val="0"/>
          <w:sz w:val="22"/>
          <w:szCs w:val="22"/>
        </w:rPr>
        <w:t>Elaboración de insumos técnico – económicos para seguimiento de los proyectos mineros en etapa de exploración</w:t>
      </w:r>
      <w:bookmarkEnd w:id="203"/>
    </w:p>
    <w:p w14:paraId="420A7EF5" w14:textId="77777777" w:rsidR="00BF001E" w:rsidRPr="00AE4614" w:rsidRDefault="00BF001E" w:rsidP="00BF001E">
      <w:pPr>
        <w:jc w:val="both"/>
        <w:rPr>
          <w:rFonts w:cstheme="minorHAnsi"/>
          <w:sz w:val="22"/>
          <w:szCs w:val="22"/>
        </w:rPr>
      </w:pPr>
    </w:p>
    <w:p w14:paraId="27B558DE" w14:textId="77777777"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 xml:space="preserve">Para garantizar un seguimiento adecuado del progreso técnico y financiero de los proyectos mineros de segunda generación, se elaboran de manera trimestral documentos de resumen y análisis.  Entre ellos: fichas ejecutivas que sintetizan los principales indicadores de avance, fichas técnicas que detallan los aspectos operativos y las estimaciones económicas, y ayudas memoria que recogen información adicional relevante. </w:t>
      </w:r>
    </w:p>
    <w:p w14:paraId="731F0AA5" w14:textId="77777777" w:rsidR="00BF001E" w:rsidRPr="003615DC" w:rsidRDefault="00BF001E" w:rsidP="00BF001E">
      <w:pPr>
        <w:jc w:val="both"/>
        <w:rPr>
          <w:rFonts w:asciiTheme="majorHAnsi" w:hAnsiTheme="majorHAnsi" w:cstheme="majorHAnsi"/>
          <w:sz w:val="22"/>
          <w:szCs w:val="22"/>
        </w:rPr>
      </w:pPr>
    </w:p>
    <w:p w14:paraId="08E85F85" w14:textId="77777777"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 xml:space="preserve">Estos documentos se confeccionan con base en los datos proporcionados por las empresas encargadas de cada proyecto: Cangrejos, Loma Larga, </w:t>
      </w:r>
      <w:proofErr w:type="spellStart"/>
      <w:r w:rsidRPr="003615DC">
        <w:rPr>
          <w:rFonts w:asciiTheme="majorHAnsi" w:hAnsiTheme="majorHAnsi" w:cstheme="majorHAnsi"/>
          <w:sz w:val="22"/>
          <w:szCs w:val="22"/>
        </w:rPr>
        <w:t>Warintza</w:t>
      </w:r>
      <w:proofErr w:type="spellEnd"/>
      <w:r w:rsidRPr="003615DC">
        <w:rPr>
          <w:rFonts w:asciiTheme="majorHAnsi" w:hAnsiTheme="majorHAnsi" w:cstheme="majorHAnsi"/>
          <w:sz w:val="22"/>
          <w:szCs w:val="22"/>
        </w:rPr>
        <w:t xml:space="preserve">, San Carlos </w:t>
      </w:r>
      <w:proofErr w:type="spellStart"/>
      <w:r w:rsidRPr="003615DC">
        <w:rPr>
          <w:rFonts w:asciiTheme="majorHAnsi" w:hAnsiTheme="majorHAnsi" w:cstheme="majorHAnsi"/>
          <w:sz w:val="22"/>
          <w:szCs w:val="22"/>
        </w:rPr>
        <w:t>Panantza</w:t>
      </w:r>
      <w:proofErr w:type="spellEnd"/>
      <w:r w:rsidRPr="003615DC">
        <w:rPr>
          <w:rFonts w:asciiTheme="majorHAnsi" w:hAnsiTheme="majorHAnsi" w:cstheme="majorHAnsi"/>
          <w:sz w:val="22"/>
          <w:szCs w:val="22"/>
        </w:rPr>
        <w:t xml:space="preserve">, </w:t>
      </w:r>
      <w:proofErr w:type="spellStart"/>
      <w:r w:rsidRPr="003615DC">
        <w:rPr>
          <w:rFonts w:asciiTheme="majorHAnsi" w:hAnsiTheme="majorHAnsi" w:cstheme="majorHAnsi"/>
          <w:sz w:val="22"/>
          <w:szCs w:val="22"/>
        </w:rPr>
        <w:t>Llurimagua</w:t>
      </w:r>
      <w:proofErr w:type="spellEnd"/>
      <w:r w:rsidRPr="003615DC">
        <w:rPr>
          <w:rFonts w:asciiTheme="majorHAnsi" w:hAnsiTheme="majorHAnsi" w:cstheme="majorHAnsi"/>
          <w:sz w:val="22"/>
          <w:szCs w:val="22"/>
        </w:rPr>
        <w:t xml:space="preserve"> y La Plata y constituyen un insumo esencial para la preparación del informe que presenta el Banco Central del Ecuador. Gracias a esta planificación sistemática, se mejora la transparencia y se facilita la toma de decisiones en el sector minero.</w:t>
      </w:r>
    </w:p>
    <w:p w14:paraId="44E63F54" w14:textId="4FB656EE" w:rsidR="00EE578D" w:rsidRDefault="00EE578D" w:rsidP="00BF001E">
      <w:pPr>
        <w:rPr>
          <w:rFonts w:cstheme="minorHAnsi"/>
          <w:b/>
          <w:sz w:val="22"/>
          <w:szCs w:val="22"/>
        </w:rPr>
      </w:pPr>
    </w:p>
    <w:p w14:paraId="50A406F4" w14:textId="77777777" w:rsidR="00BF001E" w:rsidRPr="00213F2B" w:rsidRDefault="00BF001E" w:rsidP="00213F2B">
      <w:pPr>
        <w:pStyle w:val="Ttulo4"/>
        <w:rPr>
          <w:i w:val="0"/>
          <w:sz w:val="22"/>
          <w:szCs w:val="22"/>
        </w:rPr>
      </w:pPr>
      <w:bookmarkStart w:id="204" w:name="_Toc198739130"/>
      <w:r w:rsidRPr="00213F2B">
        <w:rPr>
          <w:i w:val="0"/>
          <w:sz w:val="22"/>
          <w:szCs w:val="22"/>
        </w:rPr>
        <w:t>Proceso de Sustanciación en trámite</w:t>
      </w:r>
      <w:bookmarkEnd w:id="204"/>
    </w:p>
    <w:p w14:paraId="1EBCC6F6" w14:textId="5865492D" w:rsidR="00BF001E" w:rsidRPr="00850D33" w:rsidRDefault="00BF001E" w:rsidP="00850D33">
      <w:pPr>
        <w:tabs>
          <w:tab w:val="left" w:pos="2580"/>
        </w:tabs>
        <w:rPr>
          <w:rFonts w:asciiTheme="majorHAnsi" w:hAnsiTheme="majorHAnsi" w:cstheme="majorHAnsi"/>
        </w:rPr>
      </w:pPr>
      <w:r w:rsidRPr="003615DC">
        <w:rPr>
          <w:rFonts w:asciiTheme="majorHAnsi" w:hAnsiTheme="majorHAnsi" w:cstheme="majorHAnsi"/>
        </w:rPr>
        <w:tab/>
      </w:r>
    </w:p>
    <w:p w14:paraId="4B298A15" w14:textId="77777777" w:rsidR="00BF001E" w:rsidRPr="00850D33" w:rsidRDefault="00BF001E" w:rsidP="00BF001E">
      <w:pPr>
        <w:jc w:val="both"/>
        <w:rPr>
          <w:rFonts w:asciiTheme="majorHAnsi" w:hAnsiTheme="majorHAnsi" w:cstheme="majorHAnsi"/>
          <w:sz w:val="22"/>
          <w:szCs w:val="22"/>
        </w:rPr>
      </w:pPr>
      <w:r w:rsidRPr="00850D33">
        <w:rPr>
          <w:rFonts w:asciiTheme="majorHAnsi" w:hAnsiTheme="majorHAnsi" w:cstheme="majorHAnsi"/>
          <w:sz w:val="22"/>
          <w:szCs w:val="22"/>
        </w:rPr>
        <w:t xml:space="preserve">Durante el año 2024, la </w:t>
      </w:r>
      <w:r w:rsidRPr="00850D33">
        <w:rPr>
          <w:rFonts w:asciiTheme="majorHAnsi" w:hAnsiTheme="majorHAnsi" w:cstheme="majorHAnsi"/>
          <w:b/>
          <w:sz w:val="22"/>
          <w:szCs w:val="22"/>
        </w:rPr>
        <w:t>Dirección de Minería Industrial en Etapa de Explotación</w:t>
      </w:r>
      <w:r w:rsidRPr="00850D33">
        <w:rPr>
          <w:rFonts w:asciiTheme="majorHAnsi" w:hAnsiTheme="majorHAnsi" w:cstheme="majorHAnsi"/>
          <w:sz w:val="22"/>
          <w:szCs w:val="22"/>
        </w:rPr>
        <w:t xml:space="preserve"> ha desarrollado una serie de insumos técnicos estratégicos orientados a fortalecer y acompañar el crecimiento del sector minero ecuatoriano, en concordancia con los lineamientos establecidos en el Plan Nacional de Desarrollo “Para un Nuevo Ecuador” 2024–2025. Estas acciones han estado encaminadas a garantizar una minería responsable, eficiente y sostenible, promoviendo inversiones, mejorando los procesos institucionales y consolidando el marco técnico y normativo que sustenta la fase de explotación minera en el país.</w:t>
      </w:r>
    </w:p>
    <w:p w14:paraId="13A322BF" w14:textId="77777777" w:rsidR="00BF001E" w:rsidRPr="00850D33" w:rsidRDefault="00BF001E" w:rsidP="00BF001E">
      <w:pPr>
        <w:jc w:val="both"/>
        <w:rPr>
          <w:rFonts w:asciiTheme="majorHAnsi" w:hAnsiTheme="majorHAnsi" w:cstheme="majorHAnsi"/>
          <w:sz w:val="22"/>
          <w:szCs w:val="22"/>
        </w:rPr>
      </w:pPr>
    </w:p>
    <w:p w14:paraId="7478A810" w14:textId="77777777" w:rsidR="00BF001E" w:rsidRPr="00850D33" w:rsidRDefault="00BF001E" w:rsidP="00BF001E">
      <w:pPr>
        <w:jc w:val="both"/>
        <w:rPr>
          <w:rFonts w:asciiTheme="majorHAnsi" w:hAnsiTheme="majorHAnsi" w:cstheme="majorHAnsi"/>
          <w:sz w:val="22"/>
          <w:szCs w:val="22"/>
        </w:rPr>
      </w:pPr>
      <w:r w:rsidRPr="00850D33">
        <w:rPr>
          <w:rFonts w:asciiTheme="majorHAnsi" w:hAnsiTheme="majorHAnsi" w:cstheme="majorHAnsi"/>
          <w:sz w:val="22"/>
          <w:szCs w:val="22"/>
        </w:rPr>
        <w:t>El presente informe de rendición de cuentas expone los principales avances alcanzados durante el período 2024, enmarcados en el Eje de Infraestructura, Energía y Medio Ambiente del Plan Nacional de Desarrollo 2024–2025, con énfasis en el Objetivo Nacional de Desarrollo 7: precautelar el uso responsable de los recursos naturales dentro de un entorno ambientalmente sostenible. Todas las acciones descritas responden a la Política 7.3, orientada a fortalecer el desarrollo responsable del sector minero mediante estrategias integrales que promuevan la sostenibilidad ambiental y social, y que impulsen el crecimiento económico del país.</w:t>
      </w:r>
    </w:p>
    <w:p w14:paraId="53D4743C" w14:textId="77777777" w:rsidR="00BF001E" w:rsidRPr="00850D33" w:rsidRDefault="00BF001E" w:rsidP="00BF001E">
      <w:pPr>
        <w:jc w:val="both"/>
        <w:rPr>
          <w:rFonts w:asciiTheme="majorHAnsi" w:hAnsiTheme="majorHAnsi" w:cstheme="majorHAnsi"/>
          <w:sz w:val="22"/>
          <w:szCs w:val="22"/>
        </w:rPr>
      </w:pPr>
    </w:p>
    <w:p w14:paraId="187BF68B" w14:textId="77777777" w:rsidR="00BF001E" w:rsidRPr="00850D33" w:rsidRDefault="00BF001E" w:rsidP="00BF001E">
      <w:pPr>
        <w:jc w:val="both"/>
        <w:rPr>
          <w:rFonts w:asciiTheme="majorHAnsi" w:hAnsiTheme="majorHAnsi" w:cstheme="majorHAnsi"/>
          <w:sz w:val="22"/>
          <w:szCs w:val="22"/>
        </w:rPr>
      </w:pPr>
      <w:r w:rsidRPr="00850D33">
        <w:rPr>
          <w:rFonts w:asciiTheme="majorHAnsi" w:hAnsiTheme="majorHAnsi" w:cstheme="majorHAnsi"/>
          <w:sz w:val="22"/>
          <w:szCs w:val="22"/>
        </w:rPr>
        <w:t>En este contexto, se detallan a continuación las principales funciones y acciones desarrolladas por la Dirección de Minería Industrial en Etapa de Explotación durante el año 2024:</w:t>
      </w:r>
    </w:p>
    <w:p w14:paraId="1B193002" w14:textId="77777777" w:rsidR="00BF001E" w:rsidRDefault="00BF001E" w:rsidP="00BF001E">
      <w:pPr>
        <w:jc w:val="both"/>
        <w:rPr>
          <w:rFonts w:eastAsiaTheme="majorEastAsia" w:cstheme="minorHAnsi"/>
          <w:color w:val="000000" w:themeColor="text1"/>
          <w:sz w:val="22"/>
          <w:szCs w:val="22"/>
        </w:rPr>
      </w:pPr>
    </w:p>
    <w:p w14:paraId="305383AF" w14:textId="77777777" w:rsidR="00BF001E" w:rsidRPr="00213F2B" w:rsidRDefault="00BF001E" w:rsidP="00213F2B">
      <w:pPr>
        <w:pStyle w:val="Ttulo4"/>
        <w:rPr>
          <w:i w:val="0"/>
          <w:sz w:val="22"/>
          <w:szCs w:val="22"/>
        </w:rPr>
      </w:pPr>
      <w:r w:rsidRPr="00213F2B">
        <w:rPr>
          <w:i w:val="0"/>
          <w:sz w:val="22"/>
          <w:szCs w:val="22"/>
        </w:rPr>
        <w:t xml:space="preserve">Firma del Contrato de Explotación Minera proyecto minero Cascabel </w:t>
      </w:r>
    </w:p>
    <w:p w14:paraId="0EEFAAF1" w14:textId="77777777" w:rsidR="00BF001E" w:rsidRPr="000312DE" w:rsidRDefault="00BF001E" w:rsidP="00BF001E"/>
    <w:p w14:paraId="1B7D9547" w14:textId="77777777" w:rsidR="00BF001E" w:rsidRDefault="00BF001E" w:rsidP="00BF001E">
      <w:pPr>
        <w:jc w:val="both"/>
        <w:rPr>
          <w:sz w:val="22"/>
        </w:rPr>
      </w:pPr>
      <w:r w:rsidRPr="003615DC">
        <w:rPr>
          <w:rFonts w:asciiTheme="majorHAnsi" w:hAnsiTheme="majorHAnsi" w:cstheme="majorHAnsi"/>
          <w:sz w:val="22"/>
        </w:rPr>
        <w:t xml:space="preserve">La Subsecretaría de Minería Industrial, a través de la Dirección de Minería Industrial en Etapa de Explotación, concretó el 5 de junio de 2024 la firma del Contrato de Explotación Minera del proyecto Cascabel, considerado un hito estratégico para el fortalecimiento del sector minero en el país. Este logro fue el resultado de un riguroso proceso de negociación precontractual que incluyó 10 sesiones de trabajo entre delegados del Ministerio de Energía y Minas y representantes del titular minero, con el respaldo de comisiones técnicas en los ámbitos legal, económico, ambiental y técnico. La firma del contrato se llevó a cabo en la Notaría Sexta del cantón Quito, con la presencia del </w:t>
      </w:r>
      <w:proofErr w:type="gramStart"/>
      <w:r w:rsidRPr="003615DC">
        <w:rPr>
          <w:rFonts w:asciiTheme="majorHAnsi" w:hAnsiTheme="majorHAnsi" w:cstheme="majorHAnsi"/>
          <w:sz w:val="22"/>
        </w:rPr>
        <w:t>Viceministro</w:t>
      </w:r>
      <w:proofErr w:type="gramEnd"/>
      <w:r w:rsidRPr="003615DC">
        <w:rPr>
          <w:rFonts w:asciiTheme="majorHAnsi" w:hAnsiTheme="majorHAnsi" w:cstheme="majorHAnsi"/>
          <w:sz w:val="22"/>
        </w:rPr>
        <w:t xml:space="preserve"> de Minas como delegado de la máxima autoridad del Ministerio, y su inscripción en el Registro Minero de la ARCOM se efectuó el 26 de junio de 2024. Este avance refleja el compromiso institucional con una gestión minera eficiente, responsable y orientada al desarrollo técnico y productivo del país</w:t>
      </w:r>
      <w:r w:rsidRPr="000312DE">
        <w:rPr>
          <w:sz w:val="22"/>
        </w:rPr>
        <w:t>.</w:t>
      </w:r>
    </w:p>
    <w:p w14:paraId="3BD48156" w14:textId="77777777" w:rsidR="00BF001E" w:rsidRPr="000312DE" w:rsidRDefault="00BF001E" w:rsidP="00BF001E">
      <w:pPr>
        <w:jc w:val="both"/>
        <w:rPr>
          <w:sz w:val="22"/>
        </w:rPr>
      </w:pPr>
    </w:p>
    <w:p w14:paraId="62729117" w14:textId="77777777" w:rsidR="00BF001E" w:rsidRPr="00091074" w:rsidRDefault="00BF001E" w:rsidP="00091074">
      <w:pPr>
        <w:pStyle w:val="Ttulo4"/>
        <w:rPr>
          <w:rStyle w:val="fadeinm1hgl8"/>
          <w:i w:val="0"/>
          <w:sz w:val="22"/>
          <w:szCs w:val="22"/>
        </w:rPr>
      </w:pPr>
      <w:r w:rsidRPr="00091074">
        <w:rPr>
          <w:rStyle w:val="fadeinm1hgl8"/>
          <w:i w:val="0"/>
          <w:sz w:val="22"/>
          <w:szCs w:val="22"/>
        </w:rPr>
        <w:t>Negociación precontractual y firma del acta de acuerdos para el Contrato de Explotación Minera del proyecto minero Cangrejos (CEM).</w:t>
      </w:r>
    </w:p>
    <w:p w14:paraId="6034F8D1" w14:textId="77777777" w:rsidR="00BF001E" w:rsidRPr="000312DE" w:rsidRDefault="00BF001E" w:rsidP="00BF001E"/>
    <w:p w14:paraId="6B3A657B" w14:textId="77777777" w:rsidR="00BF001E" w:rsidRPr="003615DC" w:rsidRDefault="00BF001E" w:rsidP="00BF001E">
      <w:pPr>
        <w:jc w:val="both"/>
        <w:rPr>
          <w:rFonts w:asciiTheme="majorHAnsi" w:hAnsiTheme="majorHAnsi" w:cstheme="majorHAnsi"/>
          <w:sz w:val="22"/>
        </w:rPr>
      </w:pPr>
      <w:r w:rsidRPr="003615DC">
        <w:rPr>
          <w:rFonts w:asciiTheme="majorHAnsi" w:hAnsiTheme="majorHAnsi" w:cstheme="majorHAnsi"/>
          <w:sz w:val="22"/>
        </w:rPr>
        <w:t xml:space="preserve">Se avanzó de manera significativa en el desarrollo del proyecto minero Cangrejos, considerado una de las iniciativas más relevantes del sector. Como parte del proceso, se llevaron a cabo mesas de trabajo técnico, legal, ambiental y económico entre el equipo del Ministerio de Energía y Minas y los representantes de la empresa titular, con el objetivo de consolidar las condiciones necesarias para la futura suscripción del Contrato de Explotación Minera. Estas reuniones se desarrollaron </w:t>
      </w:r>
      <w:r w:rsidRPr="003615DC">
        <w:rPr>
          <w:rFonts w:asciiTheme="majorHAnsi" w:hAnsiTheme="majorHAnsi" w:cstheme="majorHAnsi"/>
          <w:sz w:val="22"/>
        </w:rPr>
        <w:lastRenderedPageBreak/>
        <w:t>entre julio y noviembre de 2024 y concluyeron el 22 de noviembre con la firma del Acta de Negociación Precontractual, que representa un paso fundamental en la formalización del proyecto. Este avance refleja el compromiso institucional con una minería moderna, técnicamente sustentada y generadora de desarrollo y oportunidades para el país.</w:t>
      </w:r>
    </w:p>
    <w:p w14:paraId="3A540DAE" w14:textId="77777777" w:rsidR="00BF001E" w:rsidRPr="003615DC" w:rsidRDefault="00BF001E" w:rsidP="00BF001E">
      <w:pPr>
        <w:jc w:val="both"/>
        <w:rPr>
          <w:rFonts w:asciiTheme="majorHAnsi" w:hAnsiTheme="majorHAnsi" w:cstheme="majorHAnsi"/>
          <w:sz w:val="22"/>
        </w:rPr>
      </w:pPr>
    </w:p>
    <w:p w14:paraId="459D9890" w14:textId="77777777" w:rsidR="00BF001E" w:rsidRPr="00213F2B" w:rsidRDefault="00BF001E" w:rsidP="00213F2B">
      <w:pPr>
        <w:pStyle w:val="Ttulo4"/>
        <w:rPr>
          <w:i w:val="0"/>
          <w:sz w:val="22"/>
          <w:szCs w:val="22"/>
        </w:rPr>
      </w:pPr>
      <w:r w:rsidRPr="00213F2B">
        <w:rPr>
          <w:i w:val="0"/>
          <w:sz w:val="22"/>
          <w:szCs w:val="22"/>
        </w:rPr>
        <w:t>Informe técnico – legal emitido para la aprobación de la Adenda al Contrato de Inversión del proyecto minero Cascabel con el Ministerio de Producción Comercio Exterior Inversiones y Pesca (MPCEIP) para la Fase Exploración.</w:t>
      </w:r>
    </w:p>
    <w:p w14:paraId="49F2A9AC" w14:textId="77777777" w:rsidR="00BF001E" w:rsidRPr="003615DC" w:rsidRDefault="00BF001E" w:rsidP="00BF001E">
      <w:pPr>
        <w:rPr>
          <w:rFonts w:asciiTheme="majorHAnsi" w:hAnsiTheme="majorHAnsi" w:cstheme="majorHAnsi"/>
        </w:rPr>
      </w:pPr>
    </w:p>
    <w:p w14:paraId="030A3D5C" w14:textId="5E5CBD28" w:rsidR="00BF001E" w:rsidRDefault="00BF001E" w:rsidP="00BF001E">
      <w:pPr>
        <w:jc w:val="both"/>
        <w:rPr>
          <w:rFonts w:asciiTheme="majorHAnsi" w:hAnsiTheme="majorHAnsi" w:cstheme="majorHAnsi"/>
          <w:sz w:val="22"/>
        </w:rPr>
      </w:pPr>
      <w:r w:rsidRPr="003615DC">
        <w:rPr>
          <w:rFonts w:asciiTheme="majorHAnsi" w:hAnsiTheme="majorHAnsi" w:cstheme="majorHAnsi"/>
          <w:sz w:val="22"/>
        </w:rPr>
        <w:t>La Dirección de Minería Industrial en Etapa de Explotación participó activamente en el proceso de ajuste del Contrato de Inversión del proyecto Cascabel, en coordinación con el Ministerio de Producción, Comercio Exterior, Inversiones y Pesca (MPCEIP). En junio de 2024, a partir de un requerimiento del titular minero, se solicitó a esta Dirección la elaboración de informes técnicos y legales de alcance, los cuales fueron emitidos oportunamente para respaldar la formalización de la adenda correspondiente. Como resultado de este trabajo, el 27 de diciembre de 2024, el Comité Estratégico de Promoción y Atracción de Inversiones (CEPAI) aprobó la adenda al contrato, ajustando el monto de inversión declarado de USD 430 millones a aproximadamente USD 311,5 millones para el período 2013–2023. Esta gestión refleja el compromiso institucional con una minería responsable, transparente y técnicamente fundamentada, alineada a la realidad económica y operativa de los proyectos estratégicos del país.</w:t>
      </w:r>
    </w:p>
    <w:p w14:paraId="26D19DEB" w14:textId="77777777" w:rsidR="00213F2B" w:rsidRPr="003615DC" w:rsidRDefault="00213F2B" w:rsidP="00BF001E">
      <w:pPr>
        <w:jc w:val="both"/>
        <w:rPr>
          <w:rFonts w:asciiTheme="majorHAnsi" w:hAnsiTheme="majorHAnsi" w:cstheme="majorHAnsi"/>
          <w:sz w:val="22"/>
        </w:rPr>
      </w:pPr>
    </w:p>
    <w:p w14:paraId="3AE0ABE4" w14:textId="77777777" w:rsidR="00BF001E" w:rsidRPr="00213F2B" w:rsidRDefault="00BF001E" w:rsidP="00213F2B">
      <w:pPr>
        <w:pStyle w:val="Ttulo4"/>
        <w:rPr>
          <w:i w:val="0"/>
          <w:sz w:val="22"/>
          <w:szCs w:val="22"/>
        </w:rPr>
      </w:pPr>
      <w:r w:rsidRPr="00213F2B">
        <w:rPr>
          <w:i w:val="0"/>
          <w:sz w:val="22"/>
          <w:szCs w:val="22"/>
        </w:rPr>
        <w:t>Elaboración de Informes técnicos y legales para la solicitud de Contrato de Inversión del proyecto minero Cangrejos en coordinación con el Ministerio de Producción Comercio Exterior Inversiones y Pesca MPCEIP (MPCEIP).</w:t>
      </w:r>
    </w:p>
    <w:p w14:paraId="582F2FE2" w14:textId="77777777" w:rsidR="00BF001E" w:rsidRPr="003615DC" w:rsidRDefault="00BF001E" w:rsidP="00BF001E">
      <w:pPr>
        <w:rPr>
          <w:rFonts w:asciiTheme="majorHAnsi" w:hAnsiTheme="majorHAnsi" w:cstheme="majorHAnsi"/>
        </w:rPr>
      </w:pPr>
    </w:p>
    <w:p w14:paraId="254CCAB8" w14:textId="77777777" w:rsidR="00BF001E" w:rsidRPr="00850D33" w:rsidRDefault="00BF001E" w:rsidP="00BF001E">
      <w:pPr>
        <w:jc w:val="both"/>
        <w:rPr>
          <w:rFonts w:asciiTheme="majorHAnsi" w:hAnsiTheme="majorHAnsi" w:cstheme="majorHAnsi"/>
          <w:sz w:val="22"/>
          <w:szCs w:val="22"/>
        </w:rPr>
      </w:pPr>
      <w:r w:rsidRPr="00850D33">
        <w:rPr>
          <w:rFonts w:asciiTheme="majorHAnsi" w:hAnsiTheme="majorHAnsi" w:cstheme="majorHAnsi"/>
          <w:sz w:val="22"/>
          <w:szCs w:val="22"/>
        </w:rPr>
        <w:t xml:space="preserve">Se elaboraron los informes técnicos y legales necesarios para viabilizar la firma del Contrato de Inversión del proyecto minero Cangrejos, correspondiente a su fase de explotación y beneficio. Este trabajo se realizó en coordinación con el Ministerio de Producción, Comercio Exterior, Inversiones y Pesca (MPCEIP), en atención a la solicitud presentada en junio de 2024. Posteriormente, en octubre del mismo año, y en respuesta a nuevas observaciones del titular minero, se elaboraron los respectivos alcances técnicos, incluyendo un informe </w:t>
      </w:r>
      <w:proofErr w:type="spellStart"/>
      <w:r w:rsidRPr="00850D33">
        <w:rPr>
          <w:rFonts w:asciiTheme="majorHAnsi" w:hAnsiTheme="majorHAnsi" w:cstheme="majorHAnsi"/>
          <w:sz w:val="22"/>
          <w:szCs w:val="22"/>
        </w:rPr>
        <w:t>rectificatorio</w:t>
      </w:r>
      <w:proofErr w:type="spellEnd"/>
      <w:r w:rsidRPr="00850D33">
        <w:rPr>
          <w:rFonts w:asciiTheme="majorHAnsi" w:hAnsiTheme="majorHAnsi" w:cstheme="majorHAnsi"/>
          <w:sz w:val="22"/>
          <w:szCs w:val="22"/>
        </w:rPr>
        <w:t>, que permitió avanzar en la validación del contrato. Los trámites correspondientes continúan en desarrollo durante el año 2025. Esta gestión reafirma el compromiso institucional de brindar asistencia técnica oportuna y de acompañar con responsabilidad y transparencia los procesos vinculados a la inversión minera en el país.</w:t>
      </w:r>
    </w:p>
    <w:p w14:paraId="0E09B19D" w14:textId="77777777" w:rsidR="00BF001E" w:rsidRPr="003615DC" w:rsidRDefault="00BF001E" w:rsidP="00BF001E">
      <w:pPr>
        <w:jc w:val="both"/>
        <w:rPr>
          <w:rFonts w:asciiTheme="majorHAnsi" w:hAnsiTheme="majorHAnsi" w:cstheme="majorHAnsi"/>
        </w:rPr>
      </w:pPr>
    </w:p>
    <w:p w14:paraId="24EF936D" w14:textId="77777777" w:rsidR="00BF001E" w:rsidRPr="00091074" w:rsidRDefault="00BF001E" w:rsidP="00091074">
      <w:pPr>
        <w:pStyle w:val="Ttulo4"/>
        <w:rPr>
          <w:i w:val="0"/>
        </w:rPr>
      </w:pPr>
      <w:r w:rsidRPr="00091074">
        <w:rPr>
          <w:rStyle w:val="fadeinm1hgl8"/>
          <w:i w:val="0"/>
        </w:rPr>
        <w:t>Renovación del título minero que garantiza la continuidad del proyecto estratégico Cangrejos.</w:t>
      </w:r>
    </w:p>
    <w:p w14:paraId="15F789B4" w14:textId="77777777" w:rsidR="00BF001E" w:rsidRPr="003615DC" w:rsidRDefault="00BF001E" w:rsidP="00BF001E">
      <w:pPr>
        <w:spacing w:before="100" w:beforeAutospacing="1" w:after="100" w:afterAutospacing="1"/>
        <w:jc w:val="both"/>
        <w:rPr>
          <w:rFonts w:asciiTheme="majorHAnsi" w:eastAsia="Times New Roman" w:hAnsiTheme="majorHAnsi" w:cstheme="majorHAnsi"/>
          <w:sz w:val="22"/>
          <w:szCs w:val="22"/>
          <w:lang w:eastAsia="es-EC"/>
        </w:rPr>
      </w:pPr>
      <w:r w:rsidRPr="003615DC">
        <w:rPr>
          <w:rStyle w:val="fadeinm1hgl8"/>
          <w:rFonts w:asciiTheme="majorHAnsi" w:hAnsiTheme="majorHAnsi" w:cstheme="majorHAnsi"/>
          <w:sz w:val="22"/>
          <w:szCs w:val="22"/>
        </w:rPr>
        <w:t xml:space="preserve">La Subsecretaría de Minería Industrial en conjunto con la Dirección de Minería Industria en Etapa de Explotación, gestionó la </w:t>
      </w:r>
      <w:r w:rsidRPr="003615DC">
        <w:rPr>
          <w:rStyle w:val="fadeinm1hgl8"/>
          <w:rFonts w:asciiTheme="majorHAnsi" w:hAnsiTheme="majorHAnsi" w:cstheme="majorHAnsi"/>
          <w:bCs/>
          <w:sz w:val="22"/>
          <w:szCs w:val="22"/>
        </w:rPr>
        <w:t>renovación del título minero de la concesión denominada “Los Cangrejos”</w:t>
      </w:r>
      <w:r w:rsidRPr="003615DC">
        <w:rPr>
          <w:rStyle w:val="fadeinm1hgl8"/>
          <w:rFonts w:asciiTheme="majorHAnsi" w:hAnsiTheme="majorHAnsi" w:cstheme="majorHAnsi"/>
          <w:sz w:val="22"/>
          <w:szCs w:val="22"/>
        </w:rPr>
        <w:t xml:space="preserve">, código 2874 del proyecto minero Cangrejos, por un periodo adicional de 25 años. Esta renovación, realizada a través de la Coordinación Zonal Sur, constituye un paso fundamental para garantizar la continuidad legal y operativa del proyecto, permitiendo a la empresa titular avanzar hacia la firma del Contrato de Explotación Minera y el inicio de actividades en la fase de producción. El proyecto Cangrejos representa una de las inversiones más importantes del sector, con un CAPEX estimado de USD 1.744 millones y una vida útil proyectada de 26 años, generando beneficios fiscales para el Estado por aproximadamente USD 3.200 millones, así como exportaciones por un valor estimado de USD 20.043 millones. Este avance ratifica el compromiso </w:t>
      </w:r>
      <w:r w:rsidRPr="003615DC">
        <w:rPr>
          <w:rStyle w:val="fadeinm1hgl8"/>
          <w:rFonts w:asciiTheme="majorHAnsi" w:hAnsiTheme="majorHAnsi" w:cstheme="majorHAnsi"/>
          <w:sz w:val="22"/>
          <w:szCs w:val="22"/>
        </w:rPr>
        <w:lastRenderedPageBreak/>
        <w:t>institucional con el desarrollo de una minería responsable, moderna y generadora de valor para el país.</w:t>
      </w:r>
    </w:p>
    <w:p w14:paraId="546A6E58" w14:textId="77777777" w:rsidR="00BF001E" w:rsidRPr="00091074" w:rsidRDefault="00BF001E" w:rsidP="00091074">
      <w:pPr>
        <w:pStyle w:val="Ttulo4"/>
        <w:rPr>
          <w:rStyle w:val="fadeinm1hgl8"/>
          <w:rFonts w:cstheme="majorHAnsi"/>
        </w:rPr>
      </w:pPr>
      <w:r w:rsidRPr="00091074">
        <w:rPr>
          <w:rStyle w:val="Ttulo4Car"/>
          <w:sz w:val="22"/>
          <w:szCs w:val="22"/>
        </w:rPr>
        <w:t xml:space="preserve">Avance hacia la fase de construcción de infraestructura del proyecto minero </w:t>
      </w:r>
      <w:proofErr w:type="spellStart"/>
      <w:r w:rsidRPr="00091074">
        <w:rPr>
          <w:rStyle w:val="Ttulo4Car"/>
          <w:sz w:val="22"/>
          <w:szCs w:val="22"/>
        </w:rPr>
        <w:t>Curipamba</w:t>
      </w:r>
      <w:proofErr w:type="spellEnd"/>
      <w:r w:rsidRPr="00091074">
        <w:rPr>
          <w:rStyle w:val="fadeinm1hgl8"/>
          <w:rFonts w:cstheme="majorHAnsi"/>
        </w:rPr>
        <w:t>.</w:t>
      </w:r>
    </w:p>
    <w:p w14:paraId="12180967" w14:textId="77777777" w:rsidR="00BF001E" w:rsidRPr="003615DC" w:rsidRDefault="00BF001E" w:rsidP="00BF001E">
      <w:pPr>
        <w:spacing w:before="100" w:beforeAutospacing="1" w:after="100" w:afterAutospacing="1"/>
        <w:jc w:val="both"/>
        <w:rPr>
          <w:rFonts w:asciiTheme="majorHAnsi" w:eastAsia="Times New Roman" w:hAnsiTheme="majorHAnsi" w:cstheme="majorHAnsi"/>
          <w:sz w:val="22"/>
          <w:szCs w:val="22"/>
          <w:lang w:eastAsia="es-EC"/>
        </w:rPr>
      </w:pPr>
      <w:r w:rsidRPr="003615DC">
        <w:rPr>
          <w:rFonts w:asciiTheme="majorHAnsi" w:eastAsia="Times New Roman" w:hAnsiTheme="majorHAnsi" w:cstheme="majorHAnsi"/>
          <w:sz w:val="22"/>
          <w:szCs w:val="22"/>
          <w:lang w:eastAsia="es-EC"/>
        </w:rPr>
        <w:t xml:space="preserve">Se dio seguimiento al progreso del proyecto minero </w:t>
      </w:r>
      <w:proofErr w:type="spellStart"/>
      <w:r w:rsidRPr="003615DC">
        <w:rPr>
          <w:rFonts w:asciiTheme="majorHAnsi" w:eastAsia="Times New Roman" w:hAnsiTheme="majorHAnsi" w:cstheme="majorHAnsi"/>
          <w:bCs/>
          <w:sz w:val="22"/>
          <w:szCs w:val="22"/>
          <w:lang w:eastAsia="es-EC"/>
        </w:rPr>
        <w:t>Curipamba</w:t>
      </w:r>
      <w:proofErr w:type="spellEnd"/>
      <w:r w:rsidRPr="003615DC">
        <w:rPr>
          <w:rFonts w:asciiTheme="majorHAnsi" w:eastAsia="Times New Roman" w:hAnsiTheme="majorHAnsi" w:cstheme="majorHAnsi"/>
          <w:bCs/>
          <w:sz w:val="22"/>
          <w:szCs w:val="22"/>
          <w:lang w:eastAsia="es-EC"/>
        </w:rPr>
        <w:t xml:space="preserve"> – El Domo</w:t>
      </w:r>
      <w:r w:rsidRPr="003615DC">
        <w:rPr>
          <w:rFonts w:asciiTheme="majorHAnsi" w:eastAsia="Times New Roman" w:hAnsiTheme="majorHAnsi" w:cstheme="majorHAnsi"/>
          <w:sz w:val="22"/>
          <w:szCs w:val="22"/>
          <w:lang w:eastAsia="es-EC"/>
        </w:rPr>
        <w:t xml:space="preserve">, clasificado como de </w:t>
      </w:r>
      <w:r w:rsidRPr="003615DC">
        <w:rPr>
          <w:rFonts w:asciiTheme="majorHAnsi" w:eastAsia="Times New Roman" w:hAnsiTheme="majorHAnsi" w:cstheme="majorHAnsi"/>
          <w:bCs/>
          <w:sz w:val="22"/>
          <w:szCs w:val="22"/>
          <w:lang w:eastAsia="es-EC"/>
        </w:rPr>
        <w:t>mediana minería</w:t>
      </w:r>
      <w:r w:rsidRPr="003615DC">
        <w:rPr>
          <w:rFonts w:asciiTheme="majorHAnsi" w:eastAsia="Times New Roman" w:hAnsiTheme="majorHAnsi" w:cstheme="majorHAnsi"/>
          <w:sz w:val="22"/>
          <w:szCs w:val="22"/>
          <w:lang w:eastAsia="es-EC"/>
        </w:rPr>
        <w:t xml:space="preserve">, durante su transición hacia la fase de </w:t>
      </w:r>
      <w:r w:rsidRPr="003615DC">
        <w:rPr>
          <w:rFonts w:asciiTheme="majorHAnsi" w:eastAsia="Times New Roman" w:hAnsiTheme="majorHAnsi" w:cstheme="majorHAnsi"/>
          <w:bCs/>
          <w:sz w:val="22"/>
          <w:szCs w:val="22"/>
          <w:lang w:eastAsia="es-EC"/>
        </w:rPr>
        <w:t>construcción de infraestructura</w:t>
      </w:r>
      <w:r w:rsidRPr="003615DC">
        <w:rPr>
          <w:rFonts w:asciiTheme="majorHAnsi" w:eastAsia="Times New Roman" w:hAnsiTheme="majorHAnsi" w:cstheme="majorHAnsi"/>
          <w:sz w:val="22"/>
          <w:szCs w:val="22"/>
          <w:lang w:eastAsia="es-EC"/>
        </w:rPr>
        <w:t>. Este proyecto alcanzó hitos fundamentales para su desarrollo, entre los que destacan:</w:t>
      </w:r>
    </w:p>
    <w:p w14:paraId="3F2D6951" w14:textId="77777777" w:rsidR="00BF001E" w:rsidRPr="003615DC" w:rsidRDefault="00BF001E" w:rsidP="00BF001E">
      <w:pPr>
        <w:numPr>
          <w:ilvl w:val="0"/>
          <w:numId w:val="166"/>
        </w:numPr>
        <w:spacing w:before="100" w:beforeAutospacing="1" w:after="100" w:afterAutospacing="1"/>
        <w:jc w:val="both"/>
        <w:rPr>
          <w:rFonts w:asciiTheme="majorHAnsi" w:eastAsia="Times New Roman" w:hAnsiTheme="majorHAnsi" w:cstheme="majorHAnsi"/>
          <w:sz w:val="22"/>
          <w:szCs w:val="22"/>
          <w:lang w:eastAsia="es-EC"/>
        </w:rPr>
      </w:pPr>
      <w:r w:rsidRPr="003615DC">
        <w:rPr>
          <w:rFonts w:asciiTheme="majorHAnsi" w:eastAsia="Times New Roman" w:hAnsiTheme="majorHAnsi" w:cstheme="majorHAnsi"/>
          <w:sz w:val="22"/>
          <w:szCs w:val="22"/>
          <w:lang w:eastAsia="es-EC"/>
        </w:rPr>
        <w:t xml:space="preserve">La obtención del </w:t>
      </w:r>
      <w:r w:rsidRPr="003615DC">
        <w:rPr>
          <w:rFonts w:asciiTheme="majorHAnsi" w:eastAsia="Times New Roman" w:hAnsiTheme="majorHAnsi" w:cstheme="majorHAnsi"/>
          <w:bCs/>
          <w:sz w:val="22"/>
          <w:szCs w:val="22"/>
          <w:lang w:eastAsia="es-EC"/>
        </w:rPr>
        <w:t>Licenciamiento Ambiental para la fase de explotación y beneficio de minerales metálicos</w:t>
      </w:r>
      <w:r w:rsidRPr="003615DC">
        <w:rPr>
          <w:rFonts w:asciiTheme="majorHAnsi" w:eastAsia="Times New Roman" w:hAnsiTheme="majorHAnsi" w:cstheme="majorHAnsi"/>
          <w:sz w:val="22"/>
          <w:szCs w:val="22"/>
          <w:lang w:eastAsia="es-EC"/>
        </w:rPr>
        <w:t xml:space="preserve"> en enero de 2021.</w:t>
      </w:r>
    </w:p>
    <w:p w14:paraId="4C2E2B68" w14:textId="77777777" w:rsidR="00BF001E" w:rsidRPr="003615DC" w:rsidRDefault="00BF001E" w:rsidP="00BF001E">
      <w:pPr>
        <w:numPr>
          <w:ilvl w:val="0"/>
          <w:numId w:val="166"/>
        </w:numPr>
        <w:spacing w:before="100" w:beforeAutospacing="1" w:after="100" w:afterAutospacing="1"/>
        <w:jc w:val="both"/>
        <w:rPr>
          <w:rFonts w:asciiTheme="majorHAnsi" w:eastAsia="Times New Roman" w:hAnsiTheme="majorHAnsi" w:cstheme="majorHAnsi"/>
          <w:sz w:val="22"/>
          <w:szCs w:val="22"/>
          <w:lang w:eastAsia="es-EC"/>
        </w:rPr>
      </w:pPr>
      <w:r w:rsidRPr="003615DC">
        <w:rPr>
          <w:rFonts w:asciiTheme="majorHAnsi" w:eastAsia="Times New Roman" w:hAnsiTheme="majorHAnsi" w:cstheme="majorHAnsi"/>
          <w:sz w:val="22"/>
          <w:szCs w:val="22"/>
          <w:lang w:eastAsia="es-EC"/>
        </w:rPr>
        <w:t xml:space="preserve">La </w:t>
      </w:r>
      <w:r w:rsidRPr="003615DC">
        <w:rPr>
          <w:rFonts w:asciiTheme="majorHAnsi" w:eastAsia="Times New Roman" w:hAnsiTheme="majorHAnsi" w:cstheme="majorHAnsi"/>
          <w:bCs/>
          <w:sz w:val="22"/>
          <w:szCs w:val="22"/>
          <w:lang w:eastAsia="es-EC"/>
        </w:rPr>
        <w:t>aprobación del diseño de los depósitos de relaves (TSF/WRF2)</w:t>
      </w:r>
      <w:r w:rsidRPr="003615DC">
        <w:rPr>
          <w:rFonts w:asciiTheme="majorHAnsi" w:eastAsia="Times New Roman" w:hAnsiTheme="majorHAnsi" w:cstheme="majorHAnsi"/>
          <w:sz w:val="22"/>
          <w:szCs w:val="22"/>
          <w:lang w:eastAsia="es-EC"/>
        </w:rPr>
        <w:t xml:space="preserve"> en enero de 2024, lo cual garantiza un manejo técnico y ambientalmente seguro de los residuos generados por la actividad minera.</w:t>
      </w:r>
    </w:p>
    <w:p w14:paraId="22440C99" w14:textId="77777777" w:rsidR="00BF001E" w:rsidRPr="003615DC" w:rsidRDefault="00BF001E" w:rsidP="00BF001E">
      <w:pPr>
        <w:spacing w:before="100" w:beforeAutospacing="1" w:after="100" w:afterAutospacing="1"/>
        <w:jc w:val="both"/>
        <w:rPr>
          <w:rFonts w:asciiTheme="majorHAnsi" w:eastAsia="Times New Roman" w:hAnsiTheme="majorHAnsi" w:cstheme="majorHAnsi"/>
          <w:sz w:val="22"/>
          <w:szCs w:val="22"/>
          <w:lang w:eastAsia="es-EC"/>
        </w:rPr>
      </w:pPr>
      <w:r w:rsidRPr="003615DC">
        <w:rPr>
          <w:rFonts w:asciiTheme="majorHAnsi" w:eastAsia="Times New Roman" w:hAnsiTheme="majorHAnsi" w:cstheme="majorHAnsi"/>
          <w:sz w:val="22"/>
          <w:szCs w:val="22"/>
          <w:lang w:eastAsia="es-EC"/>
        </w:rPr>
        <w:t xml:space="preserve">Finalmente, el 2 de agosto de 2024, el proyecto ingresó oficialmente a la </w:t>
      </w:r>
      <w:r w:rsidRPr="003615DC">
        <w:rPr>
          <w:rFonts w:asciiTheme="majorHAnsi" w:eastAsia="Times New Roman" w:hAnsiTheme="majorHAnsi" w:cstheme="majorHAnsi"/>
          <w:bCs/>
          <w:sz w:val="22"/>
          <w:szCs w:val="22"/>
          <w:lang w:eastAsia="es-EC"/>
        </w:rPr>
        <w:t>fase de explotación</w:t>
      </w:r>
      <w:r w:rsidRPr="003615DC">
        <w:rPr>
          <w:rFonts w:asciiTheme="majorHAnsi" w:eastAsia="Times New Roman" w:hAnsiTheme="majorHAnsi" w:cstheme="majorHAnsi"/>
          <w:sz w:val="22"/>
          <w:szCs w:val="22"/>
          <w:lang w:eastAsia="es-EC"/>
        </w:rPr>
        <w:t xml:space="preserve">, lo que habilitó el inicio del proceso de construcción de infraestructura, previsto para el </w:t>
      </w:r>
      <w:r w:rsidRPr="003615DC">
        <w:rPr>
          <w:rFonts w:asciiTheme="majorHAnsi" w:eastAsia="Times New Roman" w:hAnsiTheme="majorHAnsi" w:cstheme="majorHAnsi"/>
          <w:bCs/>
          <w:sz w:val="22"/>
          <w:szCs w:val="22"/>
          <w:lang w:eastAsia="es-EC"/>
        </w:rPr>
        <w:t>primer semestre de 2025</w:t>
      </w:r>
      <w:r w:rsidRPr="003615DC">
        <w:rPr>
          <w:rFonts w:asciiTheme="majorHAnsi" w:eastAsia="Times New Roman" w:hAnsiTheme="majorHAnsi" w:cstheme="majorHAnsi"/>
          <w:sz w:val="22"/>
          <w:szCs w:val="22"/>
          <w:lang w:eastAsia="es-EC"/>
        </w:rPr>
        <w:t>.</w:t>
      </w:r>
    </w:p>
    <w:p w14:paraId="4DA8937B" w14:textId="23A8FB78" w:rsidR="00E76426" w:rsidRPr="003615DC" w:rsidRDefault="00BF001E" w:rsidP="00BF001E">
      <w:pPr>
        <w:spacing w:before="100" w:beforeAutospacing="1" w:after="100" w:afterAutospacing="1"/>
        <w:jc w:val="both"/>
        <w:rPr>
          <w:rFonts w:asciiTheme="majorHAnsi" w:eastAsia="Times New Roman" w:hAnsiTheme="majorHAnsi" w:cstheme="majorHAnsi"/>
          <w:sz w:val="22"/>
          <w:szCs w:val="22"/>
          <w:lang w:eastAsia="es-EC"/>
        </w:rPr>
      </w:pPr>
      <w:r w:rsidRPr="003615DC">
        <w:rPr>
          <w:rFonts w:asciiTheme="majorHAnsi" w:eastAsia="Times New Roman" w:hAnsiTheme="majorHAnsi" w:cstheme="majorHAnsi"/>
          <w:sz w:val="22"/>
          <w:szCs w:val="22"/>
          <w:lang w:eastAsia="es-EC"/>
        </w:rPr>
        <w:t>Con una inversión estimada (</w:t>
      </w:r>
      <w:r w:rsidRPr="003615DC">
        <w:rPr>
          <w:rFonts w:asciiTheme="majorHAnsi" w:eastAsia="Times New Roman" w:hAnsiTheme="majorHAnsi" w:cstheme="majorHAnsi"/>
          <w:bCs/>
          <w:sz w:val="22"/>
          <w:szCs w:val="22"/>
          <w:lang w:eastAsia="es-EC"/>
        </w:rPr>
        <w:t>CAPEX</w:t>
      </w:r>
      <w:r w:rsidRPr="003615DC">
        <w:rPr>
          <w:rFonts w:asciiTheme="majorHAnsi" w:eastAsia="Times New Roman" w:hAnsiTheme="majorHAnsi" w:cstheme="majorHAnsi"/>
          <w:sz w:val="22"/>
          <w:szCs w:val="22"/>
          <w:lang w:eastAsia="es-EC"/>
        </w:rPr>
        <w:t xml:space="preserve">) de </w:t>
      </w:r>
      <w:r w:rsidRPr="003615DC">
        <w:rPr>
          <w:rFonts w:asciiTheme="majorHAnsi" w:eastAsia="Times New Roman" w:hAnsiTheme="majorHAnsi" w:cstheme="majorHAnsi"/>
          <w:bCs/>
          <w:sz w:val="22"/>
          <w:szCs w:val="22"/>
          <w:lang w:eastAsia="es-EC"/>
        </w:rPr>
        <w:t>USD 323 millones</w:t>
      </w:r>
      <w:r w:rsidRPr="003615DC">
        <w:rPr>
          <w:rFonts w:asciiTheme="majorHAnsi" w:eastAsia="Times New Roman" w:hAnsiTheme="majorHAnsi" w:cstheme="majorHAnsi"/>
          <w:sz w:val="22"/>
          <w:szCs w:val="22"/>
          <w:lang w:eastAsia="es-EC"/>
        </w:rPr>
        <w:t xml:space="preserve"> y una </w:t>
      </w:r>
      <w:r w:rsidRPr="003615DC">
        <w:rPr>
          <w:rFonts w:asciiTheme="majorHAnsi" w:eastAsia="Times New Roman" w:hAnsiTheme="majorHAnsi" w:cstheme="majorHAnsi"/>
          <w:bCs/>
          <w:sz w:val="22"/>
          <w:szCs w:val="22"/>
          <w:lang w:eastAsia="es-EC"/>
        </w:rPr>
        <w:t>vida útil proyectada de 10 años</w:t>
      </w:r>
      <w:r w:rsidRPr="003615DC">
        <w:rPr>
          <w:rFonts w:asciiTheme="majorHAnsi" w:eastAsia="Times New Roman" w:hAnsiTheme="majorHAnsi" w:cstheme="majorHAnsi"/>
          <w:sz w:val="22"/>
          <w:szCs w:val="22"/>
          <w:lang w:eastAsia="es-EC"/>
        </w:rPr>
        <w:t xml:space="preserve">, se estima que este proyecto generará </w:t>
      </w:r>
      <w:r w:rsidRPr="003615DC">
        <w:rPr>
          <w:rFonts w:asciiTheme="majorHAnsi" w:eastAsia="Times New Roman" w:hAnsiTheme="majorHAnsi" w:cstheme="majorHAnsi"/>
          <w:bCs/>
          <w:sz w:val="22"/>
          <w:szCs w:val="22"/>
          <w:lang w:eastAsia="es-EC"/>
        </w:rPr>
        <w:t>beneficios fiscales para el Estado por USD 376 millones</w:t>
      </w:r>
      <w:r w:rsidRPr="003615DC">
        <w:rPr>
          <w:rFonts w:asciiTheme="majorHAnsi" w:eastAsia="Times New Roman" w:hAnsiTheme="majorHAnsi" w:cstheme="majorHAnsi"/>
          <w:sz w:val="22"/>
          <w:szCs w:val="22"/>
          <w:lang w:eastAsia="es-EC"/>
        </w:rPr>
        <w:t xml:space="preserve"> y </w:t>
      </w:r>
      <w:r w:rsidRPr="003615DC">
        <w:rPr>
          <w:rFonts w:asciiTheme="majorHAnsi" w:eastAsia="Times New Roman" w:hAnsiTheme="majorHAnsi" w:cstheme="majorHAnsi"/>
          <w:bCs/>
          <w:sz w:val="22"/>
          <w:szCs w:val="22"/>
          <w:lang w:eastAsia="es-EC"/>
        </w:rPr>
        <w:t>exportaciones por USD 1.478 millones</w:t>
      </w:r>
      <w:r w:rsidRPr="003615DC">
        <w:rPr>
          <w:rFonts w:asciiTheme="majorHAnsi" w:eastAsia="Times New Roman" w:hAnsiTheme="majorHAnsi" w:cstheme="majorHAnsi"/>
          <w:sz w:val="22"/>
          <w:szCs w:val="22"/>
          <w:lang w:eastAsia="es-EC"/>
        </w:rPr>
        <w:t xml:space="preserve">, consolidándose como un </w:t>
      </w:r>
      <w:r w:rsidRPr="003615DC">
        <w:rPr>
          <w:rFonts w:asciiTheme="majorHAnsi" w:eastAsia="Times New Roman" w:hAnsiTheme="majorHAnsi" w:cstheme="majorHAnsi"/>
          <w:bCs/>
          <w:sz w:val="22"/>
          <w:szCs w:val="22"/>
          <w:lang w:eastAsia="es-EC"/>
        </w:rPr>
        <w:t>aporte significativo al desarrollo de una minería responsable y sostenible en el país</w:t>
      </w:r>
      <w:r w:rsidRPr="003615DC">
        <w:rPr>
          <w:rFonts w:asciiTheme="majorHAnsi" w:eastAsia="Times New Roman" w:hAnsiTheme="majorHAnsi" w:cstheme="majorHAnsi"/>
          <w:sz w:val="22"/>
          <w:szCs w:val="22"/>
          <w:lang w:eastAsia="es-EC"/>
        </w:rPr>
        <w:t>.</w:t>
      </w:r>
    </w:p>
    <w:p w14:paraId="396BD3E3" w14:textId="77777777" w:rsidR="00BF001E" w:rsidRPr="00213F2B" w:rsidRDefault="00BF001E" w:rsidP="00213F2B">
      <w:pPr>
        <w:pStyle w:val="Ttulo4"/>
        <w:rPr>
          <w:i w:val="0"/>
          <w:sz w:val="22"/>
          <w:szCs w:val="22"/>
        </w:rPr>
      </w:pPr>
      <w:r w:rsidRPr="00213F2B">
        <w:rPr>
          <w:i w:val="0"/>
          <w:sz w:val="22"/>
          <w:szCs w:val="22"/>
        </w:rPr>
        <w:t>Programa de Gestión Sostenible del Sector Estratégico de Energía y Recursos Naturales No Renovables e Infraestructura Asociada.</w:t>
      </w:r>
    </w:p>
    <w:p w14:paraId="78AC79C3" w14:textId="77777777" w:rsidR="00BF001E" w:rsidRPr="003615DC" w:rsidRDefault="00BF001E" w:rsidP="00BF001E">
      <w:pPr>
        <w:pStyle w:val="Prrafodelista"/>
        <w:autoSpaceDE w:val="0"/>
        <w:autoSpaceDN w:val="0"/>
        <w:adjustRightInd w:val="0"/>
        <w:rPr>
          <w:rFonts w:asciiTheme="majorHAnsi" w:hAnsiTheme="majorHAnsi" w:cstheme="majorHAnsi"/>
          <w:b/>
          <w:bCs/>
        </w:rPr>
      </w:pPr>
    </w:p>
    <w:p w14:paraId="0BC826ED" w14:textId="77777777" w:rsidR="00BF001E" w:rsidRPr="003615DC" w:rsidRDefault="00BF001E" w:rsidP="00BF001E">
      <w:pPr>
        <w:autoSpaceDE w:val="0"/>
        <w:autoSpaceDN w:val="0"/>
        <w:adjustRightInd w:val="0"/>
        <w:jc w:val="both"/>
        <w:rPr>
          <w:rFonts w:asciiTheme="majorHAnsi" w:hAnsiTheme="majorHAnsi" w:cstheme="majorHAnsi"/>
          <w:sz w:val="22"/>
          <w:szCs w:val="22"/>
        </w:rPr>
      </w:pPr>
      <w:r w:rsidRPr="003615DC">
        <w:rPr>
          <w:rStyle w:val="fadeinm1hgl8"/>
          <w:rFonts w:asciiTheme="majorHAnsi" w:hAnsiTheme="majorHAnsi" w:cstheme="majorHAnsi"/>
          <w:sz w:val="22"/>
          <w:szCs w:val="22"/>
        </w:rPr>
        <w:t xml:space="preserve">La Subsecretaría de Minería Industrial, a través de la Dirección de Minería Industrial en Etapa de Explotación, ha participado activamente en la ejecución del </w:t>
      </w:r>
      <w:r w:rsidRPr="003615DC">
        <w:rPr>
          <w:rStyle w:val="fadeinm1hgl8"/>
          <w:rFonts w:asciiTheme="majorHAnsi" w:hAnsiTheme="majorHAnsi" w:cstheme="majorHAnsi"/>
          <w:bCs/>
          <w:sz w:val="22"/>
          <w:szCs w:val="22"/>
        </w:rPr>
        <w:t>Programa de Gestión Sostenible del Sector Estratégico de Energía y Recursos Naturales No Renovables e Infraestructura Asociada</w:t>
      </w:r>
      <w:r w:rsidRPr="003615DC">
        <w:rPr>
          <w:rStyle w:val="fadeinm1hgl8"/>
          <w:rFonts w:asciiTheme="majorHAnsi" w:hAnsiTheme="majorHAnsi" w:cstheme="majorHAnsi"/>
          <w:sz w:val="22"/>
          <w:szCs w:val="22"/>
        </w:rPr>
        <w:t xml:space="preserve">, financiado mediante el </w:t>
      </w:r>
      <w:r w:rsidRPr="003615DC">
        <w:rPr>
          <w:rStyle w:val="fadeinm1hgl8"/>
          <w:rFonts w:asciiTheme="majorHAnsi" w:hAnsiTheme="majorHAnsi" w:cstheme="majorHAnsi"/>
          <w:bCs/>
          <w:sz w:val="22"/>
          <w:szCs w:val="22"/>
        </w:rPr>
        <w:t>Préstamo N.º 4989/OC-EC suscrito entre el Estado ecuatoriano y el Banco Interamericano de Desarrollo (BID)</w:t>
      </w:r>
      <w:r w:rsidRPr="003615DC">
        <w:rPr>
          <w:rStyle w:val="fadeinm1hgl8"/>
          <w:rFonts w:asciiTheme="majorHAnsi" w:hAnsiTheme="majorHAnsi" w:cstheme="majorHAnsi"/>
          <w:sz w:val="22"/>
          <w:szCs w:val="22"/>
        </w:rPr>
        <w:t>. Este programa, que tiene como organismo ejecutor al Ministerio de Energía y Minas, contempla su implementación hasta el año 2025.</w:t>
      </w:r>
    </w:p>
    <w:p w14:paraId="188A19F5" w14:textId="77777777" w:rsidR="00BF001E" w:rsidRPr="003615DC" w:rsidRDefault="00BF001E" w:rsidP="00BF001E">
      <w:pPr>
        <w:pStyle w:val="NormalWeb"/>
        <w:jc w:val="both"/>
        <w:rPr>
          <w:rFonts w:asciiTheme="majorHAnsi" w:hAnsiTheme="majorHAnsi" w:cstheme="majorHAnsi"/>
          <w:sz w:val="22"/>
          <w:szCs w:val="22"/>
        </w:rPr>
      </w:pPr>
      <w:r w:rsidRPr="003615DC">
        <w:rPr>
          <w:rStyle w:val="fadeinm1hgl8"/>
          <w:rFonts w:asciiTheme="majorHAnsi" w:hAnsiTheme="majorHAnsi" w:cstheme="majorHAnsi"/>
          <w:sz w:val="22"/>
          <w:szCs w:val="22"/>
        </w:rPr>
        <w:t xml:space="preserve">En el marco de este programa, se gestionaron diversas acciones clave como: la </w:t>
      </w:r>
      <w:r w:rsidRPr="003615DC">
        <w:rPr>
          <w:rStyle w:val="fadeinm1hgl8"/>
          <w:rFonts w:asciiTheme="majorHAnsi" w:hAnsiTheme="majorHAnsi" w:cstheme="majorHAnsi"/>
          <w:bCs/>
          <w:sz w:val="22"/>
          <w:szCs w:val="22"/>
        </w:rPr>
        <w:t>suscripción del contrato de consultoría N.º 35-MEM-BID-2024</w:t>
      </w:r>
      <w:r w:rsidRPr="003615DC">
        <w:rPr>
          <w:rStyle w:val="fadeinm1hgl8"/>
          <w:rFonts w:asciiTheme="majorHAnsi" w:hAnsiTheme="majorHAnsi" w:cstheme="majorHAnsi"/>
          <w:sz w:val="22"/>
          <w:szCs w:val="22"/>
        </w:rPr>
        <w:t xml:space="preserve"> para la incorporación de un técnico especializado; la </w:t>
      </w:r>
      <w:r w:rsidRPr="003615DC">
        <w:rPr>
          <w:rStyle w:val="fadeinm1hgl8"/>
          <w:rFonts w:asciiTheme="majorHAnsi" w:hAnsiTheme="majorHAnsi" w:cstheme="majorHAnsi"/>
          <w:bCs/>
          <w:sz w:val="22"/>
          <w:szCs w:val="22"/>
        </w:rPr>
        <w:t>adquisición de vehículos y equipos para fortalecer los procesos de fiscalización minera</w:t>
      </w:r>
      <w:r w:rsidRPr="003615DC">
        <w:rPr>
          <w:rStyle w:val="fadeinm1hgl8"/>
          <w:rFonts w:asciiTheme="majorHAnsi" w:hAnsiTheme="majorHAnsi" w:cstheme="majorHAnsi"/>
          <w:sz w:val="22"/>
          <w:szCs w:val="22"/>
        </w:rPr>
        <w:t xml:space="preserve">, formalizados mediante resoluciones emitidas en noviembre de 2024; y la </w:t>
      </w:r>
      <w:r w:rsidRPr="003615DC">
        <w:rPr>
          <w:rStyle w:val="fadeinm1hgl8"/>
          <w:rFonts w:asciiTheme="majorHAnsi" w:hAnsiTheme="majorHAnsi" w:cstheme="majorHAnsi"/>
          <w:bCs/>
          <w:sz w:val="22"/>
          <w:szCs w:val="22"/>
        </w:rPr>
        <w:t>aprobación y publicación de los Términos de Referencia (TDR)</w:t>
      </w:r>
      <w:r w:rsidRPr="003615DC">
        <w:rPr>
          <w:rStyle w:val="fadeinm1hgl8"/>
          <w:rFonts w:asciiTheme="majorHAnsi" w:hAnsiTheme="majorHAnsi" w:cstheme="majorHAnsi"/>
          <w:sz w:val="22"/>
          <w:szCs w:val="22"/>
        </w:rPr>
        <w:t xml:space="preserve"> para el diseño e implementación de un programa de capacitación dirigido a servidores públicos del sector minero y energético. Asimismo, se avanzó en el </w:t>
      </w:r>
      <w:r w:rsidRPr="003615DC">
        <w:rPr>
          <w:rStyle w:val="fadeinm1hgl8"/>
          <w:rFonts w:asciiTheme="majorHAnsi" w:hAnsiTheme="majorHAnsi" w:cstheme="majorHAnsi"/>
          <w:bCs/>
          <w:sz w:val="22"/>
          <w:szCs w:val="22"/>
        </w:rPr>
        <w:t>desarrollo y actualización del marco normativo minero</w:t>
      </w:r>
      <w:r w:rsidRPr="003615DC">
        <w:rPr>
          <w:rStyle w:val="fadeinm1hgl8"/>
          <w:rFonts w:asciiTheme="majorHAnsi" w:hAnsiTheme="majorHAnsi" w:cstheme="majorHAnsi"/>
          <w:sz w:val="22"/>
          <w:szCs w:val="22"/>
        </w:rPr>
        <w:t>, con la convocatoria oficial a empresas consultoras y la conformación del equipo técnico responsable de evaluar las propuestas. Estas acciones contribuyen al fortalecimiento institucional, al desarrollo de capacidades y a la mejora de los mecanismos de control y regulación del sector minero, en el marco de una gestión técnica, transparente y orientada a la sostenibilidad.</w:t>
      </w:r>
    </w:p>
    <w:p w14:paraId="32CDF68E" w14:textId="5618FEAD" w:rsidR="00BF001E" w:rsidRDefault="00BF001E" w:rsidP="00941411">
      <w:pPr>
        <w:pStyle w:val="Ttulo2"/>
        <w:rPr>
          <w:sz w:val="24"/>
          <w:szCs w:val="24"/>
        </w:rPr>
      </w:pPr>
      <w:bookmarkStart w:id="205" w:name="_Toc197425651"/>
      <w:bookmarkStart w:id="206" w:name="_Toc199759565"/>
      <w:r w:rsidRPr="00941411">
        <w:rPr>
          <w:sz w:val="24"/>
          <w:szCs w:val="24"/>
        </w:rPr>
        <w:t xml:space="preserve">Gestión </w:t>
      </w:r>
      <w:bookmarkStart w:id="207" w:name="_Toc157507028"/>
      <w:bookmarkStart w:id="208" w:name="_Toc157422739"/>
      <w:bookmarkStart w:id="209" w:name="_Toc127542747"/>
      <w:r w:rsidRPr="00941411">
        <w:rPr>
          <w:sz w:val="24"/>
          <w:szCs w:val="24"/>
        </w:rPr>
        <w:t>Subsecretaria De Pequeña Minería Y Minería Artesanal</w:t>
      </w:r>
      <w:bookmarkEnd w:id="205"/>
      <w:bookmarkEnd w:id="206"/>
      <w:bookmarkEnd w:id="207"/>
      <w:bookmarkEnd w:id="208"/>
      <w:bookmarkEnd w:id="209"/>
    </w:p>
    <w:p w14:paraId="17EF0DD0" w14:textId="77777777" w:rsidR="00941411" w:rsidRPr="00941411" w:rsidRDefault="00941411" w:rsidP="00941411"/>
    <w:p w14:paraId="227866A0" w14:textId="77777777"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Dentro de la estructura de la Subsecretaría de Pequeña Minería y Minería Artesanal se encuentran las siguientes direcciones:</w:t>
      </w:r>
    </w:p>
    <w:p w14:paraId="0005D515" w14:textId="77777777" w:rsidR="00BF001E" w:rsidRPr="003615DC" w:rsidRDefault="00BF001E" w:rsidP="00BF001E">
      <w:pPr>
        <w:jc w:val="both"/>
        <w:rPr>
          <w:rFonts w:asciiTheme="majorHAnsi" w:hAnsiTheme="majorHAnsi" w:cstheme="majorHAnsi"/>
          <w:sz w:val="22"/>
          <w:szCs w:val="22"/>
        </w:rPr>
      </w:pPr>
    </w:p>
    <w:p w14:paraId="7ACC28A5" w14:textId="77777777" w:rsidR="00BF001E" w:rsidRPr="003615DC" w:rsidRDefault="00BF001E" w:rsidP="00BF001E">
      <w:pPr>
        <w:pStyle w:val="Prrafodelista"/>
        <w:numPr>
          <w:ilvl w:val="0"/>
          <w:numId w:val="176"/>
        </w:numPr>
        <w:jc w:val="both"/>
        <w:rPr>
          <w:rFonts w:asciiTheme="majorHAnsi" w:hAnsiTheme="majorHAnsi" w:cstheme="majorHAnsi"/>
          <w:sz w:val="22"/>
          <w:szCs w:val="22"/>
        </w:rPr>
      </w:pPr>
      <w:r w:rsidRPr="003615DC">
        <w:rPr>
          <w:rFonts w:asciiTheme="majorHAnsi" w:hAnsiTheme="majorHAnsi" w:cstheme="majorHAnsi"/>
          <w:sz w:val="22"/>
          <w:szCs w:val="22"/>
        </w:rPr>
        <w:lastRenderedPageBreak/>
        <w:t xml:space="preserve">Dirección de Pequeña Minería </w:t>
      </w:r>
    </w:p>
    <w:p w14:paraId="05402D9E" w14:textId="77777777" w:rsidR="00BF001E" w:rsidRPr="003615DC" w:rsidRDefault="00BF001E" w:rsidP="00BF001E">
      <w:pPr>
        <w:pStyle w:val="Prrafodelista"/>
        <w:numPr>
          <w:ilvl w:val="0"/>
          <w:numId w:val="176"/>
        </w:numPr>
        <w:jc w:val="both"/>
        <w:rPr>
          <w:rFonts w:asciiTheme="majorHAnsi" w:hAnsiTheme="majorHAnsi" w:cstheme="majorHAnsi"/>
          <w:sz w:val="22"/>
          <w:szCs w:val="22"/>
        </w:rPr>
      </w:pPr>
      <w:r w:rsidRPr="003615DC">
        <w:rPr>
          <w:rFonts w:asciiTheme="majorHAnsi" w:hAnsiTheme="majorHAnsi" w:cstheme="majorHAnsi"/>
          <w:sz w:val="22"/>
          <w:szCs w:val="22"/>
        </w:rPr>
        <w:t>Dirección de Minería Artesanal</w:t>
      </w:r>
    </w:p>
    <w:p w14:paraId="0A22C86A" w14:textId="77777777" w:rsidR="00BF001E" w:rsidRPr="003A269C" w:rsidRDefault="00BF001E" w:rsidP="003A269C">
      <w:pPr>
        <w:ind w:left="360"/>
        <w:jc w:val="both"/>
        <w:rPr>
          <w:rFonts w:asciiTheme="majorHAnsi" w:hAnsiTheme="majorHAnsi" w:cstheme="majorHAnsi"/>
          <w:sz w:val="22"/>
          <w:szCs w:val="22"/>
        </w:rPr>
      </w:pPr>
    </w:p>
    <w:p w14:paraId="736F3EF4" w14:textId="77777777"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 xml:space="preserve">las cuales cumplen funciones especializadas y complementarias orientadas a regular, acompañar y fortalecer el desarrollo técnico, social y ambiental de estas modalidades de minería en el país. </w:t>
      </w:r>
    </w:p>
    <w:p w14:paraId="0DCF1C8A" w14:textId="77777777" w:rsidR="00BF001E" w:rsidRPr="003615DC" w:rsidRDefault="00BF001E" w:rsidP="00BF001E">
      <w:pPr>
        <w:jc w:val="both"/>
        <w:rPr>
          <w:rFonts w:asciiTheme="majorHAnsi" w:hAnsiTheme="majorHAnsi" w:cstheme="majorHAnsi"/>
          <w:sz w:val="22"/>
          <w:szCs w:val="22"/>
        </w:rPr>
      </w:pPr>
    </w:p>
    <w:p w14:paraId="115D4408" w14:textId="440C5A3F" w:rsidR="00BF001E" w:rsidRDefault="00BF001E" w:rsidP="00850D33">
      <w:pPr>
        <w:jc w:val="both"/>
        <w:rPr>
          <w:rFonts w:asciiTheme="majorHAnsi" w:hAnsiTheme="majorHAnsi" w:cstheme="majorHAnsi"/>
          <w:sz w:val="22"/>
          <w:szCs w:val="22"/>
        </w:rPr>
      </w:pPr>
      <w:r w:rsidRPr="003615DC">
        <w:rPr>
          <w:rFonts w:asciiTheme="majorHAnsi" w:hAnsiTheme="majorHAnsi" w:cstheme="majorHAnsi"/>
          <w:sz w:val="22"/>
          <w:szCs w:val="22"/>
        </w:rPr>
        <w:t xml:space="preserve">La </w:t>
      </w:r>
      <w:r w:rsidRPr="003615DC">
        <w:rPr>
          <w:rFonts w:asciiTheme="majorHAnsi" w:hAnsiTheme="majorHAnsi" w:cstheme="majorHAnsi"/>
          <w:b/>
          <w:sz w:val="22"/>
          <w:szCs w:val="22"/>
        </w:rPr>
        <w:t>Dirección de Pequeña minería</w:t>
      </w:r>
      <w:r w:rsidRPr="003615DC">
        <w:rPr>
          <w:rFonts w:asciiTheme="majorHAnsi" w:hAnsiTheme="majorHAnsi" w:cstheme="majorHAnsi"/>
          <w:sz w:val="22"/>
          <w:szCs w:val="22"/>
        </w:rPr>
        <w:t xml:space="preserve"> Gestiona el cumplimiento de la Política Pública Minera, a través de la generación e implementación de metodología, instrumentos y soporte técnico necesarios para promover el desarrollo responsable y sustentable de las actividades de pequeña minería como alternativa para generar oportunidades laborales y encadenamientos productivos a partir de la activación de las economías locales en los sectores en los que se realiza.</w:t>
      </w:r>
    </w:p>
    <w:p w14:paraId="18DF50C2" w14:textId="77777777" w:rsidR="00BF001E" w:rsidRPr="003615DC" w:rsidRDefault="00BF001E" w:rsidP="00BF001E">
      <w:pPr>
        <w:jc w:val="both"/>
        <w:rPr>
          <w:rFonts w:asciiTheme="majorHAnsi" w:hAnsiTheme="majorHAnsi" w:cstheme="majorHAnsi"/>
          <w:sz w:val="22"/>
          <w:szCs w:val="22"/>
        </w:rPr>
      </w:pPr>
    </w:p>
    <w:p w14:paraId="4A29DB0C" w14:textId="77777777" w:rsidR="00BF001E" w:rsidRPr="00213F2B" w:rsidRDefault="00BF001E" w:rsidP="00213F2B">
      <w:pPr>
        <w:pStyle w:val="Ttulo4"/>
        <w:rPr>
          <w:i w:val="0"/>
          <w:sz w:val="22"/>
          <w:szCs w:val="22"/>
        </w:rPr>
      </w:pPr>
      <w:bookmarkStart w:id="210" w:name="_Toc157507029"/>
      <w:bookmarkStart w:id="211" w:name="_Toc157422740"/>
      <w:bookmarkStart w:id="212" w:name="_Toc109120561"/>
      <w:bookmarkStart w:id="213" w:name="_Toc127542748"/>
      <w:r w:rsidRPr="00213F2B">
        <w:rPr>
          <w:i w:val="0"/>
          <w:sz w:val="22"/>
          <w:szCs w:val="22"/>
        </w:rPr>
        <w:t>Sustanciación De Trámites Pendientes</w:t>
      </w:r>
      <w:bookmarkEnd w:id="210"/>
      <w:bookmarkEnd w:id="211"/>
      <w:bookmarkEnd w:id="212"/>
      <w:bookmarkEnd w:id="213"/>
      <w:r w:rsidRPr="00213F2B">
        <w:rPr>
          <w:i w:val="0"/>
          <w:sz w:val="22"/>
          <w:szCs w:val="22"/>
        </w:rPr>
        <w:t xml:space="preserve"> </w:t>
      </w:r>
    </w:p>
    <w:p w14:paraId="42C53A85" w14:textId="77777777" w:rsidR="00BF001E" w:rsidRPr="003615DC" w:rsidRDefault="00BF001E" w:rsidP="00BF001E">
      <w:pPr>
        <w:rPr>
          <w:rFonts w:asciiTheme="majorHAnsi" w:hAnsiTheme="majorHAnsi" w:cstheme="majorHAnsi"/>
          <w:sz w:val="22"/>
          <w:szCs w:val="22"/>
        </w:rPr>
      </w:pPr>
    </w:p>
    <w:p w14:paraId="2362CE05" w14:textId="77777777"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Alineados al Plan Nacional de Desarrollo 2024-2025, específicamente al Eje de Infraestructura, energía y medio ambiente; y, el Objetivo Nacional de Desarrollo “7. Precautelar el uso responsable de los recursos naturales con un entorno ambientalmente sostenible”, el Viceministerio de Minas emitió nuevas directrices para agilizar los trámites que se encontraban pendientes.</w:t>
      </w:r>
    </w:p>
    <w:p w14:paraId="20865728" w14:textId="77777777" w:rsidR="00BF001E" w:rsidRPr="003615DC" w:rsidRDefault="00BF001E" w:rsidP="00BF001E">
      <w:pPr>
        <w:jc w:val="both"/>
        <w:rPr>
          <w:rFonts w:asciiTheme="majorHAnsi" w:hAnsiTheme="majorHAnsi" w:cstheme="majorHAnsi"/>
          <w:sz w:val="22"/>
          <w:szCs w:val="22"/>
        </w:rPr>
      </w:pPr>
    </w:p>
    <w:p w14:paraId="5CCA5BFE" w14:textId="77777777"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 xml:space="preserve">Como parte del trabajo realizado por el Ministerio de Energía y Minas, en atención a las directrices emitidas, se identificaron un total de 384 solicitudes pendientes de trámite en la Subsecretaría de Minería Artesanal y Pequeña Minería. </w:t>
      </w:r>
    </w:p>
    <w:p w14:paraId="5A37FD88" w14:textId="77777777" w:rsidR="00BF001E" w:rsidRPr="003615DC" w:rsidRDefault="00BF001E" w:rsidP="00BF001E">
      <w:pPr>
        <w:jc w:val="both"/>
        <w:rPr>
          <w:rFonts w:asciiTheme="majorHAnsi" w:hAnsiTheme="majorHAnsi" w:cstheme="majorHAnsi"/>
          <w:sz w:val="22"/>
          <w:szCs w:val="22"/>
        </w:rPr>
      </w:pPr>
    </w:p>
    <w:p w14:paraId="06846A40" w14:textId="06C163C8"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De acuerdo con las directrices, si la solicitud fue ingresada entre marzo de 2016 y el 24 de enero de 2018 para concesiones bajo el Régimen Especial de Pequeña Minería Metálica, la Subsecretaría de Minería Artesanal y Pequeña Minería solicitó actualización de la documentación que perdió vigencia, para asegurar que los procesos avancen correctamente y cumplan con la regulación vigente. Los requisitos específicos se encuentran en los Acuerdos Ministeriales No. 002-2016 y No. 019-2017.</w:t>
      </w:r>
    </w:p>
    <w:p w14:paraId="20ECDDBD" w14:textId="77777777" w:rsidR="00BF001E" w:rsidRPr="003615DC" w:rsidRDefault="00BF001E" w:rsidP="00BF001E">
      <w:pPr>
        <w:jc w:val="both"/>
        <w:rPr>
          <w:rFonts w:asciiTheme="majorHAnsi" w:hAnsiTheme="majorHAnsi" w:cstheme="majorHAnsi"/>
          <w:sz w:val="22"/>
          <w:szCs w:val="22"/>
        </w:rPr>
      </w:pPr>
    </w:p>
    <w:p w14:paraId="3A034FE3" w14:textId="7A8CD01A" w:rsidR="00BF001E" w:rsidRPr="003615DC" w:rsidRDefault="00BF001E" w:rsidP="00BF001E">
      <w:pPr>
        <w:pStyle w:val="Descripcin"/>
        <w:rPr>
          <w:rFonts w:asciiTheme="majorHAnsi" w:hAnsiTheme="majorHAnsi" w:cstheme="majorHAnsi"/>
          <w:bCs/>
          <w:sz w:val="22"/>
          <w:szCs w:val="22"/>
        </w:rPr>
      </w:pPr>
      <w:bookmarkStart w:id="214" w:name="_Toc198821622"/>
      <w:bookmarkStart w:id="215" w:name="_Hlk127543470"/>
      <w:bookmarkStart w:id="216" w:name="_Toc199759685"/>
      <w:r w:rsidRPr="003615DC">
        <w:rPr>
          <w:rFonts w:asciiTheme="majorHAnsi" w:hAnsiTheme="majorHAnsi" w:cstheme="majorHAnsi"/>
        </w:rPr>
        <w:t xml:space="preserve">Tabla </w:t>
      </w:r>
      <w:r w:rsidRPr="003615DC">
        <w:rPr>
          <w:rFonts w:asciiTheme="majorHAnsi" w:hAnsiTheme="majorHAnsi" w:cstheme="majorHAnsi"/>
        </w:rPr>
        <w:fldChar w:fldCharType="begin"/>
      </w:r>
      <w:r w:rsidRPr="003615DC">
        <w:rPr>
          <w:rFonts w:asciiTheme="majorHAnsi" w:hAnsiTheme="majorHAnsi" w:cstheme="majorHAnsi"/>
        </w:rPr>
        <w:instrText xml:space="preserve"> SEQ Tabla \* ARABIC </w:instrText>
      </w:r>
      <w:r w:rsidRPr="003615DC">
        <w:rPr>
          <w:rFonts w:asciiTheme="majorHAnsi" w:hAnsiTheme="majorHAnsi" w:cstheme="majorHAnsi"/>
        </w:rPr>
        <w:fldChar w:fldCharType="separate"/>
      </w:r>
      <w:r w:rsidR="00CF0AD2">
        <w:rPr>
          <w:rFonts w:asciiTheme="majorHAnsi" w:hAnsiTheme="majorHAnsi" w:cstheme="majorHAnsi"/>
          <w:noProof/>
        </w:rPr>
        <w:t>15</w:t>
      </w:r>
      <w:r w:rsidRPr="003615DC">
        <w:rPr>
          <w:rFonts w:asciiTheme="majorHAnsi" w:hAnsiTheme="majorHAnsi" w:cstheme="majorHAnsi"/>
          <w:noProof/>
        </w:rPr>
        <w:fldChar w:fldCharType="end"/>
      </w:r>
      <w:r w:rsidRPr="003615DC">
        <w:rPr>
          <w:rFonts w:asciiTheme="majorHAnsi" w:hAnsiTheme="majorHAnsi" w:cstheme="majorHAnsi"/>
        </w:rPr>
        <w:t>: Clasificación De Las Áreas En Trámite Para El Otorgamiento De Concesiones Mineras Bajo El Régimen Especial De Pequeña Minería Metálica</w:t>
      </w:r>
      <w:bookmarkEnd w:id="214"/>
      <w:bookmarkEnd w:id="216"/>
    </w:p>
    <w:tbl>
      <w:tblPr>
        <w:tblW w:w="805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343"/>
        <w:gridCol w:w="2852"/>
        <w:gridCol w:w="1858"/>
      </w:tblGrid>
      <w:tr w:rsidR="00BF001E" w:rsidRPr="003615DC" w14:paraId="520768F6" w14:textId="77777777" w:rsidTr="00E23641">
        <w:trPr>
          <w:trHeight w:val="132"/>
        </w:trPr>
        <w:tc>
          <w:tcPr>
            <w:tcW w:w="3343" w:type="dxa"/>
            <w:tcBorders>
              <w:top w:val="single" w:sz="4" w:space="0" w:color="4472C4"/>
              <w:left w:val="single" w:sz="4" w:space="0" w:color="4472C4"/>
              <w:bottom w:val="single" w:sz="4" w:space="0" w:color="4472C4"/>
              <w:right w:val="nil"/>
            </w:tcBorders>
            <w:shd w:val="clear" w:color="auto" w:fill="4472C4"/>
            <w:hideMark/>
          </w:tcPr>
          <w:bookmarkEnd w:id="215"/>
          <w:p w14:paraId="2C1C8218" w14:textId="77777777" w:rsidR="00BF001E" w:rsidRPr="00850D33" w:rsidRDefault="00BF001E" w:rsidP="00BF001E">
            <w:pPr>
              <w:autoSpaceDE w:val="0"/>
              <w:autoSpaceDN w:val="0"/>
              <w:adjustRightInd w:val="0"/>
              <w:spacing w:after="17" w:line="256" w:lineRule="auto"/>
              <w:jc w:val="center"/>
              <w:rPr>
                <w:rFonts w:asciiTheme="majorHAnsi" w:hAnsiTheme="majorHAnsi" w:cstheme="majorHAnsi"/>
                <w:b/>
                <w:bCs/>
                <w:color w:val="FFFFFF"/>
                <w:sz w:val="18"/>
                <w:szCs w:val="18"/>
              </w:rPr>
            </w:pPr>
            <w:r w:rsidRPr="00850D33">
              <w:rPr>
                <w:rFonts w:asciiTheme="majorHAnsi" w:hAnsiTheme="majorHAnsi" w:cstheme="majorHAnsi"/>
                <w:b/>
                <w:bCs/>
                <w:color w:val="FFFFFF"/>
                <w:sz w:val="18"/>
                <w:szCs w:val="18"/>
              </w:rPr>
              <w:t>RÉGIMEN</w:t>
            </w:r>
          </w:p>
        </w:tc>
        <w:tc>
          <w:tcPr>
            <w:tcW w:w="2852" w:type="dxa"/>
            <w:tcBorders>
              <w:top w:val="single" w:sz="4" w:space="0" w:color="4472C4"/>
              <w:left w:val="nil"/>
              <w:bottom w:val="single" w:sz="4" w:space="0" w:color="4472C4"/>
              <w:right w:val="nil"/>
            </w:tcBorders>
            <w:shd w:val="clear" w:color="auto" w:fill="4472C4"/>
            <w:hideMark/>
          </w:tcPr>
          <w:p w14:paraId="5CB7A942" w14:textId="77777777" w:rsidR="00BF001E" w:rsidRPr="00850D33" w:rsidRDefault="00BF001E" w:rsidP="00BF001E">
            <w:pPr>
              <w:autoSpaceDE w:val="0"/>
              <w:autoSpaceDN w:val="0"/>
              <w:adjustRightInd w:val="0"/>
              <w:spacing w:after="17" w:line="256" w:lineRule="auto"/>
              <w:jc w:val="center"/>
              <w:rPr>
                <w:rFonts w:asciiTheme="majorHAnsi" w:hAnsiTheme="majorHAnsi" w:cstheme="majorHAnsi"/>
                <w:b/>
                <w:bCs/>
                <w:color w:val="FFFFFF"/>
                <w:sz w:val="18"/>
                <w:szCs w:val="18"/>
              </w:rPr>
            </w:pPr>
            <w:r w:rsidRPr="00850D33">
              <w:rPr>
                <w:rFonts w:asciiTheme="majorHAnsi" w:hAnsiTheme="majorHAnsi" w:cstheme="majorHAnsi"/>
                <w:b/>
                <w:bCs/>
                <w:color w:val="FFFFFF"/>
                <w:sz w:val="18"/>
                <w:szCs w:val="18"/>
              </w:rPr>
              <w:t>CUERPO NORMATIVO</w:t>
            </w:r>
          </w:p>
        </w:tc>
        <w:tc>
          <w:tcPr>
            <w:tcW w:w="1858" w:type="dxa"/>
            <w:tcBorders>
              <w:top w:val="single" w:sz="4" w:space="0" w:color="4472C4"/>
              <w:left w:val="nil"/>
              <w:bottom w:val="single" w:sz="4" w:space="0" w:color="4472C4"/>
              <w:right w:val="single" w:sz="4" w:space="0" w:color="4472C4"/>
            </w:tcBorders>
            <w:shd w:val="clear" w:color="auto" w:fill="4472C4"/>
            <w:hideMark/>
          </w:tcPr>
          <w:p w14:paraId="0CE54151" w14:textId="77777777" w:rsidR="00BF001E" w:rsidRPr="00850D33" w:rsidRDefault="00BF001E" w:rsidP="00BF001E">
            <w:pPr>
              <w:autoSpaceDE w:val="0"/>
              <w:autoSpaceDN w:val="0"/>
              <w:adjustRightInd w:val="0"/>
              <w:spacing w:after="17" w:line="256" w:lineRule="auto"/>
              <w:jc w:val="center"/>
              <w:rPr>
                <w:rFonts w:asciiTheme="majorHAnsi" w:hAnsiTheme="majorHAnsi" w:cstheme="majorHAnsi"/>
                <w:b/>
                <w:bCs/>
                <w:color w:val="FFFFFF"/>
                <w:sz w:val="18"/>
                <w:szCs w:val="18"/>
              </w:rPr>
            </w:pPr>
            <w:r w:rsidRPr="00850D33">
              <w:rPr>
                <w:rFonts w:asciiTheme="majorHAnsi" w:hAnsiTheme="majorHAnsi" w:cstheme="majorHAnsi"/>
                <w:b/>
                <w:bCs/>
                <w:color w:val="FFFFFF"/>
                <w:sz w:val="18"/>
                <w:szCs w:val="18"/>
              </w:rPr>
              <w:t>TRAMITES INICIALES</w:t>
            </w:r>
          </w:p>
        </w:tc>
      </w:tr>
      <w:tr w:rsidR="00BF001E" w:rsidRPr="003615DC" w14:paraId="68B116E0" w14:textId="77777777" w:rsidTr="00E23641">
        <w:trPr>
          <w:trHeight w:val="260"/>
        </w:trPr>
        <w:tc>
          <w:tcPr>
            <w:tcW w:w="3343" w:type="dxa"/>
            <w:vMerge w:val="restart"/>
            <w:tcBorders>
              <w:top w:val="single" w:sz="4" w:space="0" w:color="8EAADB"/>
              <w:left w:val="single" w:sz="4" w:space="0" w:color="8EAADB"/>
              <w:bottom w:val="single" w:sz="4" w:space="0" w:color="8EAADB"/>
              <w:right w:val="single" w:sz="4" w:space="0" w:color="8EAADB"/>
            </w:tcBorders>
            <w:shd w:val="clear" w:color="auto" w:fill="D9E2F3"/>
            <w:hideMark/>
          </w:tcPr>
          <w:p w14:paraId="0152897A" w14:textId="77777777" w:rsidR="00BF001E" w:rsidRPr="00850D33" w:rsidRDefault="00BF001E" w:rsidP="00BF001E">
            <w:pPr>
              <w:autoSpaceDE w:val="0"/>
              <w:autoSpaceDN w:val="0"/>
              <w:adjustRightInd w:val="0"/>
              <w:spacing w:after="17" w:line="256" w:lineRule="auto"/>
              <w:jc w:val="center"/>
              <w:rPr>
                <w:rFonts w:asciiTheme="majorHAnsi" w:hAnsiTheme="majorHAnsi" w:cstheme="majorHAnsi"/>
                <w:bCs/>
                <w:color w:val="000000"/>
                <w:sz w:val="18"/>
                <w:szCs w:val="18"/>
              </w:rPr>
            </w:pPr>
            <w:r w:rsidRPr="00850D33">
              <w:rPr>
                <w:rFonts w:asciiTheme="majorHAnsi" w:hAnsiTheme="majorHAnsi" w:cstheme="majorHAnsi"/>
                <w:bCs/>
                <w:color w:val="000000"/>
                <w:sz w:val="18"/>
                <w:szCs w:val="18"/>
              </w:rPr>
              <w:t>Concesiones Bajo el Régimen Especial de PM metálico</w:t>
            </w:r>
          </w:p>
        </w:tc>
        <w:tc>
          <w:tcPr>
            <w:tcW w:w="2852" w:type="dxa"/>
            <w:tcBorders>
              <w:top w:val="single" w:sz="4" w:space="0" w:color="8EAADB"/>
              <w:left w:val="single" w:sz="4" w:space="0" w:color="8EAADB"/>
              <w:bottom w:val="single" w:sz="4" w:space="0" w:color="8EAADB"/>
              <w:right w:val="single" w:sz="4" w:space="0" w:color="8EAADB"/>
            </w:tcBorders>
            <w:shd w:val="clear" w:color="auto" w:fill="D9E2F3"/>
            <w:hideMark/>
          </w:tcPr>
          <w:p w14:paraId="5670B435" w14:textId="77777777" w:rsidR="00BF001E" w:rsidRPr="00850D33" w:rsidRDefault="00BF001E" w:rsidP="00BF001E">
            <w:pPr>
              <w:autoSpaceDE w:val="0"/>
              <w:autoSpaceDN w:val="0"/>
              <w:adjustRightInd w:val="0"/>
              <w:spacing w:after="17" w:line="256" w:lineRule="auto"/>
              <w:jc w:val="center"/>
              <w:rPr>
                <w:rFonts w:asciiTheme="majorHAnsi" w:hAnsiTheme="majorHAnsi" w:cstheme="majorHAnsi"/>
                <w:color w:val="000000"/>
                <w:sz w:val="18"/>
                <w:szCs w:val="18"/>
              </w:rPr>
            </w:pPr>
            <w:r w:rsidRPr="00850D33">
              <w:rPr>
                <w:rFonts w:asciiTheme="majorHAnsi" w:hAnsiTheme="majorHAnsi" w:cstheme="majorHAnsi"/>
                <w:color w:val="000000"/>
                <w:sz w:val="18"/>
                <w:szCs w:val="18"/>
              </w:rPr>
              <w:t>Acuerdo Ministerial 2016-002</w:t>
            </w:r>
          </w:p>
        </w:tc>
        <w:tc>
          <w:tcPr>
            <w:tcW w:w="1858" w:type="dxa"/>
            <w:tcBorders>
              <w:top w:val="single" w:sz="4" w:space="0" w:color="8EAADB"/>
              <w:left w:val="single" w:sz="4" w:space="0" w:color="8EAADB"/>
              <w:bottom w:val="single" w:sz="4" w:space="0" w:color="8EAADB"/>
              <w:right w:val="single" w:sz="4" w:space="0" w:color="8EAADB"/>
            </w:tcBorders>
            <w:shd w:val="clear" w:color="auto" w:fill="D9E2F3"/>
            <w:hideMark/>
          </w:tcPr>
          <w:p w14:paraId="3CBE3982" w14:textId="77777777" w:rsidR="00BF001E" w:rsidRPr="00850D33" w:rsidRDefault="00BF001E" w:rsidP="00BF001E">
            <w:pPr>
              <w:autoSpaceDE w:val="0"/>
              <w:autoSpaceDN w:val="0"/>
              <w:adjustRightInd w:val="0"/>
              <w:spacing w:after="17" w:line="256" w:lineRule="auto"/>
              <w:jc w:val="center"/>
              <w:rPr>
                <w:rFonts w:asciiTheme="majorHAnsi" w:hAnsiTheme="majorHAnsi" w:cstheme="majorHAnsi"/>
                <w:color w:val="000000"/>
                <w:sz w:val="18"/>
                <w:szCs w:val="18"/>
              </w:rPr>
            </w:pPr>
            <w:r w:rsidRPr="00850D33">
              <w:rPr>
                <w:rFonts w:asciiTheme="majorHAnsi" w:hAnsiTheme="majorHAnsi" w:cstheme="majorHAnsi"/>
                <w:color w:val="000000"/>
                <w:sz w:val="18"/>
                <w:szCs w:val="18"/>
              </w:rPr>
              <w:t>103</w:t>
            </w:r>
          </w:p>
        </w:tc>
      </w:tr>
      <w:tr w:rsidR="00BF001E" w:rsidRPr="003615DC" w14:paraId="23FA39AD" w14:textId="77777777" w:rsidTr="00E23641">
        <w:trPr>
          <w:trHeight w:val="57"/>
        </w:trPr>
        <w:tc>
          <w:tcPr>
            <w:tcW w:w="0" w:type="auto"/>
            <w:vMerge/>
            <w:tcBorders>
              <w:top w:val="single" w:sz="4" w:space="0" w:color="8EAADB"/>
              <w:left w:val="single" w:sz="4" w:space="0" w:color="8EAADB"/>
              <w:bottom w:val="single" w:sz="4" w:space="0" w:color="8EAADB"/>
              <w:right w:val="single" w:sz="4" w:space="0" w:color="8EAADB"/>
            </w:tcBorders>
            <w:vAlign w:val="center"/>
            <w:hideMark/>
          </w:tcPr>
          <w:p w14:paraId="6CC789BB" w14:textId="77777777" w:rsidR="00BF001E" w:rsidRPr="00850D33" w:rsidRDefault="00BF001E" w:rsidP="00BF001E">
            <w:pPr>
              <w:spacing w:line="256" w:lineRule="auto"/>
              <w:rPr>
                <w:rFonts w:asciiTheme="majorHAnsi" w:hAnsiTheme="majorHAnsi" w:cstheme="majorHAnsi"/>
                <w:bCs/>
                <w:color w:val="000000"/>
                <w:sz w:val="18"/>
                <w:szCs w:val="18"/>
              </w:rPr>
            </w:pPr>
          </w:p>
        </w:tc>
        <w:tc>
          <w:tcPr>
            <w:tcW w:w="2852" w:type="dxa"/>
            <w:tcBorders>
              <w:top w:val="single" w:sz="4" w:space="0" w:color="8EAADB"/>
              <w:left w:val="single" w:sz="4" w:space="0" w:color="8EAADB"/>
              <w:bottom w:val="single" w:sz="4" w:space="0" w:color="8EAADB"/>
              <w:right w:val="single" w:sz="4" w:space="0" w:color="8EAADB"/>
            </w:tcBorders>
            <w:hideMark/>
          </w:tcPr>
          <w:p w14:paraId="3DFBBC86" w14:textId="77777777" w:rsidR="00BF001E" w:rsidRPr="00850D33" w:rsidRDefault="00BF001E" w:rsidP="00BF001E">
            <w:pPr>
              <w:autoSpaceDE w:val="0"/>
              <w:autoSpaceDN w:val="0"/>
              <w:adjustRightInd w:val="0"/>
              <w:spacing w:after="17" w:line="256" w:lineRule="auto"/>
              <w:jc w:val="center"/>
              <w:rPr>
                <w:rFonts w:asciiTheme="majorHAnsi" w:hAnsiTheme="majorHAnsi" w:cstheme="majorHAnsi"/>
                <w:color w:val="000000"/>
                <w:sz w:val="18"/>
                <w:szCs w:val="18"/>
              </w:rPr>
            </w:pPr>
            <w:r w:rsidRPr="00850D33">
              <w:rPr>
                <w:rFonts w:asciiTheme="majorHAnsi" w:hAnsiTheme="majorHAnsi" w:cstheme="majorHAnsi"/>
                <w:color w:val="000000"/>
                <w:sz w:val="18"/>
                <w:szCs w:val="18"/>
              </w:rPr>
              <w:t>Acuerdo Ministerial 2017-019</w:t>
            </w:r>
          </w:p>
        </w:tc>
        <w:tc>
          <w:tcPr>
            <w:tcW w:w="1858" w:type="dxa"/>
            <w:tcBorders>
              <w:top w:val="single" w:sz="4" w:space="0" w:color="8EAADB"/>
              <w:left w:val="single" w:sz="4" w:space="0" w:color="8EAADB"/>
              <w:bottom w:val="single" w:sz="4" w:space="0" w:color="8EAADB"/>
              <w:right w:val="single" w:sz="4" w:space="0" w:color="8EAADB"/>
            </w:tcBorders>
            <w:hideMark/>
          </w:tcPr>
          <w:p w14:paraId="7D7C489A" w14:textId="77777777" w:rsidR="00BF001E" w:rsidRPr="00850D33" w:rsidRDefault="00BF001E" w:rsidP="00BF001E">
            <w:pPr>
              <w:autoSpaceDE w:val="0"/>
              <w:autoSpaceDN w:val="0"/>
              <w:adjustRightInd w:val="0"/>
              <w:spacing w:after="17" w:line="256" w:lineRule="auto"/>
              <w:jc w:val="center"/>
              <w:rPr>
                <w:rFonts w:asciiTheme="majorHAnsi" w:hAnsiTheme="majorHAnsi" w:cstheme="majorHAnsi"/>
                <w:color w:val="000000"/>
                <w:sz w:val="18"/>
                <w:szCs w:val="18"/>
              </w:rPr>
            </w:pPr>
            <w:r w:rsidRPr="00850D33">
              <w:rPr>
                <w:rFonts w:asciiTheme="majorHAnsi" w:hAnsiTheme="majorHAnsi" w:cstheme="majorHAnsi"/>
                <w:color w:val="000000"/>
                <w:sz w:val="18"/>
                <w:szCs w:val="18"/>
              </w:rPr>
              <w:t>281</w:t>
            </w:r>
          </w:p>
        </w:tc>
      </w:tr>
      <w:tr w:rsidR="00BF001E" w:rsidRPr="003615DC" w14:paraId="5416956E" w14:textId="77777777" w:rsidTr="00E23641">
        <w:trPr>
          <w:trHeight w:val="57"/>
        </w:trPr>
        <w:tc>
          <w:tcPr>
            <w:tcW w:w="6195" w:type="dxa"/>
            <w:gridSpan w:val="2"/>
            <w:tcBorders>
              <w:top w:val="single" w:sz="4" w:space="0" w:color="8EAADB"/>
              <w:left w:val="single" w:sz="4" w:space="0" w:color="8EAADB"/>
              <w:bottom w:val="single" w:sz="4" w:space="0" w:color="8EAADB"/>
              <w:right w:val="single" w:sz="4" w:space="0" w:color="8EAADB"/>
            </w:tcBorders>
            <w:shd w:val="clear" w:color="auto" w:fill="D9E2F3"/>
            <w:hideMark/>
          </w:tcPr>
          <w:p w14:paraId="518373E5" w14:textId="77777777" w:rsidR="00BF001E" w:rsidRPr="00850D33" w:rsidRDefault="00BF001E" w:rsidP="00BF001E">
            <w:pPr>
              <w:autoSpaceDE w:val="0"/>
              <w:autoSpaceDN w:val="0"/>
              <w:adjustRightInd w:val="0"/>
              <w:spacing w:after="17" w:line="256" w:lineRule="auto"/>
              <w:jc w:val="center"/>
              <w:rPr>
                <w:rFonts w:asciiTheme="majorHAnsi" w:hAnsiTheme="majorHAnsi" w:cstheme="majorHAnsi"/>
                <w:b/>
                <w:bCs/>
                <w:color w:val="000000"/>
                <w:sz w:val="18"/>
                <w:szCs w:val="18"/>
              </w:rPr>
            </w:pPr>
            <w:r w:rsidRPr="00850D33">
              <w:rPr>
                <w:rFonts w:asciiTheme="majorHAnsi" w:hAnsiTheme="majorHAnsi" w:cstheme="majorHAnsi"/>
                <w:b/>
                <w:bCs/>
                <w:color w:val="000000"/>
                <w:sz w:val="18"/>
                <w:szCs w:val="18"/>
              </w:rPr>
              <w:t>TOTAL</w:t>
            </w:r>
          </w:p>
        </w:tc>
        <w:tc>
          <w:tcPr>
            <w:tcW w:w="1858" w:type="dxa"/>
            <w:tcBorders>
              <w:top w:val="single" w:sz="4" w:space="0" w:color="8EAADB"/>
              <w:left w:val="single" w:sz="4" w:space="0" w:color="8EAADB"/>
              <w:bottom w:val="single" w:sz="4" w:space="0" w:color="8EAADB"/>
              <w:right w:val="single" w:sz="4" w:space="0" w:color="8EAADB"/>
            </w:tcBorders>
            <w:shd w:val="clear" w:color="auto" w:fill="D9E2F3"/>
            <w:hideMark/>
          </w:tcPr>
          <w:p w14:paraId="3B01EE0F" w14:textId="77777777" w:rsidR="00BF001E" w:rsidRPr="00850D33" w:rsidRDefault="00BF001E" w:rsidP="00BF001E">
            <w:pPr>
              <w:autoSpaceDE w:val="0"/>
              <w:autoSpaceDN w:val="0"/>
              <w:adjustRightInd w:val="0"/>
              <w:spacing w:after="17" w:line="256" w:lineRule="auto"/>
              <w:jc w:val="center"/>
              <w:rPr>
                <w:rFonts w:asciiTheme="majorHAnsi" w:hAnsiTheme="majorHAnsi" w:cstheme="majorHAnsi"/>
                <w:b/>
                <w:color w:val="000000"/>
                <w:sz w:val="18"/>
                <w:szCs w:val="18"/>
              </w:rPr>
            </w:pPr>
            <w:r w:rsidRPr="00850D33">
              <w:rPr>
                <w:rFonts w:asciiTheme="majorHAnsi" w:hAnsiTheme="majorHAnsi" w:cstheme="majorHAnsi"/>
                <w:b/>
                <w:color w:val="000000"/>
                <w:sz w:val="18"/>
                <w:szCs w:val="18"/>
              </w:rPr>
              <w:t>384</w:t>
            </w:r>
          </w:p>
        </w:tc>
      </w:tr>
    </w:tbl>
    <w:p w14:paraId="016F90F4" w14:textId="77777777" w:rsidR="00BF001E" w:rsidRPr="003615DC" w:rsidRDefault="00BF001E" w:rsidP="00BF001E">
      <w:pPr>
        <w:pStyle w:val="Default"/>
        <w:ind w:left="-709"/>
        <w:jc w:val="center"/>
        <w:rPr>
          <w:rFonts w:asciiTheme="majorHAnsi" w:hAnsiTheme="majorHAnsi" w:cstheme="majorHAnsi"/>
          <w:color w:val="7F7F7F" w:themeColor="text1" w:themeTint="80"/>
          <w:sz w:val="20"/>
          <w:szCs w:val="22"/>
        </w:rPr>
      </w:pPr>
      <w:bookmarkStart w:id="217" w:name="_Toc127542749"/>
      <w:r w:rsidRPr="003615DC">
        <w:rPr>
          <w:rFonts w:asciiTheme="majorHAnsi" w:hAnsiTheme="majorHAnsi" w:cstheme="majorHAnsi"/>
          <w:color w:val="7F7F7F" w:themeColor="text1" w:themeTint="80"/>
          <w:sz w:val="20"/>
          <w:szCs w:val="22"/>
        </w:rPr>
        <w:t>Fuente: Subsecretaría de Minería Artesanal y Pequeña Minería / Dic-2022</w:t>
      </w:r>
    </w:p>
    <w:p w14:paraId="3AFF88AD" w14:textId="0E40DD66" w:rsidR="00BF001E" w:rsidRPr="00213F2B" w:rsidRDefault="00BF001E" w:rsidP="00213F2B">
      <w:pPr>
        <w:pStyle w:val="Ttulo4"/>
        <w:rPr>
          <w:i w:val="0"/>
          <w:sz w:val="22"/>
          <w:szCs w:val="22"/>
        </w:rPr>
      </w:pPr>
      <w:bookmarkStart w:id="218" w:name="_Toc157507030"/>
      <w:bookmarkStart w:id="219" w:name="_Toc157422741"/>
      <w:r w:rsidRPr="00213F2B">
        <w:rPr>
          <w:i w:val="0"/>
          <w:sz w:val="22"/>
          <w:szCs w:val="22"/>
        </w:rPr>
        <w:t>Estado Actual Trámites:</w:t>
      </w:r>
      <w:bookmarkEnd w:id="217"/>
      <w:bookmarkEnd w:id="218"/>
      <w:bookmarkEnd w:id="219"/>
      <w:r w:rsidRPr="00213F2B">
        <w:rPr>
          <w:i w:val="0"/>
          <w:sz w:val="22"/>
          <w:szCs w:val="22"/>
        </w:rPr>
        <w:t xml:space="preserve"> </w:t>
      </w:r>
    </w:p>
    <w:p w14:paraId="782B17DE" w14:textId="77777777" w:rsidR="00BF001E" w:rsidRPr="003615DC" w:rsidRDefault="00BF001E" w:rsidP="00BF001E">
      <w:pPr>
        <w:rPr>
          <w:rFonts w:asciiTheme="majorHAnsi" w:hAnsiTheme="majorHAnsi" w:cstheme="majorHAnsi"/>
          <w:sz w:val="22"/>
          <w:szCs w:val="22"/>
        </w:rPr>
      </w:pPr>
    </w:p>
    <w:p w14:paraId="283F9F07" w14:textId="6F4D8542" w:rsidR="00BF001E"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Desde marzo de 2022,</w:t>
      </w:r>
      <w:r w:rsidR="00E76426">
        <w:rPr>
          <w:rFonts w:asciiTheme="majorHAnsi" w:hAnsiTheme="majorHAnsi" w:cstheme="majorHAnsi"/>
          <w:sz w:val="22"/>
          <w:szCs w:val="22"/>
        </w:rPr>
        <w:t xml:space="preserve"> se ha</w:t>
      </w:r>
      <w:r w:rsidRPr="003615DC">
        <w:rPr>
          <w:rFonts w:asciiTheme="majorHAnsi" w:hAnsiTheme="majorHAnsi" w:cstheme="majorHAnsi"/>
          <w:sz w:val="22"/>
          <w:szCs w:val="22"/>
        </w:rPr>
        <w:t xml:space="preserve"> </w:t>
      </w:r>
      <w:r w:rsidR="00275F62" w:rsidRPr="003615DC">
        <w:rPr>
          <w:rFonts w:asciiTheme="majorHAnsi" w:hAnsiTheme="majorHAnsi" w:cstheme="majorHAnsi"/>
          <w:sz w:val="22"/>
          <w:szCs w:val="22"/>
        </w:rPr>
        <w:t>trabajado</w:t>
      </w:r>
      <w:r w:rsidRPr="003615DC">
        <w:rPr>
          <w:rFonts w:asciiTheme="majorHAnsi" w:hAnsiTheme="majorHAnsi" w:cstheme="majorHAnsi"/>
          <w:sz w:val="22"/>
          <w:szCs w:val="22"/>
        </w:rPr>
        <w:t xml:space="preserve"> arduamente para avanzar con los trámites que quedaron pendientes desde el cierre del Catastro Nacional Minero en enero de 2018.</w:t>
      </w:r>
    </w:p>
    <w:p w14:paraId="316C743E" w14:textId="77777777"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A diciembre 2024, tenemos 195 trámites pendientes para el Régimen Especial de Pequeña Minería Metálica, los cuales están relacionados con los Acuerdos Ministeriales 02-2016 y 019-2017, tal como se muestra en la siguiente tabla:</w:t>
      </w:r>
    </w:p>
    <w:p w14:paraId="28B438A1" w14:textId="77777777" w:rsidR="00BF001E" w:rsidRPr="003615DC" w:rsidRDefault="00BF001E" w:rsidP="00BF001E">
      <w:pPr>
        <w:jc w:val="both"/>
        <w:rPr>
          <w:rFonts w:asciiTheme="majorHAnsi" w:hAnsiTheme="majorHAnsi" w:cstheme="majorHAnsi"/>
          <w:sz w:val="22"/>
          <w:szCs w:val="22"/>
        </w:rPr>
      </w:pPr>
    </w:p>
    <w:p w14:paraId="24ED449E" w14:textId="300F63E7" w:rsidR="00BF001E" w:rsidRPr="003615DC" w:rsidRDefault="00BF001E" w:rsidP="00BF001E">
      <w:pPr>
        <w:pStyle w:val="Descripcin"/>
        <w:rPr>
          <w:rFonts w:asciiTheme="majorHAnsi" w:hAnsiTheme="majorHAnsi" w:cstheme="majorHAnsi"/>
          <w:sz w:val="22"/>
          <w:szCs w:val="22"/>
        </w:rPr>
      </w:pPr>
      <w:bookmarkStart w:id="220" w:name="_Toc198821623"/>
      <w:bookmarkStart w:id="221" w:name="_Toc199759686"/>
      <w:r w:rsidRPr="003615DC">
        <w:rPr>
          <w:rFonts w:asciiTheme="majorHAnsi" w:hAnsiTheme="majorHAnsi" w:cstheme="majorHAnsi"/>
        </w:rPr>
        <w:t xml:space="preserve">Tabla </w:t>
      </w:r>
      <w:r w:rsidRPr="003615DC">
        <w:rPr>
          <w:rFonts w:asciiTheme="majorHAnsi" w:hAnsiTheme="majorHAnsi" w:cstheme="majorHAnsi"/>
        </w:rPr>
        <w:fldChar w:fldCharType="begin"/>
      </w:r>
      <w:r w:rsidRPr="003615DC">
        <w:rPr>
          <w:rFonts w:asciiTheme="majorHAnsi" w:hAnsiTheme="majorHAnsi" w:cstheme="majorHAnsi"/>
        </w:rPr>
        <w:instrText xml:space="preserve"> SEQ Tabla \* ARABIC </w:instrText>
      </w:r>
      <w:r w:rsidRPr="003615DC">
        <w:rPr>
          <w:rFonts w:asciiTheme="majorHAnsi" w:hAnsiTheme="majorHAnsi" w:cstheme="majorHAnsi"/>
        </w:rPr>
        <w:fldChar w:fldCharType="separate"/>
      </w:r>
      <w:r w:rsidR="00CF0AD2">
        <w:rPr>
          <w:rFonts w:asciiTheme="majorHAnsi" w:hAnsiTheme="majorHAnsi" w:cstheme="majorHAnsi"/>
          <w:noProof/>
        </w:rPr>
        <w:t>16</w:t>
      </w:r>
      <w:r w:rsidRPr="003615DC">
        <w:rPr>
          <w:rFonts w:asciiTheme="majorHAnsi" w:hAnsiTheme="majorHAnsi" w:cstheme="majorHAnsi"/>
          <w:noProof/>
        </w:rPr>
        <w:fldChar w:fldCharType="end"/>
      </w:r>
      <w:r w:rsidRPr="003615DC">
        <w:rPr>
          <w:rFonts w:asciiTheme="majorHAnsi" w:hAnsiTheme="majorHAnsi" w:cstheme="majorHAnsi"/>
        </w:rPr>
        <w:t>: Áreas En Trámite Bajo El Régimen Especial De Pequeña Minería Metálica</w:t>
      </w:r>
      <w:bookmarkEnd w:id="220"/>
      <w:bookmarkEnd w:id="221"/>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623"/>
        <w:gridCol w:w="3623"/>
      </w:tblGrid>
      <w:tr w:rsidR="00BF001E" w:rsidRPr="003615DC" w14:paraId="66D02222" w14:textId="77777777" w:rsidTr="00BF001E">
        <w:trPr>
          <w:trHeight w:val="244"/>
          <w:jc w:val="center"/>
        </w:trPr>
        <w:tc>
          <w:tcPr>
            <w:tcW w:w="3623" w:type="dxa"/>
            <w:tcBorders>
              <w:top w:val="single" w:sz="4" w:space="0" w:color="4472C4"/>
              <w:left w:val="single" w:sz="4" w:space="0" w:color="4472C4"/>
              <w:bottom w:val="single" w:sz="4" w:space="0" w:color="4472C4"/>
              <w:right w:val="nil"/>
            </w:tcBorders>
            <w:shd w:val="clear" w:color="auto" w:fill="4472C4"/>
            <w:hideMark/>
          </w:tcPr>
          <w:p w14:paraId="3D6E29DB" w14:textId="77777777" w:rsidR="00BF001E" w:rsidRPr="00850D33" w:rsidRDefault="00BF001E" w:rsidP="00BF001E">
            <w:pPr>
              <w:spacing w:line="256" w:lineRule="auto"/>
              <w:jc w:val="center"/>
              <w:rPr>
                <w:rFonts w:asciiTheme="majorHAnsi" w:hAnsiTheme="majorHAnsi" w:cstheme="majorHAnsi"/>
                <w:b/>
                <w:color w:val="FFFFFF"/>
                <w:sz w:val="16"/>
                <w:szCs w:val="16"/>
              </w:rPr>
            </w:pPr>
            <w:r w:rsidRPr="00850D33">
              <w:rPr>
                <w:rFonts w:asciiTheme="majorHAnsi" w:hAnsiTheme="majorHAnsi" w:cstheme="majorHAnsi"/>
                <w:b/>
                <w:color w:val="FFFFFF"/>
                <w:sz w:val="16"/>
                <w:szCs w:val="16"/>
              </w:rPr>
              <w:t>NORMATIVA</w:t>
            </w:r>
          </w:p>
        </w:tc>
        <w:tc>
          <w:tcPr>
            <w:tcW w:w="3623" w:type="dxa"/>
            <w:tcBorders>
              <w:top w:val="single" w:sz="4" w:space="0" w:color="4472C4"/>
              <w:left w:val="nil"/>
              <w:bottom w:val="single" w:sz="4" w:space="0" w:color="4472C4"/>
              <w:right w:val="single" w:sz="4" w:space="0" w:color="4472C4"/>
            </w:tcBorders>
            <w:shd w:val="clear" w:color="auto" w:fill="4472C4"/>
            <w:hideMark/>
          </w:tcPr>
          <w:p w14:paraId="464882D6" w14:textId="77777777" w:rsidR="00BF001E" w:rsidRPr="00850D33" w:rsidRDefault="00BF001E" w:rsidP="00BF001E">
            <w:pPr>
              <w:spacing w:line="256" w:lineRule="auto"/>
              <w:jc w:val="center"/>
              <w:rPr>
                <w:rFonts w:asciiTheme="majorHAnsi" w:hAnsiTheme="majorHAnsi" w:cstheme="majorHAnsi"/>
                <w:b/>
                <w:color w:val="FFFFFF"/>
                <w:sz w:val="16"/>
                <w:szCs w:val="16"/>
              </w:rPr>
            </w:pPr>
            <w:r w:rsidRPr="00850D33">
              <w:rPr>
                <w:rFonts w:asciiTheme="majorHAnsi" w:hAnsiTheme="majorHAnsi" w:cstheme="majorHAnsi"/>
                <w:b/>
                <w:color w:val="FFFFFF"/>
                <w:sz w:val="16"/>
                <w:szCs w:val="16"/>
              </w:rPr>
              <w:t>ÁREAS EN TRÁMITE</w:t>
            </w:r>
          </w:p>
        </w:tc>
      </w:tr>
      <w:tr w:rsidR="00BF001E" w:rsidRPr="003615DC" w14:paraId="53B2F62F" w14:textId="77777777" w:rsidTr="00BF001E">
        <w:trPr>
          <w:trHeight w:val="244"/>
          <w:jc w:val="center"/>
        </w:trPr>
        <w:tc>
          <w:tcPr>
            <w:tcW w:w="3623" w:type="dxa"/>
            <w:tcBorders>
              <w:top w:val="single" w:sz="4" w:space="0" w:color="8EAADB"/>
              <w:left w:val="single" w:sz="4" w:space="0" w:color="8EAADB"/>
              <w:bottom w:val="single" w:sz="4" w:space="0" w:color="8EAADB"/>
              <w:right w:val="single" w:sz="4" w:space="0" w:color="8EAADB"/>
            </w:tcBorders>
            <w:shd w:val="clear" w:color="auto" w:fill="D9E2F3"/>
            <w:hideMark/>
          </w:tcPr>
          <w:p w14:paraId="59BA5CC0" w14:textId="77777777" w:rsidR="00BF001E" w:rsidRPr="00850D33" w:rsidRDefault="00BF001E" w:rsidP="00BF001E">
            <w:pPr>
              <w:spacing w:line="256" w:lineRule="auto"/>
              <w:jc w:val="center"/>
              <w:rPr>
                <w:rFonts w:asciiTheme="majorHAnsi" w:hAnsiTheme="majorHAnsi" w:cstheme="majorHAnsi"/>
                <w:bCs/>
                <w:sz w:val="16"/>
                <w:szCs w:val="16"/>
              </w:rPr>
            </w:pPr>
            <w:r w:rsidRPr="00850D33">
              <w:rPr>
                <w:rFonts w:asciiTheme="majorHAnsi" w:hAnsiTheme="majorHAnsi" w:cstheme="majorHAnsi"/>
                <w:bCs/>
                <w:sz w:val="16"/>
                <w:szCs w:val="16"/>
              </w:rPr>
              <w:t xml:space="preserve">Acuerdo Ministerial 02-2016 </w:t>
            </w:r>
          </w:p>
        </w:tc>
        <w:tc>
          <w:tcPr>
            <w:tcW w:w="3623" w:type="dxa"/>
            <w:tcBorders>
              <w:top w:val="single" w:sz="4" w:space="0" w:color="8EAADB"/>
              <w:left w:val="single" w:sz="4" w:space="0" w:color="8EAADB"/>
              <w:bottom w:val="single" w:sz="4" w:space="0" w:color="8EAADB"/>
              <w:right w:val="single" w:sz="4" w:space="0" w:color="8EAADB"/>
            </w:tcBorders>
            <w:shd w:val="clear" w:color="auto" w:fill="D9E2F3"/>
            <w:hideMark/>
          </w:tcPr>
          <w:p w14:paraId="5D8508E4" w14:textId="77777777" w:rsidR="00BF001E" w:rsidRPr="00850D33" w:rsidRDefault="00BF001E" w:rsidP="00BF001E">
            <w:pPr>
              <w:spacing w:line="256" w:lineRule="auto"/>
              <w:jc w:val="center"/>
              <w:rPr>
                <w:rFonts w:asciiTheme="majorHAnsi" w:hAnsiTheme="majorHAnsi" w:cstheme="majorHAnsi"/>
                <w:bCs/>
                <w:sz w:val="16"/>
                <w:szCs w:val="16"/>
              </w:rPr>
            </w:pPr>
            <w:r w:rsidRPr="00850D33">
              <w:rPr>
                <w:rFonts w:asciiTheme="majorHAnsi" w:hAnsiTheme="majorHAnsi" w:cstheme="majorHAnsi"/>
                <w:bCs/>
                <w:sz w:val="16"/>
                <w:szCs w:val="16"/>
              </w:rPr>
              <w:t>69</w:t>
            </w:r>
          </w:p>
        </w:tc>
      </w:tr>
      <w:tr w:rsidR="00BF001E" w:rsidRPr="003615DC" w14:paraId="795E3CB0" w14:textId="77777777" w:rsidTr="00BF001E">
        <w:trPr>
          <w:trHeight w:val="258"/>
          <w:jc w:val="center"/>
        </w:trPr>
        <w:tc>
          <w:tcPr>
            <w:tcW w:w="3623" w:type="dxa"/>
            <w:tcBorders>
              <w:top w:val="single" w:sz="4" w:space="0" w:color="8EAADB"/>
              <w:left w:val="single" w:sz="4" w:space="0" w:color="8EAADB"/>
              <w:bottom w:val="single" w:sz="4" w:space="0" w:color="8EAADB"/>
              <w:right w:val="single" w:sz="4" w:space="0" w:color="8EAADB"/>
            </w:tcBorders>
            <w:hideMark/>
          </w:tcPr>
          <w:p w14:paraId="139B3D5F" w14:textId="77777777" w:rsidR="00BF001E" w:rsidRPr="00850D33" w:rsidRDefault="00BF001E" w:rsidP="00BF001E">
            <w:pPr>
              <w:spacing w:line="256" w:lineRule="auto"/>
              <w:jc w:val="center"/>
              <w:rPr>
                <w:rFonts w:asciiTheme="majorHAnsi" w:hAnsiTheme="majorHAnsi" w:cstheme="majorHAnsi"/>
                <w:bCs/>
                <w:sz w:val="16"/>
                <w:szCs w:val="16"/>
              </w:rPr>
            </w:pPr>
            <w:r w:rsidRPr="00850D33">
              <w:rPr>
                <w:rFonts w:asciiTheme="majorHAnsi" w:hAnsiTheme="majorHAnsi" w:cstheme="majorHAnsi"/>
                <w:bCs/>
                <w:sz w:val="16"/>
                <w:szCs w:val="16"/>
              </w:rPr>
              <w:t>Acuerdo Ministerial 019-2017</w:t>
            </w:r>
          </w:p>
        </w:tc>
        <w:tc>
          <w:tcPr>
            <w:tcW w:w="3623" w:type="dxa"/>
            <w:tcBorders>
              <w:top w:val="single" w:sz="4" w:space="0" w:color="8EAADB"/>
              <w:left w:val="single" w:sz="4" w:space="0" w:color="8EAADB"/>
              <w:bottom w:val="single" w:sz="4" w:space="0" w:color="8EAADB"/>
              <w:right w:val="single" w:sz="4" w:space="0" w:color="8EAADB"/>
            </w:tcBorders>
            <w:hideMark/>
          </w:tcPr>
          <w:p w14:paraId="458E2640" w14:textId="77777777" w:rsidR="00BF001E" w:rsidRPr="00850D33" w:rsidRDefault="00BF001E" w:rsidP="00BF001E">
            <w:pPr>
              <w:spacing w:line="256" w:lineRule="auto"/>
              <w:jc w:val="center"/>
              <w:rPr>
                <w:rFonts w:asciiTheme="majorHAnsi" w:hAnsiTheme="majorHAnsi" w:cstheme="majorHAnsi"/>
                <w:bCs/>
                <w:sz w:val="16"/>
                <w:szCs w:val="16"/>
              </w:rPr>
            </w:pPr>
            <w:r w:rsidRPr="00850D33">
              <w:rPr>
                <w:rFonts w:asciiTheme="majorHAnsi" w:hAnsiTheme="majorHAnsi" w:cstheme="majorHAnsi"/>
                <w:bCs/>
                <w:sz w:val="16"/>
                <w:szCs w:val="16"/>
              </w:rPr>
              <w:t>126</w:t>
            </w:r>
          </w:p>
        </w:tc>
      </w:tr>
      <w:tr w:rsidR="00BF001E" w:rsidRPr="003615DC" w14:paraId="00BF284E" w14:textId="77777777" w:rsidTr="00BF001E">
        <w:trPr>
          <w:trHeight w:val="244"/>
          <w:jc w:val="center"/>
        </w:trPr>
        <w:tc>
          <w:tcPr>
            <w:tcW w:w="3623" w:type="dxa"/>
            <w:tcBorders>
              <w:top w:val="single" w:sz="4" w:space="0" w:color="8EAADB"/>
              <w:left w:val="single" w:sz="4" w:space="0" w:color="8EAADB"/>
              <w:bottom w:val="single" w:sz="4" w:space="0" w:color="8EAADB"/>
              <w:right w:val="single" w:sz="4" w:space="0" w:color="8EAADB"/>
            </w:tcBorders>
            <w:shd w:val="clear" w:color="auto" w:fill="D9E2F3"/>
            <w:hideMark/>
          </w:tcPr>
          <w:p w14:paraId="2F4B2B2B" w14:textId="77777777" w:rsidR="00BF001E" w:rsidRPr="00850D33" w:rsidRDefault="00BF001E" w:rsidP="00BF001E">
            <w:pPr>
              <w:spacing w:line="256" w:lineRule="auto"/>
              <w:jc w:val="center"/>
              <w:rPr>
                <w:rFonts w:asciiTheme="majorHAnsi" w:hAnsiTheme="majorHAnsi" w:cstheme="majorHAnsi"/>
                <w:b/>
                <w:bCs/>
                <w:i/>
                <w:sz w:val="16"/>
                <w:szCs w:val="16"/>
              </w:rPr>
            </w:pPr>
            <w:r w:rsidRPr="00850D33">
              <w:rPr>
                <w:rFonts w:asciiTheme="majorHAnsi" w:hAnsiTheme="majorHAnsi" w:cstheme="majorHAnsi"/>
                <w:b/>
                <w:bCs/>
                <w:i/>
                <w:sz w:val="16"/>
                <w:szCs w:val="16"/>
              </w:rPr>
              <w:t>TOTAL</w:t>
            </w:r>
          </w:p>
        </w:tc>
        <w:tc>
          <w:tcPr>
            <w:tcW w:w="3623" w:type="dxa"/>
            <w:tcBorders>
              <w:top w:val="single" w:sz="4" w:space="0" w:color="8EAADB"/>
              <w:left w:val="single" w:sz="4" w:space="0" w:color="8EAADB"/>
              <w:bottom w:val="single" w:sz="4" w:space="0" w:color="8EAADB"/>
              <w:right w:val="single" w:sz="4" w:space="0" w:color="8EAADB"/>
            </w:tcBorders>
            <w:shd w:val="clear" w:color="auto" w:fill="D9E2F3"/>
            <w:hideMark/>
          </w:tcPr>
          <w:p w14:paraId="71C3D494" w14:textId="77777777" w:rsidR="00BF001E" w:rsidRPr="00850D33" w:rsidRDefault="00BF001E" w:rsidP="00BF001E">
            <w:pPr>
              <w:spacing w:line="256" w:lineRule="auto"/>
              <w:jc w:val="center"/>
              <w:rPr>
                <w:rFonts w:asciiTheme="majorHAnsi" w:hAnsiTheme="majorHAnsi" w:cstheme="majorHAnsi"/>
                <w:b/>
                <w:bCs/>
                <w:i/>
                <w:sz w:val="16"/>
                <w:szCs w:val="16"/>
              </w:rPr>
            </w:pPr>
            <w:r w:rsidRPr="00850D33">
              <w:rPr>
                <w:rFonts w:asciiTheme="majorHAnsi" w:hAnsiTheme="majorHAnsi" w:cstheme="majorHAnsi"/>
                <w:b/>
                <w:bCs/>
                <w:i/>
                <w:sz w:val="16"/>
                <w:szCs w:val="16"/>
              </w:rPr>
              <w:t>195</w:t>
            </w:r>
          </w:p>
        </w:tc>
      </w:tr>
    </w:tbl>
    <w:p w14:paraId="4079F999" w14:textId="77777777" w:rsidR="00BF001E" w:rsidRPr="00941411" w:rsidRDefault="00BF001E" w:rsidP="00BF001E">
      <w:pPr>
        <w:pStyle w:val="Default"/>
        <w:ind w:left="-709"/>
        <w:jc w:val="center"/>
        <w:rPr>
          <w:rFonts w:asciiTheme="majorHAnsi" w:hAnsiTheme="majorHAnsi" w:cstheme="majorHAnsi"/>
          <w:i/>
          <w:color w:val="7F7F7F" w:themeColor="text1" w:themeTint="80"/>
          <w:sz w:val="16"/>
          <w:szCs w:val="16"/>
        </w:rPr>
      </w:pPr>
      <w:r w:rsidRPr="00941411">
        <w:rPr>
          <w:rFonts w:asciiTheme="majorHAnsi" w:hAnsiTheme="majorHAnsi" w:cstheme="majorHAnsi"/>
          <w:i/>
          <w:color w:val="7F7F7F" w:themeColor="text1" w:themeTint="80"/>
          <w:sz w:val="16"/>
          <w:szCs w:val="16"/>
        </w:rPr>
        <w:t>Fuente: Subsecretaría de Minería Artesanal y Pequeña Minería / Oct-2024</w:t>
      </w:r>
    </w:p>
    <w:p w14:paraId="22694471" w14:textId="77777777" w:rsidR="00BF001E" w:rsidRPr="003615DC" w:rsidRDefault="00BF001E" w:rsidP="00BF001E">
      <w:pPr>
        <w:jc w:val="both"/>
        <w:rPr>
          <w:rFonts w:asciiTheme="majorHAnsi" w:hAnsiTheme="majorHAnsi" w:cstheme="majorHAnsi"/>
          <w:sz w:val="22"/>
          <w:szCs w:val="22"/>
        </w:rPr>
      </w:pPr>
    </w:p>
    <w:p w14:paraId="3B736A88" w14:textId="77777777"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 xml:space="preserve">Además, en línea con el Decreto Ejecutivo Nro. 435, donde el </w:t>
      </w:r>
      <w:proofErr w:type="gramStart"/>
      <w:r w:rsidRPr="003615DC">
        <w:rPr>
          <w:rFonts w:asciiTheme="majorHAnsi" w:hAnsiTheme="majorHAnsi" w:cstheme="majorHAnsi"/>
          <w:sz w:val="22"/>
          <w:szCs w:val="22"/>
        </w:rPr>
        <w:t>Presidente</w:t>
      </w:r>
      <w:proofErr w:type="gramEnd"/>
      <w:r w:rsidRPr="003615DC">
        <w:rPr>
          <w:rFonts w:asciiTheme="majorHAnsi" w:hAnsiTheme="majorHAnsi" w:cstheme="majorHAnsi"/>
          <w:sz w:val="22"/>
          <w:szCs w:val="22"/>
        </w:rPr>
        <w:t xml:space="preserve"> de la República dispuso la actualización inmediata y coordinada del catastro minero y los registros administrativos ambientales mineros en un plazo de seis meses, se suspendió temporalmente el otorgamiento de cualquier derecho minero estipulado en la Ley de Minería a fin de realizar la depuración de los registros administrativos.</w:t>
      </w:r>
    </w:p>
    <w:p w14:paraId="55CAC82F" w14:textId="77777777" w:rsidR="00BF001E" w:rsidRPr="003615DC" w:rsidRDefault="00BF001E" w:rsidP="00BF001E">
      <w:pPr>
        <w:jc w:val="both"/>
        <w:rPr>
          <w:rFonts w:asciiTheme="majorHAnsi" w:hAnsiTheme="majorHAnsi" w:cstheme="majorHAnsi"/>
          <w:sz w:val="22"/>
          <w:szCs w:val="22"/>
        </w:rPr>
      </w:pPr>
    </w:p>
    <w:p w14:paraId="5F6E98AD" w14:textId="77777777"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Estamos comprometidos con la transparencia y la eficiencia en nuestros procesos. Trabajaremos diligentemente para cumplir con las directrices establecidas y atender los trámites pendientes a la brevedad posible.</w:t>
      </w:r>
    </w:p>
    <w:p w14:paraId="30E40A60" w14:textId="77777777" w:rsidR="00BF001E" w:rsidRPr="00B03CEC" w:rsidRDefault="00BF001E" w:rsidP="00BF001E">
      <w:pPr>
        <w:jc w:val="both"/>
        <w:rPr>
          <w:rFonts w:asciiTheme="majorHAnsi" w:hAnsiTheme="majorHAnsi" w:cstheme="majorHAnsi"/>
        </w:rPr>
      </w:pPr>
    </w:p>
    <w:p w14:paraId="376EE36F" w14:textId="77777777" w:rsidR="00BF001E" w:rsidRPr="00213F2B" w:rsidRDefault="00BF001E" w:rsidP="00B03CEC">
      <w:pPr>
        <w:pStyle w:val="Ttulo4"/>
        <w:rPr>
          <w:rFonts w:cstheme="majorHAnsi"/>
          <w:i w:val="0"/>
          <w:kern w:val="36"/>
          <w:sz w:val="22"/>
          <w:szCs w:val="22"/>
          <w:lang w:val="es-ES"/>
        </w:rPr>
      </w:pPr>
      <w:bookmarkStart w:id="222" w:name="_Toc157507033"/>
      <w:bookmarkStart w:id="223" w:name="_Toc157422744"/>
      <w:bookmarkStart w:id="224" w:name="_Toc127542753"/>
      <w:r w:rsidRPr="00213F2B">
        <w:rPr>
          <w:rFonts w:cstheme="majorHAnsi"/>
          <w:i w:val="0"/>
          <w:sz w:val="22"/>
          <w:szCs w:val="22"/>
        </w:rPr>
        <w:t xml:space="preserve">Resumen Trámites Atendidos Coordinaciones Zonales A Nivel Nacional - </w:t>
      </w:r>
      <w:r w:rsidRPr="00213F2B">
        <w:rPr>
          <w:rFonts w:cstheme="majorHAnsi"/>
          <w:i w:val="0"/>
          <w:kern w:val="36"/>
          <w:sz w:val="22"/>
          <w:szCs w:val="22"/>
          <w:lang w:val="es-ES"/>
        </w:rPr>
        <w:t>Sustanciación De Trámites De Pequeña Minería No Metálica</w:t>
      </w:r>
      <w:bookmarkEnd w:id="222"/>
      <w:bookmarkEnd w:id="223"/>
      <w:bookmarkEnd w:id="224"/>
    </w:p>
    <w:p w14:paraId="3417FC01" w14:textId="77777777" w:rsidR="00BF001E" w:rsidRPr="003615DC" w:rsidRDefault="00BF001E" w:rsidP="00BF001E">
      <w:pPr>
        <w:rPr>
          <w:rFonts w:asciiTheme="majorHAnsi" w:hAnsiTheme="majorHAnsi" w:cstheme="majorHAnsi"/>
          <w:sz w:val="22"/>
          <w:szCs w:val="22"/>
          <w:lang w:val="es-ES"/>
        </w:rPr>
      </w:pPr>
    </w:p>
    <w:p w14:paraId="172B94AC" w14:textId="77777777"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 xml:space="preserve">El Viceministerio de Minas a través de la Dirección de Pequeña Minería, realizó el seguimiento a las actividades realizadas durante el año 2024 en los procesos de otorgamiento de concesiones mineras bajo el Régimen Especial de Pequeña Minería No Metálica que se ejecutan en las Coordinaciones Zonales del Ministerio de Energía y Minas distribuidas en todo el territorio nacional. </w:t>
      </w:r>
    </w:p>
    <w:p w14:paraId="7B42AD03" w14:textId="77777777" w:rsidR="00BF001E" w:rsidRPr="003615DC" w:rsidRDefault="00BF001E" w:rsidP="00850D33">
      <w:pPr>
        <w:rPr>
          <w:rFonts w:asciiTheme="majorHAnsi" w:hAnsiTheme="majorHAnsi" w:cstheme="majorHAnsi"/>
          <w:sz w:val="22"/>
          <w:szCs w:val="22"/>
          <w:lang w:val="es-ES_tradnl" w:eastAsia="es-ES"/>
        </w:rPr>
      </w:pPr>
    </w:p>
    <w:p w14:paraId="47F456DB" w14:textId="40B94FD6" w:rsidR="00BF001E" w:rsidRPr="003615DC" w:rsidRDefault="00850D33" w:rsidP="00BF001E">
      <w:pPr>
        <w:jc w:val="both"/>
        <w:rPr>
          <w:rFonts w:asciiTheme="majorHAnsi" w:hAnsiTheme="majorHAnsi" w:cstheme="majorHAnsi"/>
          <w:sz w:val="22"/>
          <w:szCs w:val="22"/>
        </w:rPr>
      </w:pPr>
      <w:r>
        <w:rPr>
          <w:rFonts w:asciiTheme="majorHAnsi" w:hAnsiTheme="majorHAnsi" w:cstheme="majorHAnsi"/>
          <w:sz w:val="22"/>
          <w:szCs w:val="22"/>
        </w:rPr>
        <w:t>C</w:t>
      </w:r>
      <w:r w:rsidR="00BF001E" w:rsidRPr="003615DC">
        <w:rPr>
          <w:rFonts w:asciiTheme="majorHAnsi" w:hAnsiTheme="majorHAnsi" w:cstheme="majorHAnsi"/>
          <w:sz w:val="22"/>
          <w:szCs w:val="22"/>
        </w:rPr>
        <w:t xml:space="preserve">on el Decreto Ejecutivo Nro. 435, donde el </w:t>
      </w:r>
      <w:proofErr w:type="gramStart"/>
      <w:r w:rsidR="00BF001E" w:rsidRPr="003615DC">
        <w:rPr>
          <w:rFonts w:asciiTheme="majorHAnsi" w:hAnsiTheme="majorHAnsi" w:cstheme="majorHAnsi"/>
          <w:sz w:val="22"/>
          <w:szCs w:val="22"/>
        </w:rPr>
        <w:t>Presidente</w:t>
      </w:r>
      <w:proofErr w:type="gramEnd"/>
      <w:r w:rsidR="00BF001E" w:rsidRPr="003615DC">
        <w:rPr>
          <w:rFonts w:asciiTheme="majorHAnsi" w:hAnsiTheme="majorHAnsi" w:cstheme="majorHAnsi"/>
          <w:sz w:val="22"/>
          <w:szCs w:val="22"/>
        </w:rPr>
        <w:t xml:space="preserve"> de la República dispuso la actualización inmediata y coordinada del catastro minero y los registros administrativos ambientales mineros en un plazo de seis meses, se suspendió temporalmente el otorgamiento de cualquier derecho minero estipulado en la Ley de Minería a fin de realizar la depuración de los registros administrativos.</w:t>
      </w:r>
    </w:p>
    <w:p w14:paraId="03B4F8B0" w14:textId="77777777" w:rsidR="00BF001E" w:rsidRPr="003615DC" w:rsidRDefault="00BF001E" w:rsidP="00BF001E">
      <w:pPr>
        <w:jc w:val="both"/>
        <w:rPr>
          <w:rFonts w:asciiTheme="majorHAnsi" w:hAnsiTheme="majorHAnsi" w:cstheme="majorHAnsi"/>
          <w:sz w:val="22"/>
          <w:szCs w:val="22"/>
        </w:rPr>
      </w:pPr>
    </w:p>
    <w:p w14:paraId="38312E58" w14:textId="20389E35" w:rsidR="000418AE"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Estamos comprometidos con la transparencia y la eficiencia en nuestros procesos. Trabajaremos diligentemente para cumplir con las directrices establecidas y atender los trámites pendientes a la brevedad posible.</w:t>
      </w:r>
    </w:p>
    <w:p w14:paraId="50667DA8" w14:textId="77777777" w:rsidR="00BF001E" w:rsidRPr="003615DC" w:rsidRDefault="00BF001E" w:rsidP="00BF001E">
      <w:pPr>
        <w:jc w:val="both"/>
        <w:rPr>
          <w:rFonts w:asciiTheme="majorHAnsi" w:hAnsiTheme="majorHAnsi" w:cstheme="majorHAnsi"/>
          <w:sz w:val="22"/>
          <w:szCs w:val="22"/>
        </w:rPr>
      </w:pPr>
    </w:p>
    <w:p w14:paraId="06EF63F6" w14:textId="77777777" w:rsidR="00BF001E" w:rsidRPr="00213F2B" w:rsidRDefault="00BF001E" w:rsidP="00213F2B">
      <w:pPr>
        <w:pStyle w:val="Ttulo4"/>
        <w:rPr>
          <w:i w:val="0"/>
          <w:sz w:val="22"/>
          <w:szCs w:val="22"/>
        </w:rPr>
      </w:pPr>
      <w:bookmarkStart w:id="225" w:name="_Toc157507031"/>
      <w:bookmarkStart w:id="226" w:name="_Toc157422742"/>
      <w:bookmarkStart w:id="227" w:name="_Toc127542750"/>
      <w:r w:rsidRPr="00213F2B">
        <w:rPr>
          <w:i w:val="0"/>
          <w:sz w:val="22"/>
          <w:szCs w:val="22"/>
        </w:rPr>
        <w:t>Seguimiento a los Trámites Priorizados en el Ámbito de Regularización Ambiental</w:t>
      </w:r>
      <w:bookmarkEnd w:id="225"/>
      <w:bookmarkEnd w:id="226"/>
      <w:bookmarkEnd w:id="227"/>
    </w:p>
    <w:p w14:paraId="28DA8440" w14:textId="77777777" w:rsidR="00BF001E" w:rsidRPr="003615DC" w:rsidRDefault="00BF001E" w:rsidP="00BF001E">
      <w:pPr>
        <w:rPr>
          <w:rFonts w:asciiTheme="majorHAnsi" w:hAnsiTheme="majorHAnsi" w:cstheme="majorHAnsi"/>
          <w:sz w:val="22"/>
          <w:szCs w:val="22"/>
        </w:rPr>
      </w:pPr>
    </w:p>
    <w:p w14:paraId="62104159" w14:textId="77777777" w:rsidR="00BF001E" w:rsidRPr="003615DC" w:rsidRDefault="00BF001E" w:rsidP="00BF001E">
      <w:pPr>
        <w:autoSpaceDE w:val="0"/>
        <w:autoSpaceDN w:val="0"/>
        <w:adjustRightInd w:val="0"/>
        <w:spacing w:after="240"/>
        <w:jc w:val="both"/>
        <w:rPr>
          <w:rFonts w:asciiTheme="majorHAnsi" w:hAnsiTheme="majorHAnsi" w:cstheme="majorHAnsi"/>
          <w:sz w:val="22"/>
          <w:szCs w:val="22"/>
        </w:rPr>
      </w:pPr>
      <w:bookmarkStart w:id="228" w:name="_Toc157507032"/>
      <w:bookmarkStart w:id="229" w:name="_Toc157422743"/>
      <w:bookmarkStart w:id="230" w:name="_Toc127542752"/>
      <w:bookmarkStart w:id="231" w:name="_Toc109120564"/>
      <w:r w:rsidRPr="003615DC">
        <w:rPr>
          <w:rFonts w:asciiTheme="majorHAnsi" w:hAnsiTheme="majorHAnsi" w:cstheme="majorHAnsi"/>
          <w:sz w:val="22"/>
          <w:szCs w:val="22"/>
        </w:rPr>
        <w:t xml:space="preserve">A diciembre 2024, la Dirección de Pequeña Minería dio seguimiento a 765 concesiones mineras bajo el régimen especial de pequeña minería metálica, que se encuentran pendientes de obtener la licencia ambiental, de lo cual se obtuvo como resultado: </w:t>
      </w:r>
    </w:p>
    <w:p w14:paraId="24A7D2B8" w14:textId="0C3F867B" w:rsidR="00BF001E" w:rsidRPr="003615DC" w:rsidRDefault="00BF001E" w:rsidP="00BF001E">
      <w:pPr>
        <w:pStyle w:val="Descripcin"/>
        <w:rPr>
          <w:rFonts w:asciiTheme="majorHAnsi" w:hAnsiTheme="majorHAnsi" w:cstheme="majorHAnsi"/>
          <w:sz w:val="22"/>
          <w:szCs w:val="22"/>
        </w:rPr>
      </w:pPr>
      <w:bookmarkStart w:id="232" w:name="_Toc198821625"/>
      <w:bookmarkStart w:id="233" w:name="_Toc199759687"/>
      <w:r w:rsidRPr="003615DC">
        <w:rPr>
          <w:rFonts w:asciiTheme="majorHAnsi" w:hAnsiTheme="majorHAnsi" w:cstheme="majorHAnsi"/>
        </w:rPr>
        <w:t xml:space="preserve">Tabla </w:t>
      </w:r>
      <w:r w:rsidRPr="003615DC">
        <w:rPr>
          <w:rFonts w:asciiTheme="majorHAnsi" w:hAnsiTheme="majorHAnsi" w:cstheme="majorHAnsi"/>
        </w:rPr>
        <w:fldChar w:fldCharType="begin"/>
      </w:r>
      <w:r w:rsidRPr="003615DC">
        <w:rPr>
          <w:rFonts w:asciiTheme="majorHAnsi" w:hAnsiTheme="majorHAnsi" w:cstheme="majorHAnsi"/>
        </w:rPr>
        <w:instrText xml:space="preserve"> SEQ Tabla \* ARABIC </w:instrText>
      </w:r>
      <w:r w:rsidRPr="003615DC">
        <w:rPr>
          <w:rFonts w:asciiTheme="majorHAnsi" w:hAnsiTheme="majorHAnsi" w:cstheme="majorHAnsi"/>
        </w:rPr>
        <w:fldChar w:fldCharType="separate"/>
      </w:r>
      <w:r w:rsidR="00CF0AD2">
        <w:rPr>
          <w:rFonts w:asciiTheme="majorHAnsi" w:hAnsiTheme="majorHAnsi" w:cstheme="majorHAnsi"/>
          <w:noProof/>
        </w:rPr>
        <w:t>17</w:t>
      </w:r>
      <w:r w:rsidRPr="003615DC">
        <w:rPr>
          <w:rFonts w:asciiTheme="majorHAnsi" w:hAnsiTheme="majorHAnsi" w:cstheme="majorHAnsi"/>
          <w:noProof/>
        </w:rPr>
        <w:fldChar w:fldCharType="end"/>
      </w:r>
      <w:r w:rsidRPr="003615DC">
        <w:rPr>
          <w:rFonts w:asciiTheme="majorHAnsi" w:hAnsiTheme="majorHAnsi" w:cstheme="majorHAnsi"/>
        </w:rPr>
        <w:t>: Trámites Priorizados de Pequeña Minería Metálica</w:t>
      </w:r>
      <w:bookmarkEnd w:id="232"/>
      <w:bookmarkEnd w:id="233"/>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623"/>
        <w:gridCol w:w="3623"/>
      </w:tblGrid>
      <w:tr w:rsidR="00BF001E" w:rsidRPr="003615DC" w14:paraId="4511CC77" w14:textId="77777777" w:rsidTr="00213F2B">
        <w:trPr>
          <w:trHeight w:val="244"/>
          <w:tblHeader/>
          <w:jc w:val="center"/>
        </w:trPr>
        <w:tc>
          <w:tcPr>
            <w:tcW w:w="3623" w:type="dxa"/>
            <w:tcBorders>
              <w:top w:val="single" w:sz="4" w:space="0" w:color="4472C4"/>
              <w:left w:val="single" w:sz="4" w:space="0" w:color="4472C4"/>
              <w:bottom w:val="single" w:sz="4" w:space="0" w:color="4472C4"/>
              <w:right w:val="nil"/>
            </w:tcBorders>
            <w:shd w:val="clear" w:color="auto" w:fill="4472C4"/>
            <w:hideMark/>
          </w:tcPr>
          <w:p w14:paraId="554B9916" w14:textId="77777777" w:rsidR="00BF001E" w:rsidRPr="003615DC" w:rsidRDefault="00BF001E" w:rsidP="00BF001E">
            <w:pPr>
              <w:spacing w:line="256" w:lineRule="auto"/>
              <w:jc w:val="center"/>
              <w:rPr>
                <w:rFonts w:asciiTheme="majorHAnsi" w:hAnsiTheme="majorHAnsi" w:cstheme="majorHAnsi"/>
                <w:b/>
                <w:color w:val="FFFFFF"/>
                <w:sz w:val="22"/>
                <w:szCs w:val="22"/>
              </w:rPr>
            </w:pPr>
            <w:r w:rsidRPr="003615DC">
              <w:rPr>
                <w:rFonts w:asciiTheme="majorHAnsi" w:hAnsiTheme="majorHAnsi" w:cstheme="majorHAnsi"/>
                <w:b/>
                <w:color w:val="FFFFFF"/>
                <w:sz w:val="22"/>
                <w:szCs w:val="22"/>
              </w:rPr>
              <w:t xml:space="preserve">ESTADO DEL TRÁMITE </w:t>
            </w:r>
          </w:p>
        </w:tc>
        <w:tc>
          <w:tcPr>
            <w:tcW w:w="3623" w:type="dxa"/>
            <w:tcBorders>
              <w:top w:val="single" w:sz="4" w:space="0" w:color="4472C4"/>
              <w:left w:val="nil"/>
              <w:bottom w:val="single" w:sz="4" w:space="0" w:color="4472C4"/>
              <w:right w:val="single" w:sz="4" w:space="0" w:color="4472C4"/>
            </w:tcBorders>
            <w:shd w:val="clear" w:color="auto" w:fill="4472C4"/>
            <w:hideMark/>
          </w:tcPr>
          <w:p w14:paraId="503CBC54" w14:textId="77777777" w:rsidR="00BF001E" w:rsidRPr="003615DC" w:rsidRDefault="00BF001E" w:rsidP="00BF001E">
            <w:pPr>
              <w:spacing w:line="256" w:lineRule="auto"/>
              <w:jc w:val="center"/>
              <w:rPr>
                <w:rFonts w:asciiTheme="majorHAnsi" w:hAnsiTheme="majorHAnsi" w:cstheme="majorHAnsi"/>
                <w:b/>
                <w:color w:val="FFFFFF"/>
                <w:sz w:val="22"/>
                <w:szCs w:val="22"/>
              </w:rPr>
            </w:pPr>
            <w:r w:rsidRPr="003615DC">
              <w:rPr>
                <w:rFonts w:asciiTheme="majorHAnsi" w:hAnsiTheme="majorHAnsi" w:cstheme="majorHAnsi"/>
                <w:b/>
                <w:color w:val="FFFFFF"/>
                <w:sz w:val="22"/>
                <w:szCs w:val="22"/>
              </w:rPr>
              <w:t>CONCESIONES</w:t>
            </w:r>
          </w:p>
        </w:tc>
      </w:tr>
      <w:tr w:rsidR="00BF001E" w:rsidRPr="003615DC" w14:paraId="52C55CF9" w14:textId="77777777" w:rsidTr="00BF001E">
        <w:trPr>
          <w:trHeight w:val="244"/>
          <w:jc w:val="center"/>
        </w:trPr>
        <w:tc>
          <w:tcPr>
            <w:tcW w:w="3623" w:type="dxa"/>
            <w:tcBorders>
              <w:top w:val="single" w:sz="4" w:space="0" w:color="8EAADB"/>
              <w:left w:val="single" w:sz="4" w:space="0" w:color="8EAADB"/>
              <w:bottom w:val="single" w:sz="4" w:space="0" w:color="8EAADB"/>
              <w:right w:val="single" w:sz="4" w:space="0" w:color="8EAADB"/>
            </w:tcBorders>
            <w:shd w:val="clear" w:color="auto" w:fill="D9E2F3"/>
            <w:hideMark/>
          </w:tcPr>
          <w:p w14:paraId="56DDC4ED" w14:textId="77777777" w:rsidR="00BF001E" w:rsidRPr="003615DC" w:rsidRDefault="00BF001E" w:rsidP="00BF001E">
            <w:pPr>
              <w:spacing w:line="256" w:lineRule="auto"/>
              <w:jc w:val="center"/>
              <w:rPr>
                <w:rFonts w:asciiTheme="majorHAnsi" w:hAnsiTheme="majorHAnsi" w:cstheme="majorHAnsi"/>
                <w:bCs/>
                <w:sz w:val="22"/>
                <w:szCs w:val="22"/>
              </w:rPr>
            </w:pPr>
            <w:r w:rsidRPr="003615DC">
              <w:rPr>
                <w:rFonts w:asciiTheme="majorHAnsi" w:hAnsiTheme="majorHAnsi" w:cstheme="majorHAnsi"/>
                <w:bCs/>
                <w:sz w:val="22"/>
                <w:szCs w:val="22"/>
              </w:rPr>
              <w:t xml:space="preserve">En proceso </w:t>
            </w:r>
          </w:p>
        </w:tc>
        <w:tc>
          <w:tcPr>
            <w:tcW w:w="3623" w:type="dxa"/>
            <w:tcBorders>
              <w:top w:val="single" w:sz="4" w:space="0" w:color="8EAADB"/>
              <w:left w:val="single" w:sz="4" w:space="0" w:color="8EAADB"/>
              <w:bottom w:val="single" w:sz="4" w:space="0" w:color="8EAADB"/>
              <w:right w:val="single" w:sz="4" w:space="0" w:color="8EAADB"/>
            </w:tcBorders>
            <w:shd w:val="clear" w:color="auto" w:fill="D9E2F3"/>
            <w:hideMark/>
          </w:tcPr>
          <w:p w14:paraId="14D88DD2" w14:textId="77777777" w:rsidR="00BF001E" w:rsidRPr="003615DC" w:rsidRDefault="00BF001E" w:rsidP="00BF001E">
            <w:pPr>
              <w:spacing w:line="256" w:lineRule="auto"/>
              <w:jc w:val="center"/>
              <w:rPr>
                <w:rFonts w:asciiTheme="majorHAnsi" w:hAnsiTheme="majorHAnsi" w:cstheme="majorHAnsi"/>
                <w:bCs/>
                <w:sz w:val="22"/>
                <w:szCs w:val="22"/>
              </w:rPr>
            </w:pPr>
            <w:r w:rsidRPr="003615DC">
              <w:rPr>
                <w:rFonts w:asciiTheme="majorHAnsi" w:hAnsiTheme="majorHAnsi" w:cstheme="majorHAnsi"/>
                <w:bCs/>
                <w:sz w:val="22"/>
                <w:szCs w:val="22"/>
              </w:rPr>
              <w:t>318</w:t>
            </w:r>
          </w:p>
        </w:tc>
      </w:tr>
      <w:tr w:rsidR="00BF001E" w:rsidRPr="003615DC" w14:paraId="114CBE6B" w14:textId="77777777" w:rsidTr="00BF001E">
        <w:trPr>
          <w:trHeight w:val="258"/>
          <w:jc w:val="center"/>
        </w:trPr>
        <w:tc>
          <w:tcPr>
            <w:tcW w:w="3623" w:type="dxa"/>
            <w:tcBorders>
              <w:top w:val="single" w:sz="4" w:space="0" w:color="8EAADB"/>
              <w:left w:val="single" w:sz="4" w:space="0" w:color="8EAADB"/>
              <w:bottom w:val="single" w:sz="4" w:space="0" w:color="8EAADB"/>
              <w:right w:val="single" w:sz="4" w:space="0" w:color="8EAADB"/>
            </w:tcBorders>
            <w:hideMark/>
          </w:tcPr>
          <w:p w14:paraId="788C9252" w14:textId="77777777" w:rsidR="00BF001E" w:rsidRPr="003615DC" w:rsidRDefault="00BF001E" w:rsidP="00BF001E">
            <w:pPr>
              <w:spacing w:line="256" w:lineRule="auto"/>
              <w:jc w:val="center"/>
              <w:rPr>
                <w:rFonts w:asciiTheme="majorHAnsi" w:hAnsiTheme="majorHAnsi" w:cstheme="majorHAnsi"/>
                <w:bCs/>
                <w:sz w:val="22"/>
                <w:szCs w:val="22"/>
              </w:rPr>
            </w:pPr>
            <w:r w:rsidRPr="003615DC">
              <w:rPr>
                <w:rFonts w:asciiTheme="majorHAnsi" w:hAnsiTheme="majorHAnsi" w:cstheme="majorHAnsi"/>
                <w:bCs/>
                <w:sz w:val="22"/>
                <w:szCs w:val="22"/>
              </w:rPr>
              <w:t>No registra ningún tipo de trámite</w:t>
            </w:r>
          </w:p>
        </w:tc>
        <w:tc>
          <w:tcPr>
            <w:tcW w:w="3623" w:type="dxa"/>
            <w:tcBorders>
              <w:top w:val="single" w:sz="4" w:space="0" w:color="8EAADB"/>
              <w:left w:val="single" w:sz="4" w:space="0" w:color="8EAADB"/>
              <w:bottom w:val="single" w:sz="4" w:space="0" w:color="8EAADB"/>
              <w:right w:val="single" w:sz="4" w:space="0" w:color="8EAADB"/>
            </w:tcBorders>
            <w:hideMark/>
          </w:tcPr>
          <w:p w14:paraId="43D65A23" w14:textId="77777777" w:rsidR="00BF001E" w:rsidRPr="003615DC" w:rsidRDefault="00BF001E" w:rsidP="00BF001E">
            <w:pPr>
              <w:spacing w:line="256" w:lineRule="auto"/>
              <w:jc w:val="center"/>
              <w:rPr>
                <w:rFonts w:asciiTheme="majorHAnsi" w:hAnsiTheme="majorHAnsi" w:cstheme="majorHAnsi"/>
                <w:bCs/>
                <w:sz w:val="22"/>
                <w:szCs w:val="22"/>
              </w:rPr>
            </w:pPr>
            <w:r w:rsidRPr="003615DC">
              <w:rPr>
                <w:rFonts w:asciiTheme="majorHAnsi" w:hAnsiTheme="majorHAnsi" w:cstheme="majorHAnsi"/>
                <w:bCs/>
                <w:sz w:val="22"/>
                <w:szCs w:val="22"/>
              </w:rPr>
              <w:t>371</w:t>
            </w:r>
          </w:p>
        </w:tc>
      </w:tr>
      <w:tr w:rsidR="00BF001E" w:rsidRPr="003615DC" w14:paraId="2FAB5F87" w14:textId="77777777" w:rsidTr="00BF001E">
        <w:trPr>
          <w:trHeight w:val="258"/>
          <w:jc w:val="center"/>
        </w:trPr>
        <w:tc>
          <w:tcPr>
            <w:tcW w:w="3623"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hideMark/>
          </w:tcPr>
          <w:p w14:paraId="4831D035" w14:textId="77777777" w:rsidR="00BF001E" w:rsidRPr="003615DC" w:rsidRDefault="00BF001E" w:rsidP="00BF001E">
            <w:pPr>
              <w:spacing w:line="256" w:lineRule="auto"/>
              <w:jc w:val="center"/>
              <w:rPr>
                <w:rFonts w:asciiTheme="majorHAnsi" w:hAnsiTheme="majorHAnsi" w:cstheme="majorHAnsi"/>
                <w:bCs/>
                <w:sz w:val="22"/>
                <w:szCs w:val="22"/>
              </w:rPr>
            </w:pPr>
            <w:r w:rsidRPr="003615DC">
              <w:rPr>
                <w:rFonts w:asciiTheme="majorHAnsi" w:hAnsiTheme="majorHAnsi" w:cstheme="majorHAnsi"/>
                <w:bCs/>
                <w:sz w:val="22"/>
                <w:szCs w:val="22"/>
              </w:rPr>
              <w:t xml:space="preserve">Posee licencia ambiental </w:t>
            </w:r>
          </w:p>
        </w:tc>
        <w:tc>
          <w:tcPr>
            <w:tcW w:w="3623"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hideMark/>
          </w:tcPr>
          <w:p w14:paraId="3A0D6A14" w14:textId="77777777" w:rsidR="00BF001E" w:rsidRPr="003615DC" w:rsidRDefault="00BF001E" w:rsidP="00BF001E">
            <w:pPr>
              <w:spacing w:line="256" w:lineRule="auto"/>
              <w:jc w:val="center"/>
              <w:rPr>
                <w:rFonts w:asciiTheme="majorHAnsi" w:hAnsiTheme="majorHAnsi" w:cstheme="majorHAnsi"/>
                <w:bCs/>
                <w:sz w:val="22"/>
                <w:szCs w:val="22"/>
              </w:rPr>
            </w:pPr>
            <w:r w:rsidRPr="003615DC">
              <w:rPr>
                <w:rFonts w:asciiTheme="majorHAnsi" w:hAnsiTheme="majorHAnsi" w:cstheme="majorHAnsi"/>
                <w:bCs/>
                <w:sz w:val="22"/>
                <w:szCs w:val="22"/>
              </w:rPr>
              <w:t>51</w:t>
            </w:r>
          </w:p>
        </w:tc>
      </w:tr>
      <w:tr w:rsidR="00BF001E" w:rsidRPr="003615DC" w14:paraId="418A9717" w14:textId="77777777" w:rsidTr="00BF001E">
        <w:trPr>
          <w:trHeight w:val="258"/>
          <w:jc w:val="center"/>
        </w:trPr>
        <w:tc>
          <w:tcPr>
            <w:tcW w:w="3623" w:type="dxa"/>
            <w:tcBorders>
              <w:top w:val="single" w:sz="4" w:space="0" w:color="8EAADB"/>
              <w:left w:val="single" w:sz="4" w:space="0" w:color="8EAADB"/>
              <w:bottom w:val="single" w:sz="4" w:space="0" w:color="8EAADB"/>
              <w:right w:val="single" w:sz="4" w:space="0" w:color="8EAADB"/>
            </w:tcBorders>
            <w:hideMark/>
          </w:tcPr>
          <w:p w14:paraId="5C7C84D9" w14:textId="77777777" w:rsidR="00BF001E" w:rsidRPr="003615DC" w:rsidRDefault="00BF001E" w:rsidP="00BF001E">
            <w:pPr>
              <w:spacing w:line="256" w:lineRule="auto"/>
              <w:jc w:val="center"/>
              <w:rPr>
                <w:rFonts w:asciiTheme="majorHAnsi" w:hAnsiTheme="majorHAnsi" w:cstheme="majorHAnsi"/>
                <w:bCs/>
                <w:sz w:val="22"/>
                <w:szCs w:val="22"/>
              </w:rPr>
            </w:pPr>
            <w:r w:rsidRPr="003615DC">
              <w:rPr>
                <w:rFonts w:asciiTheme="majorHAnsi" w:hAnsiTheme="majorHAnsi" w:cstheme="majorHAnsi"/>
                <w:bCs/>
                <w:sz w:val="22"/>
                <w:szCs w:val="22"/>
              </w:rPr>
              <w:t>Posee registro ambiental</w:t>
            </w:r>
          </w:p>
        </w:tc>
        <w:tc>
          <w:tcPr>
            <w:tcW w:w="3623" w:type="dxa"/>
            <w:tcBorders>
              <w:top w:val="single" w:sz="4" w:space="0" w:color="8EAADB"/>
              <w:left w:val="single" w:sz="4" w:space="0" w:color="8EAADB"/>
              <w:bottom w:val="single" w:sz="4" w:space="0" w:color="8EAADB"/>
              <w:right w:val="single" w:sz="4" w:space="0" w:color="8EAADB"/>
            </w:tcBorders>
            <w:hideMark/>
          </w:tcPr>
          <w:p w14:paraId="30016BA0" w14:textId="77777777" w:rsidR="00BF001E" w:rsidRPr="003615DC" w:rsidRDefault="00BF001E" w:rsidP="00BF001E">
            <w:pPr>
              <w:spacing w:line="256" w:lineRule="auto"/>
              <w:jc w:val="center"/>
              <w:rPr>
                <w:rFonts w:asciiTheme="majorHAnsi" w:hAnsiTheme="majorHAnsi" w:cstheme="majorHAnsi"/>
                <w:bCs/>
                <w:sz w:val="22"/>
                <w:szCs w:val="22"/>
              </w:rPr>
            </w:pPr>
            <w:r w:rsidRPr="003615DC">
              <w:rPr>
                <w:rFonts w:asciiTheme="majorHAnsi" w:hAnsiTheme="majorHAnsi" w:cstheme="majorHAnsi"/>
                <w:bCs/>
                <w:sz w:val="22"/>
                <w:szCs w:val="22"/>
              </w:rPr>
              <w:t>25</w:t>
            </w:r>
          </w:p>
        </w:tc>
      </w:tr>
      <w:tr w:rsidR="00BF001E" w:rsidRPr="003615DC" w14:paraId="44642712" w14:textId="77777777" w:rsidTr="00BF001E">
        <w:trPr>
          <w:trHeight w:val="244"/>
          <w:jc w:val="center"/>
        </w:trPr>
        <w:tc>
          <w:tcPr>
            <w:tcW w:w="3623" w:type="dxa"/>
            <w:tcBorders>
              <w:top w:val="single" w:sz="4" w:space="0" w:color="8EAADB"/>
              <w:left w:val="single" w:sz="4" w:space="0" w:color="8EAADB"/>
              <w:bottom w:val="single" w:sz="4" w:space="0" w:color="8EAADB"/>
              <w:right w:val="single" w:sz="4" w:space="0" w:color="8EAADB"/>
            </w:tcBorders>
            <w:shd w:val="clear" w:color="auto" w:fill="D9E2F3"/>
            <w:hideMark/>
          </w:tcPr>
          <w:p w14:paraId="7CD32F82" w14:textId="77777777" w:rsidR="00BF001E" w:rsidRPr="003615DC" w:rsidRDefault="00BF001E" w:rsidP="00BF001E">
            <w:pPr>
              <w:spacing w:line="256" w:lineRule="auto"/>
              <w:jc w:val="center"/>
              <w:rPr>
                <w:rFonts w:asciiTheme="majorHAnsi" w:hAnsiTheme="majorHAnsi" w:cstheme="majorHAnsi"/>
                <w:b/>
                <w:bCs/>
                <w:i/>
                <w:sz w:val="22"/>
                <w:szCs w:val="22"/>
              </w:rPr>
            </w:pPr>
            <w:r w:rsidRPr="003615DC">
              <w:rPr>
                <w:rFonts w:asciiTheme="majorHAnsi" w:hAnsiTheme="majorHAnsi" w:cstheme="majorHAnsi"/>
                <w:b/>
                <w:bCs/>
                <w:i/>
                <w:sz w:val="22"/>
                <w:szCs w:val="22"/>
              </w:rPr>
              <w:t>TOTAL</w:t>
            </w:r>
          </w:p>
        </w:tc>
        <w:tc>
          <w:tcPr>
            <w:tcW w:w="3623" w:type="dxa"/>
            <w:tcBorders>
              <w:top w:val="single" w:sz="4" w:space="0" w:color="8EAADB"/>
              <w:left w:val="single" w:sz="4" w:space="0" w:color="8EAADB"/>
              <w:bottom w:val="single" w:sz="4" w:space="0" w:color="8EAADB"/>
              <w:right w:val="single" w:sz="4" w:space="0" w:color="8EAADB"/>
            </w:tcBorders>
            <w:shd w:val="clear" w:color="auto" w:fill="D9E2F3"/>
            <w:hideMark/>
          </w:tcPr>
          <w:p w14:paraId="4CD28C7B" w14:textId="77777777" w:rsidR="00BF001E" w:rsidRPr="003615DC" w:rsidRDefault="00BF001E" w:rsidP="00BF001E">
            <w:pPr>
              <w:spacing w:line="256" w:lineRule="auto"/>
              <w:jc w:val="center"/>
              <w:rPr>
                <w:rFonts w:asciiTheme="majorHAnsi" w:hAnsiTheme="majorHAnsi" w:cstheme="majorHAnsi"/>
                <w:b/>
                <w:bCs/>
                <w:i/>
                <w:sz w:val="22"/>
                <w:szCs w:val="22"/>
              </w:rPr>
            </w:pPr>
            <w:r w:rsidRPr="003615DC">
              <w:rPr>
                <w:rFonts w:asciiTheme="majorHAnsi" w:hAnsiTheme="majorHAnsi" w:cstheme="majorHAnsi"/>
                <w:b/>
                <w:bCs/>
                <w:i/>
                <w:sz w:val="22"/>
                <w:szCs w:val="22"/>
              </w:rPr>
              <w:t>765</w:t>
            </w:r>
          </w:p>
        </w:tc>
      </w:tr>
    </w:tbl>
    <w:p w14:paraId="513BB5F4" w14:textId="77777777" w:rsidR="00BF001E" w:rsidRPr="003615DC" w:rsidRDefault="00BF001E" w:rsidP="00BF001E">
      <w:pPr>
        <w:pStyle w:val="Default"/>
        <w:ind w:left="-709"/>
        <w:jc w:val="center"/>
        <w:rPr>
          <w:rFonts w:asciiTheme="majorHAnsi" w:hAnsiTheme="majorHAnsi" w:cstheme="majorHAnsi"/>
          <w:color w:val="7F7F7F" w:themeColor="text1" w:themeTint="80"/>
          <w:sz w:val="20"/>
          <w:szCs w:val="22"/>
        </w:rPr>
      </w:pPr>
      <w:r w:rsidRPr="003615DC">
        <w:rPr>
          <w:rFonts w:asciiTheme="majorHAnsi" w:hAnsiTheme="majorHAnsi" w:cstheme="majorHAnsi"/>
          <w:color w:val="7F7F7F" w:themeColor="text1" w:themeTint="80"/>
          <w:sz w:val="20"/>
          <w:szCs w:val="22"/>
        </w:rPr>
        <w:t>Fuente: Subsecretaría de Minería Artesanal y Pequeña Minería / Dic -2024</w:t>
      </w:r>
    </w:p>
    <w:p w14:paraId="7AC0385D" w14:textId="77777777" w:rsidR="00BF001E" w:rsidRPr="003615DC" w:rsidRDefault="00BF001E" w:rsidP="00BF001E">
      <w:pPr>
        <w:pStyle w:val="Default"/>
        <w:ind w:left="-709"/>
        <w:jc w:val="center"/>
        <w:rPr>
          <w:rFonts w:asciiTheme="majorHAnsi" w:hAnsiTheme="majorHAnsi" w:cstheme="majorHAnsi"/>
          <w:color w:val="7F7F7F" w:themeColor="text1" w:themeTint="80"/>
          <w:sz w:val="22"/>
          <w:szCs w:val="22"/>
        </w:rPr>
      </w:pPr>
    </w:p>
    <w:p w14:paraId="3B3F491D" w14:textId="77777777" w:rsidR="00BF001E" w:rsidRPr="00941411" w:rsidRDefault="00BF001E" w:rsidP="00941411">
      <w:pPr>
        <w:pStyle w:val="Ttulo4"/>
        <w:rPr>
          <w:i w:val="0"/>
          <w:sz w:val="22"/>
          <w:szCs w:val="22"/>
        </w:rPr>
      </w:pPr>
      <w:r w:rsidRPr="00941411">
        <w:rPr>
          <w:i w:val="0"/>
          <w:sz w:val="22"/>
          <w:szCs w:val="22"/>
        </w:rPr>
        <w:t>Cooperación y Asistencia Técnica No Reembolsable con la Comisión Económica para América Latina y El Caribe - CEPAL</w:t>
      </w:r>
    </w:p>
    <w:p w14:paraId="05E4A4CC" w14:textId="77777777" w:rsidR="00BF001E" w:rsidRPr="003615DC" w:rsidRDefault="00BF001E" w:rsidP="00BF001E">
      <w:pPr>
        <w:spacing w:before="120"/>
        <w:jc w:val="both"/>
        <w:rPr>
          <w:rStyle w:val="markedcontent"/>
          <w:rFonts w:asciiTheme="majorHAnsi" w:hAnsiTheme="majorHAnsi" w:cstheme="majorHAnsi"/>
          <w:sz w:val="22"/>
          <w:szCs w:val="22"/>
        </w:rPr>
      </w:pPr>
      <w:r w:rsidRPr="003615DC">
        <w:rPr>
          <w:rStyle w:val="markedcontent"/>
          <w:rFonts w:asciiTheme="majorHAnsi" w:hAnsiTheme="majorHAnsi" w:cstheme="majorHAnsi"/>
          <w:sz w:val="22"/>
          <w:szCs w:val="22"/>
        </w:rPr>
        <w:t xml:space="preserve">El Ministerio de Energía y Minas a través de la Subsecretaría de Minería Artesanal y Pequeña Minería, durante el año 2024 gestionó las actividades de cooperación y asistencia técnica </w:t>
      </w:r>
      <w:r w:rsidRPr="003615DC">
        <w:rPr>
          <w:rStyle w:val="markedcontent"/>
          <w:rFonts w:asciiTheme="majorHAnsi" w:hAnsiTheme="majorHAnsi" w:cstheme="majorHAnsi"/>
          <w:sz w:val="22"/>
          <w:szCs w:val="22"/>
        </w:rPr>
        <w:lastRenderedPageBreak/>
        <w:t xml:space="preserve">referentes a minería, de lo cual se tienen los siguientes productos que Ecuador ha recibido como parte de la cooperación: </w:t>
      </w:r>
    </w:p>
    <w:p w14:paraId="2F92CF9F" w14:textId="77777777" w:rsidR="00BF001E" w:rsidRPr="003615DC" w:rsidRDefault="00BF001E" w:rsidP="00BF001E">
      <w:pPr>
        <w:pStyle w:val="Prrafodelista"/>
        <w:numPr>
          <w:ilvl w:val="0"/>
          <w:numId w:val="171"/>
        </w:numPr>
        <w:spacing w:before="120"/>
        <w:ind w:left="360"/>
        <w:jc w:val="both"/>
        <w:rPr>
          <w:rStyle w:val="markedcontent"/>
          <w:rFonts w:asciiTheme="majorHAnsi" w:hAnsiTheme="majorHAnsi" w:cstheme="majorHAnsi"/>
          <w:sz w:val="22"/>
          <w:szCs w:val="22"/>
        </w:rPr>
      </w:pPr>
      <w:r w:rsidRPr="003615DC">
        <w:rPr>
          <w:rStyle w:val="markedcontent"/>
          <w:rFonts w:asciiTheme="majorHAnsi" w:hAnsiTheme="majorHAnsi" w:cstheme="majorHAnsi"/>
          <w:sz w:val="22"/>
          <w:szCs w:val="22"/>
          <w:u w:val="single"/>
        </w:rPr>
        <w:t>Estudio de factibilidad</w:t>
      </w:r>
      <w:r w:rsidRPr="003615DC">
        <w:rPr>
          <w:rStyle w:val="markedcontent"/>
          <w:rFonts w:asciiTheme="majorHAnsi" w:hAnsiTheme="majorHAnsi" w:cstheme="majorHAnsi"/>
          <w:sz w:val="22"/>
          <w:szCs w:val="22"/>
        </w:rPr>
        <w:t xml:space="preserve"> para implementar propuesta de indicadores de sostenibilidad para la minería metálica (países andinos).</w:t>
      </w:r>
    </w:p>
    <w:p w14:paraId="2E33D25E" w14:textId="77777777" w:rsidR="00BF001E" w:rsidRPr="003615DC" w:rsidRDefault="00BF001E" w:rsidP="00BF001E">
      <w:pPr>
        <w:pStyle w:val="Prrafodelista"/>
        <w:numPr>
          <w:ilvl w:val="0"/>
          <w:numId w:val="171"/>
        </w:numPr>
        <w:spacing w:before="120"/>
        <w:ind w:left="360"/>
        <w:jc w:val="both"/>
        <w:rPr>
          <w:rStyle w:val="markedcontent"/>
          <w:rFonts w:asciiTheme="majorHAnsi" w:hAnsiTheme="majorHAnsi" w:cstheme="majorHAnsi"/>
          <w:sz w:val="22"/>
          <w:szCs w:val="22"/>
        </w:rPr>
      </w:pPr>
      <w:r w:rsidRPr="003615DC">
        <w:rPr>
          <w:rStyle w:val="markedcontent"/>
          <w:rFonts w:asciiTheme="majorHAnsi" w:hAnsiTheme="majorHAnsi" w:cstheme="majorHAnsi"/>
          <w:sz w:val="22"/>
          <w:szCs w:val="22"/>
          <w:u w:val="single"/>
        </w:rPr>
        <w:t>Estudio de situación</w:t>
      </w:r>
      <w:r w:rsidRPr="003615DC">
        <w:rPr>
          <w:rStyle w:val="markedcontent"/>
          <w:rFonts w:asciiTheme="majorHAnsi" w:hAnsiTheme="majorHAnsi" w:cstheme="majorHAnsi"/>
          <w:sz w:val="22"/>
          <w:szCs w:val="22"/>
        </w:rPr>
        <w:t xml:space="preserve"> de la minería pequeña y artesanal.</w:t>
      </w:r>
    </w:p>
    <w:p w14:paraId="151A1E31" w14:textId="77777777" w:rsidR="00BF001E" w:rsidRPr="003615DC" w:rsidRDefault="00BF001E" w:rsidP="00BF001E">
      <w:pPr>
        <w:pStyle w:val="Prrafodelista"/>
        <w:numPr>
          <w:ilvl w:val="0"/>
          <w:numId w:val="171"/>
        </w:numPr>
        <w:spacing w:before="120"/>
        <w:ind w:left="360"/>
        <w:jc w:val="both"/>
        <w:rPr>
          <w:rStyle w:val="markedcontent"/>
          <w:rFonts w:asciiTheme="majorHAnsi" w:hAnsiTheme="majorHAnsi" w:cstheme="majorHAnsi"/>
          <w:sz w:val="22"/>
          <w:szCs w:val="22"/>
        </w:rPr>
      </w:pPr>
      <w:r w:rsidRPr="003615DC">
        <w:rPr>
          <w:rStyle w:val="markedcontent"/>
          <w:rFonts w:asciiTheme="majorHAnsi" w:hAnsiTheme="majorHAnsi" w:cstheme="majorHAnsi"/>
          <w:sz w:val="22"/>
          <w:szCs w:val="22"/>
          <w:u w:val="single"/>
        </w:rPr>
        <w:t>Curso actualizado de cierre de minas</w:t>
      </w:r>
      <w:r w:rsidRPr="003615DC">
        <w:rPr>
          <w:rStyle w:val="markedcontent"/>
          <w:rFonts w:asciiTheme="majorHAnsi" w:hAnsiTheme="majorHAnsi" w:cstheme="majorHAnsi"/>
          <w:sz w:val="22"/>
          <w:szCs w:val="22"/>
        </w:rPr>
        <w:t>, orientado a todos los actores (Gobierno, privados, sociedad civil y academia) con el ILPES</w:t>
      </w:r>
    </w:p>
    <w:p w14:paraId="26050090" w14:textId="77777777" w:rsidR="00BF001E" w:rsidRPr="003615DC" w:rsidRDefault="00BF001E" w:rsidP="00BF001E">
      <w:pPr>
        <w:pStyle w:val="Prrafodelista"/>
        <w:numPr>
          <w:ilvl w:val="0"/>
          <w:numId w:val="171"/>
        </w:numPr>
        <w:spacing w:before="120"/>
        <w:ind w:left="360"/>
        <w:jc w:val="both"/>
        <w:rPr>
          <w:rStyle w:val="markedcontent"/>
          <w:rFonts w:asciiTheme="majorHAnsi" w:hAnsiTheme="majorHAnsi" w:cstheme="majorHAnsi"/>
          <w:sz w:val="22"/>
          <w:szCs w:val="22"/>
        </w:rPr>
      </w:pPr>
      <w:r w:rsidRPr="003615DC">
        <w:rPr>
          <w:rStyle w:val="markedcontent"/>
          <w:rFonts w:asciiTheme="majorHAnsi" w:hAnsiTheme="majorHAnsi" w:cstheme="majorHAnsi"/>
          <w:sz w:val="22"/>
          <w:szCs w:val="22"/>
          <w:u w:val="single"/>
        </w:rPr>
        <w:t>Asistencia técnica de Cierre de minas</w:t>
      </w:r>
      <w:r w:rsidRPr="003615DC">
        <w:rPr>
          <w:rStyle w:val="markedcontent"/>
          <w:rFonts w:asciiTheme="majorHAnsi" w:hAnsiTheme="majorHAnsi" w:cstheme="majorHAnsi"/>
          <w:sz w:val="22"/>
          <w:szCs w:val="22"/>
        </w:rPr>
        <w:t xml:space="preserve"> para mejorar lineamientos de política y normativa.</w:t>
      </w:r>
    </w:p>
    <w:p w14:paraId="28F36816" w14:textId="77777777" w:rsidR="00BF001E" w:rsidRPr="003615DC" w:rsidRDefault="00BF001E" w:rsidP="00BF001E">
      <w:pPr>
        <w:pStyle w:val="Prrafodelista"/>
        <w:numPr>
          <w:ilvl w:val="0"/>
          <w:numId w:val="171"/>
        </w:numPr>
        <w:spacing w:before="120"/>
        <w:ind w:left="360"/>
        <w:jc w:val="both"/>
        <w:rPr>
          <w:rStyle w:val="markedcontent"/>
          <w:rFonts w:asciiTheme="majorHAnsi" w:hAnsiTheme="majorHAnsi" w:cstheme="majorHAnsi"/>
          <w:sz w:val="22"/>
          <w:szCs w:val="22"/>
        </w:rPr>
      </w:pPr>
      <w:r w:rsidRPr="003615DC">
        <w:rPr>
          <w:rStyle w:val="markedcontent"/>
          <w:rFonts w:asciiTheme="majorHAnsi" w:hAnsiTheme="majorHAnsi" w:cstheme="majorHAnsi"/>
          <w:sz w:val="22"/>
          <w:szCs w:val="22"/>
          <w:u w:val="single"/>
        </w:rPr>
        <w:t>Taller regional</w:t>
      </w:r>
      <w:r w:rsidRPr="003615DC">
        <w:rPr>
          <w:rStyle w:val="markedcontent"/>
          <w:rFonts w:asciiTheme="majorHAnsi" w:hAnsiTheme="majorHAnsi" w:cstheme="majorHAnsi"/>
          <w:sz w:val="22"/>
          <w:szCs w:val="22"/>
        </w:rPr>
        <w:t>: Capacitación acerca de los principales aspectos para implementar cadenas de suministro sostenible y pasos a seguir en la Región Andina.</w:t>
      </w:r>
    </w:p>
    <w:p w14:paraId="1CECCA51" w14:textId="77777777" w:rsidR="00BF001E" w:rsidRPr="003615DC" w:rsidRDefault="00BF001E" w:rsidP="00BF001E">
      <w:pPr>
        <w:pStyle w:val="Prrafodelista"/>
        <w:numPr>
          <w:ilvl w:val="0"/>
          <w:numId w:val="171"/>
        </w:numPr>
        <w:spacing w:before="120"/>
        <w:ind w:left="360"/>
        <w:jc w:val="both"/>
        <w:rPr>
          <w:rStyle w:val="markedcontent"/>
          <w:rFonts w:asciiTheme="majorHAnsi" w:hAnsiTheme="majorHAnsi" w:cstheme="majorHAnsi"/>
          <w:sz w:val="22"/>
          <w:szCs w:val="22"/>
        </w:rPr>
      </w:pPr>
      <w:r w:rsidRPr="003615DC">
        <w:rPr>
          <w:rStyle w:val="markedcontent"/>
          <w:rFonts w:asciiTheme="majorHAnsi" w:hAnsiTheme="majorHAnsi" w:cstheme="majorHAnsi"/>
          <w:sz w:val="22"/>
          <w:szCs w:val="22"/>
          <w:u w:val="single"/>
        </w:rPr>
        <w:t>Taller Anual:</w:t>
      </w:r>
      <w:r w:rsidRPr="003615DC">
        <w:rPr>
          <w:rStyle w:val="markedcontent"/>
          <w:rFonts w:asciiTheme="majorHAnsi" w:hAnsiTheme="majorHAnsi" w:cstheme="majorHAnsi"/>
          <w:sz w:val="22"/>
          <w:szCs w:val="22"/>
        </w:rPr>
        <w:t xml:space="preserve"> Hacia una minería más sostenible CEPAL - MINSUS - BGR Giras Técnicas en la región Andina y en Alemania.</w:t>
      </w:r>
    </w:p>
    <w:p w14:paraId="4F5CB95E" w14:textId="0294606B" w:rsidR="00F7193D" w:rsidRPr="00213F2B" w:rsidRDefault="00BF001E" w:rsidP="00BF001E">
      <w:pPr>
        <w:pStyle w:val="Prrafodelista"/>
        <w:numPr>
          <w:ilvl w:val="0"/>
          <w:numId w:val="171"/>
        </w:numPr>
        <w:spacing w:before="120"/>
        <w:ind w:left="360"/>
        <w:jc w:val="both"/>
        <w:rPr>
          <w:rFonts w:asciiTheme="majorHAnsi" w:hAnsiTheme="majorHAnsi" w:cstheme="majorHAnsi"/>
          <w:sz w:val="22"/>
          <w:szCs w:val="22"/>
        </w:rPr>
      </w:pPr>
      <w:r w:rsidRPr="003615DC">
        <w:rPr>
          <w:rStyle w:val="markedcontent"/>
          <w:rFonts w:asciiTheme="majorHAnsi" w:hAnsiTheme="majorHAnsi" w:cstheme="majorHAnsi"/>
          <w:sz w:val="22"/>
          <w:szCs w:val="22"/>
          <w:u w:val="single"/>
        </w:rPr>
        <w:t>Taller de cierre de la Fase III</w:t>
      </w:r>
      <w:r w:rsidRPr="003615DC">
        <w:rPr>
          <w:rStyle w:val="markedcontent"/>
          <w:rFonts w:asciiTheme="majorHAnsi" w:hAnsiTheme="majorHAnsi" w:cstheme="majorHAnsi"/>
          <w:sz w:val="22"/>
          <w:szCs w:val="22"/>
        </w:rPr>
        <w:t xml:space="preserve"> del MINSUS BGR.</w:t>
      </w:r>
    </w:p>
    <w:p w14:paraId="405BDE20" w14:textId="77777777" w:rsidR="00F7193D" w:rsidRPr="003615DC" w:rsidRDefault="00F7193D" w:rsidP="00BF001E">
      <w:pPr>
        <w:jc w:val="both"/>
        <w:rPr>
          <w:rFonts w:asciiTheme="majorHAnsi" w:hAnsiTheme="majorHAnsi" w:cstheme="majorHAnsi"/>
          <w:sz w:val="22"/>
          <w:szCs w:val="22"/>
        </w:rPr>
      </w:pPr>
    </w:p>
    <w:p w14:paraId="679EC760" w14:textId="77777777" w:rsidR="00BF001E" w:rsidRPr="00213F2B" w:rsidRDefault="00BF001E" w:rsidP="00213F2B">
      <w:pPr>
        <w:pStyle w:val="Ttulo4"/>
        <w:rPr>
          <w:i w:val="0"/>
          <w:sz w:val="22"/>
          <w:szCs w:val="22"/>
        </w:rPr>
      </w:pPr>
      <w:r w:rsidRPr="00213F2B">
        <w:rPr>
          <w:i w:val="0"/>
          <w:sz w:val="22"/>
          <w:szCs w:val="22"/>
        </w:rPr>
        <w:t>Plan De Formalización De Mineros Artesanales</w:t>
      </w:r>
      <w:bookmarkEnd w:id="228"/>
      <w:bookmarkEnd w:id="229"/>
      <w:bookmarkEnd w:id="230"/>
    </w:p>
    <w:p w14:paraId="515397F9" w14:textId="77777777" w:rsidR="00BF001E" w:rsidRPr="003615DC" w:rsidRDefault="00BF001E" w:rsidP="00BF001E">
      <w:pPr>
        <w:rPr>
          <w:rFonts w:asciiTheme="majorHAnsi" w:hAnsiTheme="majorHAnsi" w:cstheme="majorHAnsi"/>
          <w:sz w:val="22"/>
          <w:szCs w:val="22"/>
        </w:rPr>
      </w:pPr>
    </w:p>
    <w:p w14:paraId="0EFA0D18" w14:textId="77777777" w:rsidR="00BF001E" w:rsidRPr="003615DC" w:rsidRDefault="00BF001E" w:rsidP="00BF001E">
      <w:pPr>
        <w:autoSpaceDE w:val="0"/>
        <w:autoSpaceDN w:val="0"/>
        <w:adjustRightInd w:val="0"/>
        <w:spacing w:after="240"/>
        <w:jc w:val="both"/>
        <w:rPr>
          <w:rFonts w:asciiTheme="majorHAnsi" w:hAnsiTheme="majorHAnsi" w:cstheme="majorHAnsi"/>
          <w:sz w:val="22"/>
          <w:szCs w:val="22"/>
        </w:rPr>
      </w:pPr>
      <w:r w:rsidRPr="003615DC">
        <w:rPr>
          <w:rFonts w:asciiTheme="majorHAnsi" w:hAnsiTheme="majorHAnsi" w:cstheme="majorHAnsi"/>
          <w:sz w:val="22"/>
          <w:szCs w:val="22"/>
        </w:rPr>
        <w:t xml:space="preserve">A diciembre 2024, la Dirección de Minería Artesanal dio seguimiento a 174 trámites para el otorgamiento de permisos para realizar labores de minería artesanal, que quedaron pendientes desde el cierre temporal del Catastro Nacional Minero en enero 2018, de lo cual se obtuvo como resultado: </w:t>
      </w:r>
    </w:p>
    <w:p w14:paraId="29D4F8D5" w14:textId="2E87CCEB" w:rsidR="00BF001E" w:rsidRPr="003615DC" w:rsidRDefault="00BF001E" w:rsidP="00BF001E">
      <w:pPr>
        <w:pStyle w:val="Descripcin"/>
        <w:rPr>
          <w:rFonts w:asciiTheme="majorHAnsi" w:hAnsiTheme="majorHAnsi" w:cstheme="majorHAnsi"/>
          <w:szCs w:val="22"/>
        </w:rPr>
      </w:pPr>
      <w:bookmarkStart w:id="234" w:name="_Toc157507107"/>
      <w:bookmarkStart w:id="235" w:name="_Toc157422692"/>
      <w:bookmarkStart w:id="236" w:name="_Toc198821626"/>
      <w:bookmarkStart w:id="237" w:name="_Toc199759688"/>
      <w:r w:rsidRPr="003615DC">
        <w:rPr>
          <w:rFonts w:asciiTheme="majorHAnsi" w:hAnsiTheme="majorHAnsi" w:cstheme="majorHAnsi"/>
          <w:szCs w:val="22"/>
        </w:rPr>
        <w:t xml:space="preserve">Tabla </w:t>
      </w:r>
      <w:r w:rsidRPr="003615DC">
        <w:rPr>
          <w:rFonts w:asciiTheme="majorHAnsi" w:hAnsiTheme="majorHAnsi" w:cstheme="majorHAnsi"/>
          <w:szCs w:val="22"/>
        </w:rPr>
        <w:fldChar w:fldCharType="begin"/>
      </w:r>
      <w:r w:rsidRPr="003615DC">
        <w:rPr>
          <w:rFonts w:asciiTheme="majorHAnsi" w:hAnsiTheme="majorHAnsi" w:cstheme="majorHAnsi"/>
          <w:szCs w:val="22"/>
        </w:rPr>
        <w:instrText xml:space="preserve"> SEQ Tabla \* ARABIC </w:instrText>
      </w:r>
      <w:r w:rsidRPr="003615DC">
        <w:rPr>
          <w:rFonts w:asciiTheme="majorHAnsi" w:hAnsiTheme="majorHAnsi" w:cstheme="majorHAnsi"/>
          <w:szCs w:val="22"/>
        </w:rPr>
        <w:fldChar w:fldCharType="separate"/>
      </w:r>
      <w:r w:rsidR="00CF0AD2">
        <w:rPr>
          <w:rFonts w:asciiTheme="majorHAnsi" w:hAnsiTheme="majorHAnsi" w:cstheme="majorHAnsi"/>
          <w:noProof/>
          <w:szCs w:val="22"/>
        </w:rPr>
        <w:t>18</w:t>
      </w:r>
      <w:r w:rsidRPr="003615DC">
        <w:rPr>
          <w:rFonts w:asciiTheme="majorHAnsi" w:hAnsiTheme="majorHAnsi" w:cstheme="majorHAnsi"/>
          <w:szCs w:val="22"/>
        </w:rPr>
        <w:fldChar w:fldCharType="end"/>
      </w:r>
      <w:r w:rsidRPr="003615DC">
        <w:rPr>
          <w:rFonts w:asciiTheme="majorHAnsi" w:hAnsiTheme="majorHAnsi" w:cstheme="majorHAnsi"/>
          <w:szCs w:val="22"/>
        </w:rPr>
        <w:t>. Áreas Bajo El Régimen De Minería Artesanal</w:t>
      </w:r>
      <w:bookmarkEnd w:id="234"/>
      <w:bookmarkEnd w:id="235"/>
      <w:bookmarkEnd w:id="236"/>
      <w:bookmarkEnd w:id="237"/>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603"/>
        <w:gridCol w:w="2603"/>
      </w:tblGrid>
      <w:tr w:rsidR="00BF001E" w:rsidRPr="003615DC" w14:paraId="136BB420" w14:textId="77777777" w:rsidTr="00BF001E">
        <w:trPr>
          <w:trHeight w:val="264"/>
          <w:jc w:val="center"/>
        </w:trPr>
        <w:tc>
          <w:tcPr>
            <w:tcW w:w="2603" w:type="dxa"/>
            <w:tcBorders>
              <w:top w:val="single" w:sz="4" w:space="0" w:color="4472C4"/>
              <w:left w:val="single" w:sz="4" w:space="0" w:color="4472C4"/>
              <w:bottom w:val="single" w:sz="4" w:space="0" w:color="4472C4"/>
              <w:right w:val="nil"/>
            </w:tcBorders>
            <w:shd w:val="clear" w:color="auto" w:fill="4472C4"/>
            <w:hideMark/>
          </w:tcPr>
          <w:p w14:paraId="6A5AD62C" w14:textId="77777777" w:rsidR="00BF001E" w:rsidRPr="000418AE" w:rsidRDefault="00BF001E" w:rsidP="00BF001E">
            <w:pPr>
              <w:spacing w:line="256" w:lineRule="auto"/>
              <w:jc w:val="center"/>
              <w:rPr>
                <w:rFonts w:asciiTheme="majorHAnsi" w:hAnsiTheme="majorHAnsi" w:cstheme="majorHAnsi"/>
                <w:b/>
                <w:color w:val="FFFFFF"/>
                <w:sz w:val="16"/>
                <w:szCs w:val="16"/>
              </w:rPr>
            </w:pPr>
            <w:r w:rsidRPr="000418AE">
              <w:rPr>
                <w:rFonts w:asciiTheme="majorHAnsi" w:hAnsiTheme="majorHAnsi" w:cstheme="majorHAnsi"/>
                <w:b/>
                <w:color w:val="FFFFFF"/>
                <w:sz w:val="16"/>
                <w:szCs w:val="16"/>
              </w:rPr>
              <w:t xml:space="preserve">ESTADO DE ÁREAS </w:t>
            </w:r>
          </w:p>
        </w:tc>
        <w:tc>
          <w:tcPr>
            <w:tcW w:w="2603" w:type="dxa"/>
            <w:tcBorders>
              <w:top w:val="single" w:sz="4" w:space="0" w:color="4472C4"/>
              <w:left w:val="nil"/>
              <w:bottom w:val="single" w:sz="4" w:space="0" w:color="4472C4"/>
              <w:right w:val="single" w:sz="4" w:space="0" w:color="4472C4"/>
            </w:tcBorders>
            <w:shd w:val="clear" w:color="auto" w:fill="4472C4"/>
            <w:hideMark/>
          </w:tcPr>
          <w:p w14:paraId="39D74B2C" w14:textId="77777777" w:rsidR="00BF001E" w:rsidRPr="000418AE" w:rsidRDefault="00BF001E" w:rsidP="00BF001E">
            <w:pPr>
              <w:spacing w:line="256" w:lineRule="auto"/>
              <w:jc w:val="center"/>
              <w:rPr>
                <w:rFonts w:asciiTheme="majorHAnsi" w:hAnsiTheme="majorHAnsi" w:cstheme="majorHAnsi"/>
                <w:b/>
                <w:color w:val="FFFFFF"/>
                <w:sz w:val="16"/>
                <w:szCs w:val="16"/>
              </w:rPr>
            </w:pPr>
            <w:r w:rsidRPr="000418AE">
              <w:rPr>
                <w:rFonts w:asciiTheme="majorHAnsi" w:hAnsiTheme="majorHAnsi" w:cstheme="majorHAnsi"/>
                <w:b/>
                <w:color w:val="FFFFFF"/>
                <w:sz w:val="16"/>
                <w:szCs w:val="16"/>
              </w:rPr>
              <w:t>NÚMERO</w:t>
            </w:r>
          </w:p>
        </w:tc>
      </w:tr>
      <w:tr w:rsidR="00BF001E" w:rsidRPr="003615DC" w14:paraId="0C7350A5" w14:textId="77777777" w:rsidTr="00BF001E">
        <w:trPr>
          <w:trHeight w:val="264"/>
          <w:jc w:val="center"/>
        </w:trPr>
        <w:tc>
          <w:tcPr>
            <w:tcW w:w="2603" w:type="dxa"/>
            <w:tcBorders>
              <w:top w:val="single" w:sz="4" w:space="0" w:color="8EAADB"/>
              <w:left w:val="single" w:sz="4" w:space="0" w:color="8EAADB"/>
              <w:bottom w:val="single" w:sz="4" w:space="0" w:color="8EAADB"/>
              <w:right w:val="single" w:sz="4" w:space="0" w:color="8EAADB"/>
            </w:tcBorders>
            <w:shd w:val="clear" w:color="auto" w:fill="D9E2F3"/>
            <w:hideMark/>
          </w:tcPr>
          <w:p w14:paraId="25E9DAA3" w14:textId="77777777" w:rsidR="00BF001E" w:rsidRPr="000418AE" w:rsidRDefault="00BF001E" w:rsidP="00BF001E">
            <w:pPr>
              <w:spacing w:line="256" w:lineRule="auto"/>
              <w:jc w:val="center"/>
              <w:rPr>
                <w:rFonts w:asciiTheme="majorHAnsi" w:hAnsiTheme="majorHAnsi" w:cstheme="majorHAnsi"/>
                <w:bCs/>
                <w:sz w:val="16"/>
                <w:szCs w:val="16"/>
              </w:rPr>
            </w:pPr>
            <w:r w:rsidRPr="000418AE">
              <w:rPr>
                <w:rFonts w:asciiTheme="majorHAnsi" w:hAnsiTheme="majorHAnsi" w:cstheme="majorHAnsi"/>
                <w:bCs/>
                <w:sz w:val="16"/>
                <w:szCs w:val="16"/>
              </w:rPr>
              <w:t xml:space="preserve">En trámite  </w:t>
            </w:r>
          </w:p>
        </w:tc>
        <w:tc>
          <w:tcPr>
            <w:tcW w:w="2603" w:type="dxa"/>
            <w:tcBorders>
              <w:top w:val="single" w:sz="4" w:space="0" w:color="8EAADB"/>
              <w:left w:val="single" w:sz="4" w:space="0" w:color="8EAADB"/>
              <w:bottom w:val="single" w:sz="4" w:space="0" w:color="8EAADB"/>
              <w:right w:val="single" w:sz="4" w:space="0" w:color="8EAADB"/>
            </w:tcBorders>
            <w:shd w:val="clear" w:color="auto" w:fill="D9E2F3"/>
            <w:hideMark/>
          </w:tcPr>
          <w:p w14:paraId="17755CBC" w14:textId="77777777" w:rsidR="00BF001E" w:rsidRPr="000418AE" w:rsidRDefault="00BF001E" w:rsidP="00BF001E">
            <w:pPr>
              <w:spacing w:line="256" w:lineRule="auto"/>
              <w:jc w:val="center"/>
              <w:rPr>
                <w:rFonts w:asciiTheme="majorHAnsi" w:hAnsiTheme="majorHAnsi" w:cstheme="majorHAnsi"/>
                <w:bCs/>
                <w:sz w:val="16"/>
                <w:szCs w:val="16"/>
              </w:rPr>
            </w:pPr>
            <w:r w:rsidRPr="000418AE">
              <w:rPr>
                <w:rFonts w:asciiTheme="majorHAnsi" w:hAnsiTheme="majorHAnsi" w:cstheme="majorHAnsi"/>
                <w:bCs/>
                <w:sz w:val="16"/>
                <w:szCs w:val="16"/>
              </w:rPr>
              <w:t>78</w:t>
            </w:r>
          </w:p>
        </w:tc>
      </w:tr>
      <w:tr w:rsidR="00BF001E" w:rsidRPr="003615DC" w14:paraId="3A32C3A6" w14:textId="77777777" w:rsidTr="00BF001E">
        <w:trPr>
          <w:trHeight w:val="279"/>
          <w:jc w:val="center"/>
        </w:trPr>
        <w:tc>
          <w:tcPr>
            <w:tcW w:w="2603" w:type="dxa"/>
            <w:tcBorders>
              <w:top w:val="single" w:sz="4" w:space="0" w:color="8EAADB"/>
              <w:left w:val="single" w:sz="4" w:space="0" w:color="8EAADB"/>
              <w:bottom w:val="single" w:sz="4" w:space="0" w:color="8EAADB"/>
              <w:right w:val="single" w:sz="4" w:space="0" w:color="8EAADB"/>
            </w:tcBorders>
            <w:hideMark/>
          </w:tcPr>
          <w:p w14:paraId="3EE99432" w14:textId="77777777" w:rsidR="00BF001E" w:rsidRPr="000418AE" w:rsidRDefault="00BF001E" w:rsidP="00BF001E">
            <w:pPr>
              <w:spacing w:line="256" w:lineRule="auto"/>
              <w:jc w:val="center"/>
              <w:rPr>
                <w:rFonts w:asciiTheme="majorHAnsi" w:hAnsiTheme="majorHAnsi" w:cstheme="majorHAnsi"/>
                <w:bCs/>
                <w:sz w:val="16"/>
                <w:szCs w:val="16"/>
              </w:rPr>
            </w:pPr>
            <w:r w:rsidRPr="000418AE">
              <w:rPr>
                <w:rFonts w:asciiTheme="majorHAnsi" w:hAnsiTheme="majorHAnsi" w:cstheme="majorHAnsi"/>
                <w:bCs/>
                <w:sz w:val="16"/>
                <w:szCs w:val="16"/>
              </w:rPr>
              <w:t xml:space="preserve">Atendidas </w:t>
            </w:r>
          </w:p>
        </w:tc>
        <w:tc>
          <w:tcPr>
            <w:tcW w:w="2603" w:type="dxa"/>
            <w:tcBorders>
              <w:top w:val="single" w:sz="4" w:space="0" w:color="8EAADB"/>
              <w:left w:val="single" w:sz="4" w:space="0" w:color="8EAADB"/>
              <w:bottom w:val="single" w:sz="4" w:space="0" w:color="8EAADB"/>
              <w:right w:val="single" w:sz="4" w:space="0" w:color="8EAADB"/>
            </w:tcBorders>
            <w:hideMark/>
          </w:tcPr>
          <w:p w14:paraId="21E71C3B" w14:textId="77777777" w:rsidR="00BF001E" w:rsidRPr="000418AE" w:rsidRDefault="00BF001E" w:rsidP="00BF001E">
            <w:pPr>
              <w:spacing w:line="256" w:lineRule="auto"/>
              <w:jc w:val="center"/>
              <w:rPr>
                <w:rFonts w:asciiTheme="majorHAnsi" w:hAnsiTheme="majorHAnsi" w:cstheme="majorHAnsi"/>
                <w:bCs/>
                <w:sz w:val="16"/>
                <w:szCs w:val="16"/>
              </w:rPr>
            </w:pPr>
            <w:r w:rsidRPr="000418AE">
              <w:rPr>
                <w:rFonts w:asciiTheme="majorHAnsi" w:hAnsiTheme="majorHAnsi" w:cstheme="majorHAnsi"/>
                <w:bCs/>
                <w:sz w:val="16"/>
                <w:szCs w:val="16"/>
              </w:rPr>
              <w:t>96</w:t>
            </w:r>
          </w:p>
        </w:tc>
      </w:tr>
      <w:tr w:rsidR="00BF001E" w:rsidRPr="003615DC" w14:paraId="76C9189E" w14:textId="77777777" w:rsidTr="00BF001E">
        <w:trPr>
          <w:trHeight w:val="264"/>
          <w:jc w:val="center"/>
        </w:trPr>
        <w:tc>
          <w:tcPr>
            <w:tcW w:w="2603" w:type="dxa"/>
            <w:tcBorders>
              <w:top w:val="single" w:sz="4" w:space="0" w:color="8EAADB"/>
              <w:left w:val="single" w:sz="4" w:space="0" w:color="8EAADB"/>
              <w:bottom w:val="single" w:sz="4" w:space="0" w:color="8EAADB"/>
              <w:right w:val="single" w:sz="4" w:space="0" w:color="8EAADB"/>
            </w:tcBorders>
            <w:shd w:val="clear" w:color="auto" w:fill="D9E2F3"/>
            <w:hideMark/>
          </w:tcPr>
          <w:p w14:paraId="48888455" w14:textId="77777777" w:rsidR="00BF001E" w:rsidRPr="000418AE" w:rsidRDefault="00BF001E" w:rsidP="00BF001E">
            <w:pPr>
              <w:spacing w:line="256" w:lineRule="auto"/>
              <w:jc w:val="center"/>
              <w:rPr>
                <w:rFonts w:asciiTheme="majorHAnsi" w:hAnsiTheme="majorHAnsi" w:cstheme="majorHAnsi"/>
                <w:b/>
                <w:bCs/>
                <w:sz w:val="16"/>
                <w:szCs w:val="16"/>
              </w:rPr>
            </w:pPr>
            <w:r w:rsidRPr="000418AE">
              <w:rPr>
                <w:rFonts w:asciiTheme="majorHAnsi" w:hAnsiTheme="majorHAnsi" w:cstheme="majorHAnsi"/>
                <w:b/>
                <w:bCs/>
                <w:sz w:val="16"/>
                <w:szCs w:val="16"/>
              </w:rPr>
              <w:t>TOTAL</w:t>
            </w:r>
          </w:p>
        </w:tc>
        <w:tc>
          <w:tcPr>
            <w:tcW w:w="2603" w:type="dxa"/>
            <w:tcBorders>
              <w:top w:val="single" w:sz="4" w:space="0" w:color="8EAADB"/>
              <w:left w:val="single" w:sz="4" w:space="0" w:color="8EAADB"/>
              <w:bottom w:val="single" w:sz="4" w:space="0" w:color="8EAADB"/>
              <w:right w:val="single" w:sz="4" w:space="0" w:color="8EAADB"/>
            </w:tcBorders>
            <w:shd w:val="clear" w:color="auto" w:fill="D9E2F3"/>
            <w:hideMark/>
          </w:tcPr>
          <w:p w14:paraId="3849803B" w14:textId="77777777" w:rsidR="00BF001E" w:rsidRPr="000418AE" w:rsidRDefault="00BF001E" w:rsidP="00BF001E">
            <w:pPr>
              <w:spacing w:line="256" w:lineRule="auto"/>
              <w:jc w:val="center"/>
              <w:rPr>
                <w:rFonts w:asciiTheme="majorHAnsi" w:hAnsiTheme="majorHAnsi" w:cstheme="majorHAnsi"/>
                <w:b/>
                <w:bCs/>
                <w:sz w:val="16"/>
                <w:szCs w:val="16"/>
              </w:rPr>
            </w:pPr>
            <w:r w:rsidRPr="000418AE">
              <w:rPr>
                <w:rFonts w:asciiTheme="majorHAnsi" w:hAnsiTheme="majorHAnsi" w:cstheme="majorHAnsi"/>
                <w:b/>
                <w:bCs/>
                <w:sz w:val="16"/>
                <w:szCs w:val="16"/>
              </w:rPr>
              <w:t>174</w:t>
            </w:r>
          </w:p>
        </w:tc>
      </w:tr>
    </w:tbl>
    <w:p w14:paraId="1BC266A7" w14:textId="77777777" w:rsidR="00BF001E" w:rsidRPr="000418AE" w:rsidRDefault="00BF001E" w:rsidP="00BF001E">
      <w:pPr>
        <w:pStyle w:val="Default"/>
        <w:ind w:left="-709"/>
        <w:jc w:val="center"/>
        <w:rPr>
          <w:rFonts w:asciiTheme="majorHAnsi" w:hAnsiTheme="majorHAnsi" w:cstheme="majorHAnsi"/>
          <w:i/>
          <w:color w:val="7F7F7F" w:themeColor="text1" w:themeTint="80"/>
          <w:sz w:val="18"/>
          <w:szCs w:val="18"/>
        </w:rPr>
      </w:pPr>
      <w:r w:rsidRPr="000418AE">
        <w:rPr>
          <w:rFonts w:asciiTheme="majorHAnsi" w:hAnsiTheme="majorHAnsi" w:cstheme="majorHAnsi"/>
          <w:i/>
          <w:color w:val="7F7F7F" w:themeColor="text1" w:themeTint="80"/>
          <w:sz w:val="18"/>
          <w:szCs w:val="18"/>
        </w:rPr>
        <w:t>Fuente: Coordinaciones Zonales / Dic-2024</w:t>
      </w:r>
    </w:p>
    <w:p w14:paraId="0BE8D4E3" w14:textId="77777777" w:rsidR="00BF001E" w:rsidRPr="003615DC" w:rsidRDefault="00BF001E" w:rsidP="00BF001E">
      <w:pPr>
        <w:jc w:val="both"/>
        <w:rPr>
          <w:rFonts w:asciiTheme="majorHAnsi" w:hAnsiTheme="majorHAnsi" w:cstheme="majorHAnsi"/>
          <w:sz w:val="22"/>
          <w:szCs w:val="22"/>
        </w:rPr>
      </w:pPr>
    </w:p>
    <w:p w14:paraId="7E3BAF20" w14:textId="77777777"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 xml:space="preserve">Además, en línea con el Decreto Ejecutivo Nro. 435, donde el </w:t>
      </w:r>
      <w:proofErr w:type="gramStart"/>
      <w:r w:rsidRPr="003615DC">
        <w:rPr>
          <w:rFonts w:asciiTheme="majorHAnsi" w:hAnsiTheme="majorHAnsi" w:cstheme="majorHAnsi"/>
          <w:sz w:val="22"/>
          <w:szCs w:val="22"/>
        </w:rPr>
        <w:t>Presidente</w:t>
      </w:r>
      <w:proofErr w:type="gramEnd"/>
      <w:r w:rsidRPr="003615DC">
        <w:rPr>
          <w:rFonts w:asciiTheme="majorHAnsi" w:hAnsiTheme="majorHAnsi" w:cstheme="majorHAnsi"/>
          <w:sz w:val="22"/>
          <w:szCs w:val="22"/>
        </w:rPr>
        <w:t xml:space="preserve"> de la República dispuso la actualización inmediata y coordinada del catastro minero y los registros administrativos ambientales mineros en un plazo de seis meses, se suspendió temporalmente el otorgamiento de cualquier derecho minero estipulado en la Ley de Minería a fin de realizar la depuración de los registros administrativos.</w:t>
      </w:r>
    </w:p>
    <w:p w14:paraId="52BA5456" w14:textId="77777777" w:rsidR="00BF001E" w:rsidRPr="003615DC" w:rsidRDefault="00BF001E" w:rsidP="00BF001E">
      <w:pPr>
        <w:jc w:val="both"/>
        <w:rPr>
          <w:rFonts w:asciiTheme="majorHAnsi" w:hAnsiTheme="majorHAnsi" w:cstheme="majorHAnsi"/>
          <w:sz w:val="22"/>
          <w:szCs w:val="22"/>
        </w:rPr>
      </w:pPr>
    </w:p>
    <w:p w14:paraId="51424EDE" w14:textId="77777777" w:rsidR="00BF001E" w:rsidRPr="003615DC" w:rsidRDefault="00BF001E" w:rsidP="00BF001E">
      <w:pPr>
        <w:jc w:val="both"/>
        <w:rPr>
          <w:rFonts w:asciiTheme="majorHAnsi" w:hAnsiTheme="majorHAnsi" w:cstheme="majorHAnsi"/>
          <w:sz w:val="22"/>
          <w:szCs w:val="22"/>
        </w:rPr>
      </w:pPr>
      <w:r w:rsidRPr="003615DC">
        <w:rPr>
          <w:rFonts w:asciiTheme="majorHAnsi" w:hAnsiTheme="majorHAnsi" w:cstheme="majorHAnsi"/>
          <w:sz w:val="22"/>
          <w:szCs w:val="22"/>
        </w:rPr>
        <w:t>Estamos comprometidos con la transparencia y la eficiencia en nuestros procesos. Trabajaremos diligentemente para cumplir con las directrices establecidas y atender los trámites pendientes a la brevedad posible.</w:t>
      </w:r>
    </w:p>
    <w:p w14:paraId="77D87C80" w14:textId="77777777" w:rsidR="00BF001E" w:rsidRPr="003615DC" w:rsidRDefault="00BF001E" w:rsidP="00BF001E">
      <w:pPr>
        <w:jc w:val="center"/>
        <w:rPr>
          <w:rFonts w:asciiTheme="majorHAnsi" w:hAnsiTheme="majorHAnsi" w:cstheme="majorHAnsi"/>
          <w:sz w:val="22"/>
          <w:szCs w:val="22"/>
          <w:lang w:eastAsia="es-ES"/>
        </w:rPr>
      </w:pPr>
    </w:p>
    <w:p w14:paraId="472D433E" w14:textId="77777777" w:rsidR="00BF001E" w:rsidRPr="00213F2B" w:rsidRDefault="00BF001E" w:rsidP="00213F2B">
      <w:pPr>
        <w:pStyle w:val="Ttulo4"/>
        <w:rPr>
          <w:i w:val="0"/>
          <w:sz w:val="22"/>
          <w:szCs w:val="22"/>
        </w:rPr>
      </w:pPr>
      <w:bookmarkStart w:id="238" w:name="_Toc157507035"/>
      <w:bookmarkStart w:id="239" w:name="_Toc157422746"/>
      <w:bookmarkStart w:id="240" w:name="_Toc127542757"/>
      <w:bookmarkEnd w:id="231"/>
      <w:r w:rsidRPr="00213F2B">
        <w:rPr>
          <w:i w:val="0"/>
          <w:sz w:val="22"/>
          <w:szCs w:val="22"/>
        </w:rPr>
        <w:t xml:space="preserve">Reforma al Instructivo Para La </w:t>
      </w:r>
      <w:bookmarkEnd w:id="238"/>
      <w:bookmarkEnd w:id="239"/>
      <w:bookmarkEnd w:id="240"/>
      <w:r w:rsidRPr="00213F2B">
        <w:rPr>
          <w:i w:val="0"/>
          <w:sz w:val="22"/>
          <w:szCs w:val="22"/>
        </w:rPr>
        <w:t>Obtención de Licencias de Comercialización y Exportación de Sustancias Minerales Metálicas y No Metálicas</w:t>
      </w:r>
    </w:p>
    <w:p w14:paraId="2E798E65" w14:textId="77777777" w:rsidR="00BF001E" w:rsidRPr="003615DC" w:rsidRDefault="00BF001E" w:rsidP="00BF001E">
      <w:pPr>
        <w:rPr>
          <w:rFonts w:asciiTheme="majorHAnsi" w:hAnsiTheme="majorHAnsi" w:cstheme="majorHAnsi"/>
          <w:sz w:val="22"/>
          <w:szCs w:val="22"/>
        </w:rPr>
      </w:pPr>
    </w:p>
    <w:p w14:paraId="08588F9D" w14:textId="77777777" w:rsidR="00BF001E" w:rsidRPr="003615DC" w:rsidRDefault="00BF001E" w:rsidP="00BF001E">
      <w:pPr>
        <w:autoSpaceDE w:val="0"/>
        <w:autoSpaceDN w:val="0"/>
        <w:adjustRightInd w:val="0"/>
        <w:spacing w:after="240"/>
        <w:jc w:val="both"/>
        <w:rPr>
          <w:rFonts w:asciiTheme="majorHAnsi" w:hAnsiTheme="majorHAnsi" w:cstheme="majorHAnsi"/>
          <w:sz w:val="22"/>
          <w:szCs w:val="22"/>
        </w:rPr>
      </w:pPr>
      <w:r w:rsidRPr="003615DC">
        <w:rPr>
          <w:rFonts w:asciiTheme="majorHAnsi" w:hAnsiTheme="majorHAnsi" w:cstheme="majorHAnsi"/>
          <w:sz w:val="22"/>
          <w:szCs w:val="22"/>
        </w:rPr>
        <w:t xml:space="preserve">La Subsecretaría de Minería Artesanal y Pequeña Minería, a través de la Dirección de Minería Artesanal, durante el último trimestre del año 2024, trabajó en la elaboración del Proyecto de Reforma al "INSTRUCTIVO PARA LA OBTENCIÓN DE LICENCIAS DE COMERCIALIZACIÓN Y EXPORTACIÓN DE SUSTANCIAS MINERALES METÁLICAS Y NO METÁLICAS", considerando la importancia que este Instrumento normativo representa para la comercialización de sustancias minerales. </w:t>
      </w:r>
    </w:p>
    <w:p w14:paraId="488A221F" w14:textId="77777777" w:rsidR="00BF001E" w:rsidRPr="003615DC" w:rsidRDefault="00BF001E" w:rsidP="00BF001E">
      <w:pPr>
        <w:autoSpaceDE w:val="0"/>
        <w:autoSpaceDN w:val="0"/>
        <w:adjustRightInd w:val="0"/>
        <w:spacing w:after="240"/>
        <w:jc w:val="both"/>
        <w:rPr>
          <w:rFonts w:asciiTheme="majorHAnsi" w:hAnsiTheme="majorHAnsi" w:cstheme="majorHAnsi"/>
          <w:sz w:val="22"/>
          <w:szCs w:val="22"/>
        </w:rPr>
      </w:pPr>
      <w:r w:rsidRPr="003615DC">
        <w:rPr>
          <w:rFonts w:asciiTheme="majorHAnsi" w:hAnsiTheme="majorHAnsi" w:cstheme="majorHAnsi"/>
          <w:sz w:val="22"/>
          <w:szCs w:val="22"/>
        </w:rPr>
        <w:t xml:space="preserve">Dicho proyecto normativo representa una mejora significativa en términos de adaptabilidad normativa y gestión tecnológica. Este enfoque genérico permite a las Autoridades mantener la </w:t>
      </w:r>
      <w:r w:rsidRPr="003615DC">
        <w:rPr>
          <w:rFonts w:asciiTheme="majorHAnsi" w:hAnsiTheme="majorHAnsi" w:cstheme="majorHAnsi"/>
          <w:sz w:val="22"/>
          <w:szCs w:val="22"/>
        </w:rPr>
        <w:lastRenderedPageBreak/>
        <w:t>vigencia del Instructivo frente a cambios futuros en los sistemas utilizados, reduciendo riesgos legales asociados a modificaciones normativas recurrentes.</w:t>
      </w:r>
    </w:p>
    <w:p w14:paraId="764BDFEB" w14:textId="77777777" w:rsidR="00BF001E" w:rsidRPr="003615DC" w:rsidRDefault="00BF001E" w:rsidP="00BF001E">
      <w:pPr>
        <w:autoSpaceDE w:val="0"/>
        <w:autoSpaceDN w:val="0"/>
        <w:adjustRightInd w:val="0"/>
        <w:spacing w:after="240"/>
        <w:jc w:val="both"/>
        <w:rPr>
          <w:rFonts w:asciiTheme="majorHAnsi" w:hAnsiTheme="majorHAnsi" w:cstheme="majorHAnsi"/>
          <w:sz w:val="22"/>
          <w:szCs w:val="22"/>
        </w:rPr>
      </w:pPr>
      <w:r w:rsidRPr="003615DC">
        <w:rPr>
          <w:rFonts w:asciiTheme="majorHAnsi" w:hAnsiTheme="majorHAnsi" w:cstheme="majorHAnsi"/>
          <w:sz w:val="22"/>
          <w:szCs w:val="22"/>
        </w:rPr>
        <w:t>Las principales modificaciones planteadas dentro del proyecto permiten garantizar que las personas naturales y jurídicas que soliciten licencias de comercialización y exportación de sustancias minerales metálicas y no metálicas, demuestren solvencia económica legítima, transparencia en sus operaciones financieras y cumplimiento integral de sus obligaciones legales y tributarias.</w:t>
      </w:r>
    </w:p>
    <w:p w14:paraId="57DA2059" w14:textId="77777777" w:rsidR="00BF001E" w:rsidRPr="003615DC" w:rsidRDefault="00BF001E" w:rsidP="00BF001E">
      <w:pPr>
        <w:autoSpaceDE w:val="0"/>
        <w:autoSpaceDN w:val="0"/>
        <w:adjustRightInd w:val="0"/>
        <w:spacing w:after="240"/>
        <w:jc w:val="both"/>
        <w:rPr>
          <w:rFonts w:asciiTheme="majorHAnsi" w:hAnsiTheme="majorHAnsi" w:cstheme="majorHAnsi"/>
          <w:sz w:val="22"/>
          <w:szCs w:val="22"/>
        </w:rPr>
      </w:pPr>
      <w:r w:rsidRPr="003615DC">
        <w:rPr>
          <w:rFonts w:asciiTheme="majorHAnsi" w:hAnsiTheme="majorHAnsi" w:cstheme="majorHAnsi"/>
          <w:sz w:val="22"/>
          <w:szCs w:val="22"/>
        </w:rPr>
        <w:t>Como resultado del trabajo realizado por el Ministerio de Energía y Minas durante el año 2024, respecto al "INSTRUCTIVO PARA LA OBTENCIÓN DE LICENCIAS DE COMERCIALIZACIÓN Y EXPORTACIÓN DE SUSTANCIAS MINERALES METÁLICAS Y NO METÁLICAS", en el mes de mayo del presente año se emitió la Reforma mediante Acuerdo Ministerial Nro. MEM-MEM-2025-0013-AM.</w:t>
      </w:r>
    </w:p>
    <w:p w14:paraId="3BD62B6E" w14:textId="5CEE708A" w:rsidR="00BF001E" w:rsidRDefault="00BF001E" w:rsidP="00F7193D">
      <w:pPr>
        <w:pStyle w:val="Ttulo2"/>
        <w:rPr>
          <w:sz w:val="24"/>
          <w:szCs w:val="24"/>
        </w:rPr>
      </w:pPr>
      <w:bookmarkStart w:id="241" w:name="_Toc199759566"/>
      <w:r w:rsidRPr="00F7193D">
        <w:rPr>
          <w:sz w:val="24"/>
          <w:szCs w:val="24"/>
        </w:rPr>
        <w:t>Gestión Conjunta de Minería Artesanal y Pequeña Minería</w:t>
      </w:r>
      <w:bookmarkEnd w:id="241"/>
      <w:r w:rsidRPr="00F7193D">
        <w:rPr>
          <w:sz w:val="24"/>
          <w:szCs w:val="24"/>
        </w:rPr>
        <w:t xml:space="preserve"> </w:t>
      </w:r>
    </w:p>
    <w:p w14:paraId="42604D2D" w14:textId="77777777" w:rsidR="00F7193D" w:rsidRPr="00F7193D" w:rsidRDefault="00F7193D" w:rsidP="00F7193D"/>
    <w:p w14:paraId="5B39D6BE" w14:textId="77777777" w:rsidR="00BF001E" w:rsidRPr="00213F2B" w:rsidRDefault="00BF001E" w:rsidP="00213F2B">
      <w:pPr>
        <w:pStyle w:val="Ttulo4"/>
        <w:rPr>
          <w:i w:val="0"/>
          <w:sz w:val="22"/>
          <w:szCs w:val="22"/>
        </w:rPr>
      </w:pPr>
      <w:r w:rsidRPr="00213F2B">
        <w:rPr>
          <w:i w:val="0"/>
          <w:sz w:val="22"/>
          <w:szCs w:val="22"/>
        </w:rPr>
        <w:t xml:space="preserve">Participación en el Proyecto Gold+ impulsado por </w:t>
      </w:r>
      <w:bookmarkStart w:id="242" w:name="_Toc127542759"/>
      <w:bookmarkStart w:id="243" w:name="_Toc157507036"/>
      <w:bookmarkStart w:id="244" w:name="_Toc157422747"/>
      <w:r w:rsidRPr="00213F2B">
        <w:rPr>
          <w:i w:val="0"/>
          <w:sz w:val="22"/>
          <w:szCs w:val="22"/>
        </w:rPr>
        <w:t>el Programa De Las Naciones Unidas Para El D</w:t>
      </w:r>
      <w:bookmarkEnd w:id="242"/>
      <w:r w:rsidRPr="00213F2B">
        <w:rPr>
          <w:i w:val="0"/>
          <w:sz w:val="22"/>
          <w:szCs w:val="22"/>
        </w:rPr>
        <w:t>esarrollo</w:t>
      </w:r>
      <w:bookmarkEnd w:id="243"/>
      <w:bookmarkEnd w:id="244"/>
    </w:p>
    <w:p w14:paraId="54F01834" w14:textId="77777777" w:rsidR="00BF001E" w:rsidRPr="003615DC" w:rsidRDefault="00BF001E" w:rsidP="00BF001E">
      <w:pPr>
        <w:rPr>
          <w:rFonts w:asciiTheme="majorHAnsi" w:hAnsiTheme="majorHAnsi" w:cstheme="majorHAnsi"/>
          <w:sz w:val="22"/>
          <w:szCs w:val="22"/>
        </w:rPr>
      </w:pPr>
    </w:p>
    <w:p w14:paraId="19DD7349" w14:textId="77777777" w:rsidR="00BF001E" w:rsidRPr="003615DC" w:rsidRDefault="00BF001E" w:rsidP="00BF001E">
      <w:pPr>
        <w:spacing w:after="240"/>
        <w:jc w:val="both"/>
        <w:rPr>
          <w:rFonts w:asciiTheme="majorHAnsi" w:hAnsiTheme="majorHAnsi" w:cstheme="majorHAnsi"/>
          <w:sz w:val="22"/>
          <w:szCs w:val="22"/>
        </w:rPr>
      </w:pPr>
      <w:r w:rsidRPr="003615DC">
        <w:rPr>
          <w:rFonts w:asciiTheme="majorHAnsi" w:hAnsiTheme="majorHAnsi" w:cstheme="majorHAnsi"/>
          <w:sz w:val="22"/>
          <w:szCs w:val="22"/>
        </w:rPr>
        <w:t xml:space="preserve">El Ministerio de Energía y Minas (MEM), trabaja en conjunto con el Ministerio de Ambiente, Agua y Transición Ecológica (MAATE) y el Programa de Naciones Unidas para el Desarrollo (PNUD), como parte de la iniciativa mundial denominada “Global </w:t>
      </w:r>
      <w:proofErr w:type="spellStart"/>
      <w:r w:rsidRPr="003615DC">
        <w:rPr>
          <w:rFonts w:asciiTheme="majorHAnsi" w:hAnsiTheme="majorHAnsi" w:cstheme="majorHAnsi"/>
          <w:sz w:val="22"/>
          <w:szCs w:val="22"/>
        </w:rPr>
        <w:t>Opportunities</w:t>
      </w:r>
      <w:proofErr w:type="spellEnd"/>
      <w:r w:rsidRPr="003615DC">
        <w:rPr>
          <w:rFonts w:asciiTheme="majorHAnsi" w:hAnsiTheme="majorHAnsi" w:cstheme="majorHAnsi"/>
          <w:sz w:val="22"/>
          <w:szCs w:val="22"/>
        </w:rPr>
        <w:t xml:space="preserve"> </w:t>
      </w:r>
      <w:proofErr w:type="spellStart"/>
      <w:r w:rsidRPr="003615DC">
        <w:rPr>
          <w:rFonts w:asciiTheme="majorHAnsi" w:hAnsiTheme="majorHAnsi" w:cstheme="majorHAnsi"/>
          <w:sz w:val="22"/>
          <w:szCs w:val="22"/>
        </w:rPr>
        <w:t>for</w:t>
      </w:r>
      <w:proofErr w:type="spellEnd"/>
      <w:r w:rsidRPr="003615DC">
        <w:rPr>
          <w:rFonts w:asciiTheme="majorHAnsi" w:hAnsiTheme="majorHAnsi" w:cstheme="majorHAnsi"/>
          <w:sz w:val="22"/>
          <w:szCs w:val="22"/>
        </w:rPr>
        <w:t xml:space="preserve"> Long </w:t>
      </w:r>
      <w:proofErr w:type="spellStart"/>
      <w:r w:rsidRPr="003615DC">
        <w:rPr>
          <w:rFonts w:asciiTheme="majorHAnsi" w:hAnsiTheme="majorHAnsi" w:cstheme="majorHAnsi"/>
          <w:sz w:val="22"/>
          <w:szCs w:val="22"/>
        </w:rPr>
        <w:t>Development</w:t>
      </w:r>
      <w:proofErr w:type="spellEnd"/>
      <w:r w:rsidRPr="003615DC">
        <w:rPr>
          <w:rFonts w:asciiTheme="majorHAnsi" w:hAnsiTheme="majorHAnsi" w:cstheme="majorHAnsi"/>
          <w:sz w:val="22"/>
          <w:szCs w:val="22"/>
        </w:rPr>
        <w:t xml:space="preserve"> Plus (GOLD+) in </w:t>
      </w:r>
      <w:proofErr w:type="spellStart"/>
      <w:r w:rsidRPr="003615DC">
        <w:rPr>
          <w:rFonts w:asciiTheme="majorHAnsi" w:hAnsiTheme="majorHAnsi" w:cstheme="majorHAnsi"/>
          <w:sz w:val="22"/>
          <w:szCs w:val="22"/>
        </w:rPr>
        <w:t>the</w:t>
      </w:r>
      <w:proofErr w:type="spellEnd"/>
      <w:r w:rsidRPr="003615DC">
        <w:rPr>
          <w:rFonts w:asciiTheme="majorHAnsi" w:hAnsiTheme="majorHAnsi" w:cstheme="majorHAnsi"/>
          <w:sz w:val="22"/>
          <w:szCs w:val="22"/>
        </w:rPr>
        <w:t xml:space="preserve"> </w:t>
      </w:r>
      <w:proofErr w:type="spellStart"/>
      <w:r w:rsidRPr="003615DC">
        <w:rPr>
          <w:rFonts w:asciiTheme="majorHAnsi" w:hAnsiTheme="majorHAnsi" w:cstheme="majorHAnsi"/>
          <w:sz w:val="22"/>
          <w:szCs w:val="22"/>
        </w:rPr>
        <w:t>Mining</w:t>
      </w:r>
      <w:proofErr w:type="spellEnd"/>
      <w:r w:rsidRPr="003615DC">
        <w:rPr>
          <w:rFonts w:asciiTheme="majorHAnsi" w:hAnsiTheme="majorHAnsi" w:cstheme="majorHAnsi"/>
          <w:sz w:val="22"/>
          <w:szCs w:val="22"/>
        </w:rPr>
        <w:t xml:space="preserve"> Sector”; la cual, tiene la finalidad de disminuir el uso de mercurio en la minería artesanal y a pequeña escala (MAPE) de oro conforme lo establece el Convenio de Minamata en su artículo 7, iniciativa que es financiada por el Fondo para el Medio Ambiente Mundial (GEF, por sus siglas en inglés) e implementada en diez países.</w:t>
      </w:r>
    </w:p>
    <w:p w14:paraId="5F9C7CAD" w14:textId="77777777" w:rsidR="00BF001E" w:rsidRPr="003615DC" w:rsidRDefault="00BF001E" w:rsidP="00BF001E">
      <w:pPr>
        <w:spacing w:after="240"/>
        <w:jc w:val="both"/>
        <w:rPr>
          <w:rFonts w:asciiTheme="majorHAnsi" w:hAnsiTheme="majorHAnsi" w:cstheme="majorHAnsi"/>
          <w:sz w:val="22"/>
          <w:szCs w:val="22"/>
        </w:rPr>
      </w:pPr>
      <w:r w:rsidRPr="003615DC">
        <w:rPr>
          <w:rFonts w:asciiTheme="majorHAnsi" w:hAnsiTheme="majorHAnsi" w:cstheme="majorHAnsi"/>
          <w:sz w:val="22"/>
          <w:szCs w:val="22"/>
        </w:rPr>
        <w:t xml:space="preserve">Este proyecto tiene un financiamiento de USD 4,000,000 para un periodo de implementación de 5 años, cuya fecha de arranque fue el 05 de septiembre de 2024. </w:t>
      </w:r>
    </w:p>
    <w:p w14:paraId="1167EBCA" w14:textId="77777777" w:rsidR="00BF001E" w:rsidRPr="003615DC" w:rsidRDefault="00BF001E" w:rsidP="00BF001E">
      <w:pPr>
        <w:spacing w:after="240"/>
        <w:jc w:val="both"/>
        <w:rPr>
          <w:rFonts w:asciiTheme="majorHAnsi" w:hAnsiTheme="majorHAnsi" w:cstheme="majorHAnsi"/>
          <w:sz w:val="22"/>
          <w:szCs w:val="22"/>
        </w:rPr>
      </w:pPr>
      <w:r w:rsidRPr="003615DC">
        <w:rPr>
          <w:rFonts w:asciiTheme="majorHAnsi" w:hAnsiTheme="majorHAnsi" w:cstheme="majorHAnsi"/>
          <w:sz w:val="22"/>
          <w:szCs w:val="22"/>
        </w:rPr>
        <w:t>Del 14 al 16 de octubre de 2024, se llevó a cabo el primer taller de arranque del proyecto en la provincia de Zamora Chinchipe, del mismo que se obtuvo como resultado la socialización del proyecto en la comunidad beneficiaria, la obtención de información sobre necesidades y percepciones locales del sector minero en Zamora; y el levantamiento de línea base de actores interesados.</w:t>
      </w:r>
    </w:p>
    <w:p w14:paraId="5ACD7049" w14:textId="77777777" w:rsidR="00BF001E" w:rsidRPr="003615DC" w:rsidRDefault="00BF001E" w:rsidP="00BF001E">
      <w:pPr>
        <w:spacing w:after="240"/>
        <w:jc w:val="both"/>
        <w:rPr>
          <w:rFonts w:asciiTheme="majorHAnsi" w:hAnsiTheme="majorHAnsi" w:cstheme="majorHAnsi"/>
          <w:sz w:val="22"/>
          <w:szCs w:val="22"/>
        </w:rPr>
      </w:pPr>
      <w:r w:rsidRPr="003615DC">
        <w:rPr>
          <w:rFonts w:asciiTheme="majorHAnsi" w:hAnsiTheme="majorHAnsi" w:cstheme="majorHAnsi"/>
          <w:sz w:val="22"/>
          <w:szCs w:val="22"/>
        </w:rPr>
        <w:t xml:space="preserve">El 29 de octubre de 2024, se realizó un taller de intercambio de experiencias de cierre de minas en la MAPE, con el objetivo de promover y desarrollar estrategias de gobernanza en el sector de la minería artesanal y a pequeña escala de oro, en el cual participaron los </w:t>
      </w:r>
      <w:proofErr w:type="gramStart"/>
      <w:r w:rsidRPr="003615DC">
        <w:rPr>
          <w:rFonts w:asciiTheme="majorHAnsi" w:hAnsiTheme="majorHAnsi" w:cstheme="majorHAnsi"/>
          <w:sz w:val="22"/>
          <w:szCs w:val="22"/>
        </w:rPr>
        <w:t>equipos global</w:t>
      </w:r>
      <w:proofErr w:type="gramEnd"/>
      <w:r w:rsidRPr="003615DC">
        <w:rPr>
          <w:rFonts w:asciiTheme="majorHAnsi" w:hAnsiTheme="majorHAnsi" w:cstheme="majorHAnsi"/>
          <w:sz w:val="22"/>
          <w:szCs w:val="22"/>
        </w:rPr>
        <w:t xml:space="preserve"> y de Bolivia del proyecto.</w:t>
      </w:r>
    </w:p>
    <w:p w14:paraId="16597A70" w14:textId="77777777" w:rsidR="00BF001E" w:rsidRPr="003615DC" w:rsidRDefault="00BF001E" w:rsidP="00BF001E">
      <w:pPr>
        <w:spacing w:after="240"/>
        <w:jc w:val="both"/>
        <w:rPr>
          <w:rFonts w:asciiTheme="majorHAnsi" w:eastAsia="Times New Roman" w:hAnsiTheme="majorHAnsi" w:cstheme="majorHAnsi"/>
          <w:sz w:val="22"/>
          <w:szCs w:val="22"/>
        </w:rPr>
      </w:pPr>
      <w:r w:rsidRPr="003615DC">
        <w:rPr>
          <w:rFonts w:asciiTheme="majorHAnsi" w:hAnsiTheme="majorHAnsi" w:cstheme="majorHAnsi"/>
          <w:sz w:val="22"/>
          <w:szCs w:val="22"/>
        </w:rPr>
        <w:t>El 07 de diciembre de 2024 se llevó a cabo la socialización del proyecto en la provincia de Loja, en el cantón Macará, de la cual se levantaron necesidades y percepciones locales del sector minero en Loja; y el levantamiento de línea base de actores interesados.</w:t>
      </w:r>
    </w:p>
    <w:p w14:paraId="01BACCF8" w14:textId="77777777" w:rsidR="00BF001E" w:rsidRPr="00213F2B" w:rsidRDefault="00BF001E" w:rsidP="00213F2B">
      <w:pPr>
        <w:pStyle w:val="Ttulo4"/>
        <w:rPr>
          <w:i w:val="0"/>
          <w:sz w:val="22"/>
          <w:szCs w:val="22"/>
        </w:rPr>
      </w:pPr>
      <w:bookmarkStart w:id="245" w:name="_Toc127542760"/>
      <w:bookmarkStart w:id="246" w:name="_Toc157507037"/>
      <w:bookmarkStart w:id="247" w:name="_Toc157422748"/>
      <w:r w:rsidRPr="00213F2B">
        <w:rPr>
          <w:i w:val="0"/>
          <w:sz w:val="22"/>
          <w:szCs w:val="22"/>
        </w:rPr>
        <w:t xml:space="preserve">Programas de Capacitación para Pequeña Minería y </w:t>
      </w:r>
      <w:bookmarkEnd w:id="245"/>
      <w:r w:rsidRPr="00213F2B">
        <w:rPr>
          <w:i w:val="0"/>
          <w:sz w:val="22"/>
          <w:szCs w:val="22"/>
        </w:rPr>
        <w:t>Minería Artesanal</w:t>
      </w:r>
      <w:bookmarkEnd w:id="246"/>
      <w:bookmarkEnd w:id="247"/>
      <w:r w:rsidRPr="00213F2B">
        <w:rPr>
          <w:i w:val="0"/>
          <w:sz w:val="22"/>
          <w:szCs w:val="22"/>
        </w:rPr>
        <w:t xml:space="preserve"> </w:t>
      </w:r>
    </w:p>
    <w:p w14:paraId="7655F4FF" w14:textId="77777777" w:rsidR="00BF001E" w:rsidRPr="003615DC" w:rsidRDefault="00BF001E" w:rsidP="00BF001E">
      <w:pPr>
        <w:rPr>
          <w:rFonts w:asciiTheme="majorHAnsi" w:hAnsiTheme="majorHAnsi" w:cstheme="majorHAnsi"/>
          <w:sz w:val="22"/>
          <w:szCs w:val="22"/>
        </w:rPr>
      </w:pPr>
    </w:p>
    <w:p w14:paraId="6EC5798D" w14:textId="46D4990C" w:rsidR="00D4678F" w:rsidRPr="003615DC" w:rsidRDefault="00BF001E" w:rsidP="00BF001E">
      <w:pPr>
        <w:jc w:val="both"/>
        <w:rPr>
          <w:rStyle w:val="markedcontent"/>
          <w:rFonts w:asciiTheme="majorHAnsi" w:hAnsiTheme="majorHAnsi" w:cstheme="majorHAnsi"/>
          <w:sz w:val="22"/>
          <w:szCs w:val="22"/>
        </w:rPr>
      </w:pPr>
      <w:r w:rsidRPr="003615DC">
        <w:rPr>
          <w:rStyle w:val="markedcontent"/>
          <w:rFonts w:asciiTheme="majorHAnsi" w:hAnsiTheme="majorHAnsi" w:cstheme="majorHAnsi"/>
          <w:sz w:val="22"/>
          <w:szCs w:val="22"/>
        </w:rPr>
        <w:t xml:space="preserve">Durante el año 2024, el Instituto de Investigación Geológico y Energético en conjunto con las Coordinaciones Zonales del Ministerio de Energía y Minas, ha impartido </w:t>
      </w:r>
      <w:r w:rsidRPr="003615DC">
        <w:rPr>
          <w:rStyle w:val="markedcontent"/>
          <w:rFonts w:asciiTheme="majorHAnsi" w:hAnsiTheme="majorHAnsi" w:cstheme="majorHAnsi"/>
          <w:b/>
          <w:sz w:val="22"/>
          <w:szCs w:val="22"/>
        </w:rPr>
        <w:t>4 talleres</w:t>
      </w:r>
      <w:r w:rsidRPr="003615DC">
        <w:rPr>
          <w:rStyle w:val="markedcontent"/>
          <w:rFonts w:asciiTheme="majorHAnsi" w:hAnsiTheme="majorHAnsi" w:cstheme="majorHAnsi"/>
          <w:sz w:val="22"/>
          <w:szCs w:val="22"/>
        </w:rPr>
        <w:t xml:space="preserve"> de capacitación y beneficiado a </w:t>
      </w:r>
      <w:r w:rsidRPr="003615DC">
        <w:rPr>
          <w:rStyle w:val="markedcontent"/>
          <w:rFonts w:asciiTheme="majorHAnsi" w:hAnsiTheme="majorHAnsi" w:cstheme="majorHAnsi"/>
          <w:b/>
          <w:sz w:val="22"/>
          <w:szCs w:val="22"/>
        </w:rPr>
        <w:t>1.117 participantes</w:t>
      </w:r>
      <w:r w:rsidRPr="003615DC">
        <w:rPr>
          <w:rStyle w:val="markedcontent"/>
          <w:rFonts w:asciiTheme="majorHAnsi" w:hAnsiTheme="majorHAnsi" w:cstheme="majorHAnsi"/>
          <w:sz w:val="22"/>
          <w:szCs w:val="22"/>
        </w:rPr>
        <w:t>; entre los que participaron se encuentran titulares,</w:t>
      </w:r>
      <w:r w:rsidRPr="003615DC">
        <w:rPr>
          <w:rFonts w:asciiTheme="majorHAnsi" w:hAnsiTheme="majorHAnsi" w:cstheme="majorHAnsi"/>
          <w:sz w:val="22"/>
          <w:szCs w:val="22"/>
        </w:rPr>
        <w:t xml:space="preserve"> </w:t>
      </w:r>
      <w:r w:rsidRPr="003615DC">
        <w:rPr>
          <w:rStyle w:val="markedcontent"/>
          <w:rFonts w:asciiTheme="majorHAnsi" w:hAnsiTheme="majorHAnsi" w:cstheme="majorHAnsi"/>
          <w:sz w:val="22"/>
          <w:szCs w:val="22"/>
        </w:rPr>
        <w:t xml:space="preserve">trabajadores, técnicos de concesiones, técnicos de GAD ́s, funcionarios públicos y demás actores </w:t>
      </w:r>
      <w:r w:rsidRPr="003615DC">
        <w:rPr>
          <w:rStyle w:val="markedcontent"/>
          <w:rFonts w:asciiTheme="majorHAnsi" w:hAnsiTheme="majorHAnsi" w:cstheme="majorHAnsi"/>
          <w:sz w:val="22"/>
          <w:szCs w:val="22"/>
        </w:rPr>
        <w:lastRenderedPageBreak/>
        <w:t>mineros dedicados a la</w:t>
      </w:r>
      <w:r w:rsidRPr="003615DC">
        <w:rPr>
          <w:rFonts w:asciiTheme="majorHAnsi" w:hAnsiTheme="majorHAnsi" w:cstheme="majorHAnsi"/>
          <w:sz w:val="22"/>
          <w:szCs w:val="22"/>
        </w:rPr>
        <w:t xml:space="preserve"> </w:t>
      </w:r>
      <w:r w:rsidRPr="003615DC">
        <w:rPr>
          <w:rStyle w:val="markedcontent"/>
          <w:rFonts w:asciiTheme="majorHAnsi" w:hAnsiTheme="majorHAnsi" w:cstheme="majorHAnsi"/>
          <w:sz w:val="22"/>
          <w:szCs w:val="22"/>
        </w:rPr>
        <w:t>actividad extractiva a nivel nacional en Pequeña Minería y Minería Artesanal.</w:t>
      </w:r>
      <w:r w:rsidR="00F7193D">
        <w:rPr>
          <w:rStyle w:val="markedcontent"/>
          <w:rFonts w:asciiTheme="majorHAnsi" w:hAnsiTheme="majorHAnsi" w:cstheme="majorHAnsi"/>
          <w:sz w:val="22"/>
          <w:szCs w:val="22"/>
        </w:rPr>
        <w:t xml:space="preserve"> </w:t>
      </w:r>
      <w:r w:rsidRPr="003615DC">
        <w:rPr>
          <w:rStyle w:val="markedcontent"/>
          <w:rFonts w:asciiTheme="majorHAnsi" w:hAnsiTheme="majorHAnsi" w:cstheme="majorHAnsi"/>
          <w:sz w:val="22"/>
          <w:szCs w:val="22"/>
        </w:rPr>
        <w:t>Al 31 de diciembre de 2024, el número de capacitaciones realizadas por el IIGE junto con las Coordinaciones Zonales es el siguiente:</w:t>
      </w:r>
    </w:p>
    <w:p w14:paraId="294C77F8" w14:textId="77777777" w:rsidR="00BF001E" w:rsidRPr="003615DC" w:rsidRDefault="00BF001E" w:rsidP="00BF001E">
      <w:pPr>
        <w:jc w:val="both"/>
        <w:rPr>
          <w:rStyle w:val="markedcontent"/>
          <w:rFonts w:asciiTheme="majorHAnsi" w:hAnsiTheme="majorHAnsi" w:cstheme="majorHAnsi"/>
          <w:sz w:val="22"/>
          <w:szCs w:val="22"/>
        </w:rPr>
      </w:pPr>
    </w:p>
    <w:p w14:paraId="75A335DD" w14:textId="617D900D" w:rsidR="00BF001E" w:rsidRPr="003615DC" w:rsidRDefault="00BF001E" w:rsidP="00BF001E">
      <w:pPr>
        <w:pStyle w:val="Descripcin"/>
        <w:rPr>
          <w:rStyle w:val="markedcontent"/>
          <w:rFonts w:asciiTheme="majorHAnsi" w:hAnsiTheme="majorHAnsi" w:cstheme="majorHAnsi"/>
          <w:szCs w:val="22"/>
        </w:rPr>
      </w:pPr>
      <w:bookmarkStart w:id="248" w:name="_Toc157507109"/>
      <w:bookmarkStart w:id="249" w:name="_Toc157422694"/>
      <w:bookmarkStart w:id="250" w:name="_Toc198821627"/>
      <w:bookmarkStart w:id="251" w:name="_Toc199759689"/>
      <w:r w:rsidRPr="003615DC">
        <w:rPr>
          <w:rFonts w:asciiTheme="majorHAnsi" w:hAnsiTheme="majorHAnsi" w:cstheme="majorHAnsi"/>
          <w:szCs w:val="22"/>
        </w:rPr>
        <w:t xml:space="preserve">Tabla </w:t>
      </w:r>
      <w:r w:rsidRPr="003615DC">
        <w:rPr>
          <w:rFonts w:asciiTheme="majorHAnsi" w:hAnsiTheme="majorHAnsi" w:cstheme="majorHAnsi"/>
          <w:szCs w:val="22"/>
        </w:rPr>
        <w:fldChar w:fldCharType="begin"/>
      </w:r>
      <w:r w:rsidRPr="003615DC">
        <w:rPr>
          <w:rFonts w:asciiTheme="majorHAnsi" w:hAnsiTheme="majorHAnsi" w:cstheme="majorHAnsi"/>
          <w:szCs w:val="22"/>
        </w:rPr>
        <w:instrText xml:space="preserve"> SEQ Tabla \* ARABIC </w:instrText>
      </w:r>
      <w:r w:rsidRPr="003615DC">
        <w:rPr>
          <w:rFonts w:asciiTheme="majorHAnsi" w:hAnsiTheme="majorHAnsi" w:cstheme="majorHAnsi"/>
          <w:szCs w:val="22"/>
        </w:rPr>
        <w:fldChar w:fldCharType="separate"/>
      </w:r>
      <w:r w:rsidR="00CF0AD2">
        <w:rPr>
          <w:rFonts w:asciiTheme="majorHAnsi" w:hAnsiTheme="majorHAnsi" w:cstheme="majorHAnsi"/>
          <w:noProof/>
          <w:szCs w:val="22"/>
        </w:rPr>
        <w:t>19</w:t>
      </w:r>
      <w:r w:rsidRPr="003615DC">
        <w:rPr>
          <w:rFonts w:asciiTheme="majorHAnsi" w:hAnsiTheme="majorHAnsi" w:cstheme="majorHAnsi"/>
          <w:szCs w:val="22"/>
        </w:rPr>
        <w:fldChar w:fldCharType="end"/>
      </w:r>
      <w:r w:rsidR="0016337C">
        <w:rPr>
          <w:rFonts w:asciiTheme="majorHAnsi" w:hAnsiTheme="majorHAnsi" w:cstheme="majorHAnsi"/>
          <w:szCs w:val="22"/>
        </w:rPr>
        <w:t>:</w:t>
      </w:r>
      <w:r w:rsidRPr="003615DC">
        <w:rPr>
          <w:rFonts w:asciiTheme="majorHAnsi" w:hAnsiTheme="majorHAnsi" w:cstheme="majorHAnsi"/>
          <w:szCs w:val="22"/>
        </w:rPr>
        <w:t xml:space="preserve"> Capacitaciones Realizadas En El Año 202</w:t>
      </w:r>
      <w:bookmarkEnd w:id="248"/>
      <w:bookmarkEnd w:id="249"/>
      <w:r w:rsidRPr="003615DC">
        <w:rPr>
          <w:rFonts w:asciiTheme="majorHAnsi" w:hAnsiTheme="majorHAnsi" w:cstheme="majorHAnsi"/>
          <w:szCs w:val="22"/>
        </w:rPr>
        <w:t>4</w:t>
      </w:r>
      <w:bookmarkEnd w:id="250"/>
      <w:bookmarkEnd w:id="251"/>
    </w:p>
    <w:tbl>
      <w:tblPr>
        <w:tblW w:w="5021"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960"/>
        <w:gridCol w:w="2061"/>
      </w:tblGrid>
      <w:tr w:rsidR="00BF001E" w:rsidRPr="003615DC" w14:paraId="2F76259B" w14:textId="77777777" w:rsidTr="0016337C">
        <w:trPr>
          <w:trHeight w:val="300"/>
          <w:tblHeader/>
          <w:jc w:val="center"/>
        </w:trPr>
        <w:tc>
          <w:tcPr>
            <w:tcW w:w="2960" w:type="dxa"/>
            <w:tcBorders>
              <w:top w:val="single" w:sz="4" w:space="0" w:color="4472C4"/>
              <w:left w:val="single" w:sz="4" w:space="0" w:color="4472C4"/>
              <w:bottom w:val="single" w:sz="4" w:space="0" w:color="4472C4"/>
              <w:right w:val="nil"/>
            </w:tcBorders>
            <w:shd w:val="clear" w:color="auto" w:fill="4472C4"/>
            <w:noWrap/>
            <w:hideMark/>
          </w:tcPr>
          <w:p w14:paraId="11565826" w14:textId="77777777" w:rsidR="00BF001E" w:rsidRPr="007318EF" w:rsidRDefault="00BF001E" w:rsidP="00BF001E">
            <w:pPr>
              <w:spacing w:line="256" w:lineRule="auto"/>
              <w:jc w:val="center"/>
              <w:rPr>
                <w:rFonts w:asciiTheme="majorHAnsi" w:eastAsia="Times New Roman" w:hAnsiTheme="majorHAnsi" w:cstheme="majorHAnsi"/>
                <w:b/>
                <w:bCs/>
                <w:color w:val="FFFFFF"/>
                <w:sz w:val="18"/>
                <w:szCs w:val="18"/>
                <w:lang w:eastAsia="es-EC"/>
              </w:rPr>
            </w:pPr>
            <w:r w:rsidRPr="007318EF">
              <w:rPr>
                <w:rFonts w:asciiTheme="majorHAnsi" w:eastAsia="Times New Roman" w:hAnsiTheme="majorHAnsi" w:cstheme="majorHAnsi"/>
                <w:b/>
                <w:bCs/>
                <w:color w:val="FFFFFF"/>
                <w:sz w:val="18"/>
                <w:szCs w:val="18"/>
                <w:lang w:eastAsia="es-EC"/>
              </w:rPr>
              <w:t xml:space="preserve">UNIDAD </w:t>
            </w:r>
          </w:p>
        </w:tc>
        <w:tc>
          <w:tcPr>
            <w:tcW w:w="2061" w:type="dxa"/>
            <w:tcBorders>
              <w:top w:val="single" w:sz="4" w:space="0" w:color="4472C4"/>
              <w:left w:val="nil"/>
              <w:bottom w:val="single" w:sz="4" w:space="0" w:color="4472C4"/>
              <w:right w:val="single" w:sz="4" w:space="0" w:color="4472C4"/>
            </w:tcBorders>
            <w:shd w:val="clear" w:color="auto" w:fill="4472C4"/>
            <w:noWrap/>
            <w:hideMark/>
          </w:tcPr>
          <w:p w14:paraId="38805CD5" w14:textId="77777777" w:rsidR="00BF001E" w:rsidRPr="007318EF" w:rsidRDefault="00BF001E" w:rsidP="00BF001E">
            <w:pPr>
              <w:spacing w:line="256" w:lineRule="auto"/>
              <w:jc w:val="center"/>
              <w:rPr>
                <w:rFonts w:asciiTheme="majorHAnsi" w:eastAsia="Times New Roman" w:hAnsiTheme="majorHAnsi" w:cstheme="majorHAnsi"/>
                <w:b/>
                <w:bCs/>
                <w:color w:val="FFFFFF"/>
                <w:sz w:val="18"/>
                <w:szCs w:val="18"/>
                <w:lang w:eastAsia="es-EC"/>
              </w:rPr>
            </w:pPr>
            <w:r w:rsidRPr="007318EF">
              <w:rPr>
                <w:rFonts w:asciiTheme="majorHAnsi" w:eastAsia="Times New Roman" w:hAnsiTheme="majorHAnsi" w:cstheme="majorHAnsi"/>
                <w:b/>
                <w:bCs/>
                <w:color w:val="FFFFFF"/>
                <w:sz w:val="18"/>
                <w:szCs w:val="18"/>
                <w:lang w:eastAsia="es-EC"/>
              </w:rPr>
              <w:t>BENEFICIARIOS</w:t>
            </w:r>
          </w:p>
        </w:tc>
      </w:tr>
      <w:tr w:rsidR="00BF001E" w:rsidRPr="003615DC" w14:paraId="4BE36244" w14:textId="77777777" w:rsidTr="00BF001E">
        <w:trPr>
          <w:trHeight w:val="300"/>
          <w:jc w:val="center"/>
        </w:trPr>
        <w:tc>
          <w:tcPr>
            <w:tcW w:w="296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628D770F" w14:textId="77777777" w:rsidR="00BF001E" w:rsidRPr="007318EF" w:rsidRDefault="00BF001E" w:rsidP="00BF001E">
            <w:pPr>
              <w:spacing w:line="256" w:lineRule="auto"/>
              <w:rPr>
                <w:rFonts w:asciiTheme="majorHAnsi" w:eastAsia="Times New Roman" w:hAnsiTheme="majorHAnsi" w:cstheme="majorHAnsi"/>
                <w:bCs/>
                <w:sz w:val="18"/>
                <w:szCs w:val="18"/>
                <w:lang w:eastAsia="es-EC"/>
              </w:rPr>
            </w:pPr>
            <w:r w:rsidRPr="007318EF">
              <w:rPr>
                <w:rFonts w:asciiTheme="majorHAnsi" w:eastAsia="Times New Roman" w:hAnsiTheme="majorHAnsi" w:cstheme="majorHAnsi"/>
                <w:bCs/>
                <w:sz w:val="18"/>
                <w:szCs w:val="18"/>
                <w:lang w:eastAsia="es-EC"/>
              </w:rPr>
              <w:t>Coordinación Zonal Norte</w:t>
            </w:r>
          </w:p>
        </w:tc>
        <w:tc>
          <w:tcPr>
            <w:tcW w:w="2061"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681D6CCA" w14:textId="77777777" w:rsidR="00BF001E" w:rsidRPr="007318EF" w:rsidRDefault="00BF001E" w:rsidP="00BF001E">
            <w:pPr>
              <w:spacing w:line="256" w:lineRule="auto"/>
              <w:jc w:val="center"/>
              <w:rPr>
                <w:rFonts w:asciiTheme="majorHAnsi" w:eastAsia="Times New Roman" w:hAnsiTheme="majorHAnsi" w:cstheme="majorHAnsi"/>
                <w:sz w:val="18"/>
                <w:szCs w:val="18"/>
                <w:lang w:eastAsia="es-EC"/>
              </w:rPr>
            </w:pPr>
            <w:r w:rsidRPr="007318EF">
              <w:rPr>
                <w:rFonts w:asciiTheme="majorHAnsi" w:eastAsia="Times New Roman" w:hAnsiTheme="majorHAnsi" w:cstheme="majorHAnsi"/>
                <w:sz w:val="18"/>
                <w:szCs w:val="18"/>
                <w:lang w:eastAsia="es-EC"/>
              </w:rPr>
              <w:t>279</w:t>
            </w:r>
          </w:p>
        </w:tc>
      </w:tr>
      <w:tr w:rsidR="00BF001E" w:rsidRPr="003615DC" w14:paraId="02E2FEDA" w14:textId="77777777" w:rsidTr="00BF001E">
        <w:trPr>
          <w:trHeight w:val="300"/>
          <w:jc w:val="center"/>
        </w:trPr>
        <w:tc>
          <w:tcPr>
            <w:tcW w:w="2960" w:type="dxa"/>
            <w:tcBorders>
              <w:top w:val="single" w:sz="4" w:space="0" w:color="8EAADB"/>
              <w:left w:val="single" w:sz="4" w:space="0" w:color="8EAADB"/>
              <w:bottom w:val="single" w:sz="4" w:space="0" w:color="8EAADB"/>
              <w:right w:val="single" w:sz="4" w:space="0" w:color="8EAADB"/>
            </w:tcBorders>
            <w:noWrap/>
            <w:hideMark/>
          </w:tcPr>
          <w:p w14:paraId="6D3D9F38" w14:textId="77777777" w:rsidR="00BF001E" w:rsidRPr="007318EF" w:rsidRDefault="00BF001E" w:rsidP="00BF001E">
            <w:pPr>
              <w:spacing w:line="256" w:lineRule="auto"/>
              <w:rPr>
                <w:rFonts w:asciiTheme="majorHAnsi" w:eastAsia="Times New Roman" w:hAnsiTheme="majorHAnsi" w:cstheme="majorHAnsi"/>
                <w:bCs/>
                <w:sz w:val="18"/>
                <w:szCs w:val="18"/>
                <w:lang w:eastAsia="es-EC"/>
              </w:rPr>
            </w:pPr>
            <w:r w:rsidRPr="007318EF">
              <w:rPr>
                <w:rFonts w:asciiTheme="majorHAnsi" w:eastAsia="Times New Roman" w:hAnsiTheme="majorHAnsi" w:cstheme="majorHAnsi"/>
                <w:bCs/>
                <w:sz w:val="18"/>
                <w:szCs w:val="18"/>
                <w:lang w:eastAsia="es-EC"/>
              </w:rPr>
              <w:t xml:space="preserve">Coordinación Zonal Centro </w:t>
            </w:r>
          </w:p>
        </w:tc>
        <w:tc>
          <w:tcPr>
            <w:tcW w:w="2061" w:type="dxa"/>
            <w:tcBorders>
              <w:top w:val="single" w:sz="4" w:space="0" w:color="8EAADB"/>
              <w:left w:val="single" w:sz="4" w:space="0" w:color="8EAADB"/>
              <w:bottom w:val="single" w:sz="4" w:space="0" w:color="8EAADB"/>
              <w:right w:val="single" w:sz="4" w:space="0" w:color="8EAADB"/>
            </w:tcBorders>
            <w:noWrap/>
            <w:hideMark/>
          </w:tcPr>
          <w:p w14:paraId="70122359" w14:textId="77777777" w:rsidR="00BF001E" w:rsidRPr="007318EF" w:rsidRDefault="00BF001E" w:rsidP="00BF001E">
            <w:pPr>
              <w:spacing w:line="256" w:lineRule="auto"/>
              <w:jc w:val="center"/>
              <w:rPr>
                <w:rFonts w:asciiTheme="majorHAnsi" w:eastAsia="Times New Roman" w:hAnsiTheme="majorHAnsi" w:cstheme="majorHAnsi"/>
                <w:sz w:val="18"/>
                <w:szCs w:val="18"/>
                <w:lang w:eastAsia="es-EC"/>
              </w:rPr>
            </w:pPr>
            <w:r w:rsidRPr="007318EF">
              <w:rPr>
                <w:rFonts w:asciiTheme="majorHAnsi" w:eastAsia="Times New Roman" w:hAnsiTheme="majorHAnsi" w:cstheme="majorHAnsi"/>
                <w:sz w:val="18"/>
                <w:szCs w:val="18"/>
                <w:lang w:eastAsia="es-EC"/>
              </w:rPr>
              <w:t>129</w:t>
            </w:r>
          </w:p>
        </w:tc>
      </w:tr>
      <w:tr w:rsidR="00BF001E" w:rsidRPr="003615DC" w14:paraId="42F3A06D" w14:textId="77777777" w:rsidTr="00BF001E">
        <w:trPr>
          <w:trHeight w:val="300"/>
          <w:jc w:val="center"/>
        </w:trPr>
        <w:tc>
          <w:tcPr>
            <w:tcW w:w="296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5957ABDD" w14:textId="77777777" w:rsidR="00BF001E" w:rsidRPr="007318EF" w:rsidRDefault="00BF001E" w:rsidP="00BF001E">
            <w:pPr>
              <w:spacing w:line="256" w:lineRule="auto"/>
              <w:rPr>
                <w:rFonts w:asciiTheme="majorHAnsi" w:eastAsia="Times New Roman" w:hAnsiTheme="majorHAnsi" w:cstheme="majorHAnsi"/>
                <w:bCs/>
                <w:sz w:val="18"/>
                <w:szCs w:val="18"/>
                <w:lang w:eastAsia="es-EC"/>
              </w:rPr>
            </w:pPr>
            <w:r w:rsidRPr="007318EF">
              <w:rPr>
                <w:rFonts w:asciiTheme="majorHAnsi" w:eastAsia="Times New Roman" w:hAnsiTheme="majorHAnsi" w:cstheme="majorHAnsi"/>
                <w:bCs/>
                <w:sz w:val="18"/>
                <w:szCs w:val="18"/>
                <w:lang w:eastAsia="es-EC"/>
              </w:rPr>
              <w:t xml:space="preserve">Coordinación Zonal Litoral </w:t>
            </w:r>
          </w:p>
        </w:tc>
        <w:tc>
          <w:tcPr>
            <w:tcW w:w="2061"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13691FBF" w14:textId="77777777" w:rsidR="00BF001E" w:rsidRPr="007318EF" w:rsidRDefault="00BF001E" w:rsidP="00BF001E">
            <w:pPr>
              <w:spacing w:line="256" w:lineRule="auto"/>
              <w:jc w:val="center"/>
              <w:rPr>
                <w:rFonts w:asciiTheme="majorHAnsi" w:eastAsia="Times New Roman" w:hAnsiTheme="majorHAnsi" w:cstheme="majorHAnsi"/>
                <w:sz w:val="18"/>
                <w:szCs w:val="18"/>
                <w:lang w:eastAsia="es-EC"/>
              </w:rPr>
            </w:pPr>
            <w:r w:rsidRPr="007318EF">
              <w:rPr>
                <w:rFonts w:asciiTheme="majorHAnsi" w:eastAsia="Times New Roman" w:hAnsiTheme="majorHAnsi" w:cstheme="majorHAnsi"/>
                <w:sz w:val="18"/>
                <w:szCs w:val="18"/>
                <w:lang w:eastAsia="es-EC"/>
              </w:rPr>
              <w:t>368</w:t>
            </w:r>
          </w:p>
        </w:tc>
      </w:tr>
      <w:tr w:rsidR="00BF001E" w:rsidRPr="003615DC" w14:paraId="2432FD82" w14:textId="77777777" w:rsidTr="00BF001E">
        <w:trPr>
          <w:trHeight w:val="300"/>
          <w:jc w:val="center"/>
        </w:trPr>
        <w:tc>
          <w:tcPr>
            <w:tcW w:w="2960" w:type="dxa"/>
            <w:tcBorders>
              <w:top w:val="single" w:sz="4" w:space="0" w:color="8EAADB"/>
              <w:left w:val="single" w:sz="4" w:space="0" w:color="8EAADB"/>
              <w:bottom w:val="single" w:sz="4" w:space="0" w:color="8EAADB"/>
              <w:right w:val="single" w:sz="4" w:space="0" w:color="8EAADB"/>
            </w:tcBorders>
            <w:noWrap/>
            <w:hideMark/>
          </w:tcPr>
          <w:p w14:paraId="175E5EBA" w14:textId="77777777" w:rsidR="00BF001E" w:rsidRPr="007318EF" w:rsidRDefault="00BF001E" w:rsidP="00BF001E">
            <w:pPr>
              <w:spacing w:line="256" w:lineRule="auto"/>
              <w:rPr>
                <w:rFonts w:asciiTheme="majorHAnsi" w:eastAsia="Times New Roman" w:hAnsiTheme="majorHAnsi" w:cstheme="majorHAnsi"/>
                <w:bCs/>
                <w:sz w:val="18"/>
                <w:szCs w:val="18"/>
                <w:lang w:eastAsia="es-EC"/>
              </w:rPr>
            </w:pPr>
            <w:r w:rsidRPr="007318EF">
              <w:rPr>
                <w:rFonts w:asciiTheme="majorHAnsi" w:eastAsia="Times New Roman" w:hAnsiTheme="majorHAnsi" w:cstheme="majorHAnsi"/>
                <w:bCs/>
                <w:sz w:val="18"/>
                <w:szCs w:val="18"/>
                <w:lang w:eastAsia="es-EC"/>
              </w:rPr>
              <w:t>Coordinación Zonal Centro Sur</w:t>
            </w:r>
          </w:p>
        </w:tc>
        <w:tc>
          <w:tcPr>
            <w:tcW w:w="2061" w:type="dxa"/>
            <w:tcBorders>
              <w:top w:val="single" w:sz="4" w:space="0" w:color="8EAADB"/>
              <w:left w:val="single" w:sz="4" w:space="0" w:color="8EAADB"/>
              <w:bottom w:val="single" w:sz="4" w:space="0" w:color="8EAADB"/>
              <w:right w:val="single" w:sz="4" w:space="0" w:color="8EAADB"/>
            </w:tcBorders>
            <w:noWrap/>
            <w:hideMark/>
          </w:tcPr>
          <w:p w14:paraId="1A64B2FB" w14:textId="77777777" w:rsidR="00BF001E" w:rsidRPr="007318EF" w:rsidRDefault="00BF001E" w:rsidP="00BF001E">
            <w:pPr>
              <w:spacing w:line="256" w:lineRule="auto"/>
              <w:jc w:val="center"/>
              <w:rPr>
                <w:rFonts w:asciiTheme="majorHAnsi" w:eastAsia="Times New Roman" w:hAnsiTheme="majorHAnsi" w:cstheme="majorHAnsi"/>
                <w:sz w:val="18"/>
                <w:szCs w:val="18"/>
                <w:lang w:eastAsia="es-EC"/>
              </w:rPr>
            </w:pPr>
            <w:r w:rsidRPr="007318EF">
              <w:rPr>
                <w:rFonts w:asciiTheme="majorHAnsi" w:eastAsia="Times New Roman" w:hAnsiTheme="majorHAnsi" w:cstheme="majorHAnsi"/>
                <w:sz w:val="18"/>
                <w:szCs w:val="18"/>
                <w:lang w:eastAsia="es-EC"/>
              </w:rPr>
              <w:t>125</w:t>
            </w:r>
          </w:p>
        </w:tc>
      </w:tr>
      <w:tr w:rsidR="00BF001E" w:rsidRPr="003615DC" w14:paraId="619F109B" w14:textId="77777777" w:rsidTr="00BF001E">
        <w:trPr>
          <w:trHeight w:val="300"/>
          <w:jc w:val="center"/>
        </w:trPr>
        <w:tc>
          <w:tcPr>
            <w:tcW w:w="296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53343227" w14:textId="77777777" w:rsidR="00BF001E" w:rsidRPr="007318EF" w:rsidRDefault="00BF001E" w:rsidP="00BF001E">
            <w:pPr>
              <w:spacing w:line="256" w:lineRule="auto"/>
              <w:rPr>
                <w:rFonts w:asciiTheme="majorHAnsi" w:eastAsia="Times New Roman" w:hAnsiTheme="majorHAnsi" w:cstheme="majorHAnsi"/>
                <w:bCs/>
                <w:sz w:val="18"/>
                <w:szCs w:val="18"/>
                <w:lang w:eastAsia="es-EC"/>
              </w:rPr>
            </w:pPr>
            <w:r w:rsidRPr="007318EF">
              <w:rPr>
                <w:rFonts w:asciiTheme="majorHAnsi" w:eastAsia="Times New Roman" w:hAnsiTheme="majorHAnsi" w:cstheme="majorHAnsi"/>
                <w:bCs/>
                <w:sz w:val="18"/>
                <w:szCs w:val="18"/>
                <w:lang w:eastAsia="es-EC"/>
              </w:rPr>
              <w:t>Coordinación Zonal Sur</w:t>
            </w:r>
          </w:p>
        </w:tc>
        <w:tc>
          <w:tcPr>
            <w:tcW w:w="2061"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1474D86A" w14:textId="77777777" w:rsidR="00BF001E" w:rsidRPr="007318EF" w:rsidRDefault="00BF001E" w:rsidP="00BF001E">
            <w:pPr>
              <w:spacing w:line="256" w:lineRule="auto"/>
              <w:jc w:val="center"/>
              <w:rPr>
                <w:rFonts w:asciiTheme="majorHAnsi" w:eastAsia="Times New Roman" w:hAnsiTheme="majorHAnsi" w:cstheme="majorHAnsi"/>
                <w:sz w:val="18"/>
                <w:szCs w:val="18"/>
                <w:lang w:eastAsia="es-EC"/>
              </w:rPr>
            </w:pPr>
            <w:r w:rsidRPr="007318EF">
              <w:rPr>
                <w:rFonts w:asciiTheme="majorHAnsi" w:eastAsia="Times New Roman" w:hAnsiTheme="majorHAnsi" w:cstheme="majorHAnsi"/>
                <w:sz w:val="18"/>
                <w:szCs w:val="18"/>
                <w:lang w:eastAsia="es-EC"/>
              </w:rPr>
              <w:t>216</w:t>
            </w:r>
          </w:p>
        </w:tc>
      </w:tr>
      <w:tr w:rsidR="00BF001E" w:rsidRPr="003615DC" w14:paraId="4B58589E" w14:textId="77777777" w:rsidTr="00BF001E">
        <w:trPr>
          <w:trHeight w:val="300"/>
          <w:jc w:val="center"/>
        </w:trPr>
        <w:tc>
          <w:tcPr>
            <w:tcW w:w="2960" w:type="dxa"/>
            <w:tcBorders>
              <w:top w:val="single" w:sz="4" w:space="0" w:color="8EAADB"/>
              <w:left w:val="single" w:sz="4" w:space="0" w:color="8EAADB"/>
              <w:bottom w:val="single" w:sz="4" w:space="0" w:color="8EAADB"/>
              <w:right w:val="single" w:sz="4" w:space="0" w:color="8EAADB"/>
            </w:tcBorders>
            <w:shd w:val="clear" w:color="auto" w:fill="8EAADB" w:themeFill="accent1" w:themeFillTint="99"/>
            <w:noWrap/>
            <w:hideMark/>
          </w:tcPr>
          <w:p w14:paraId="2E4CE9B2" w14:textId="77777777" w:rsidR="00BF001E" w:rsidRPr="007318EF" w:rsidRDefault="00BF001E" w:rsidP="00BF001E">
            <w:pPr>
              <w:spacing w:line="256" w:lineRule="auto"/>
              <w:jc w:val="center"/>
              <w:rPr>
                <w:rFonts w:asciiTheme="majorHAnsi" w:eastAsia="Times New Roman" w:hAnsiTheme="majorHAnsi" w:cstheme="majorHAnsi"/>
                <w:b/>
                <w:bCs/>
                <w:sz w:val="18"/>
                <w:szCs w:val="18"/>
                <w:lang w:eastAsia="es-EC"/>
              </w:rPr>
            </w:pPr>
            <w:r w:rsidRPr="007318EF">
              <w:rPr>
                <w:rFonts w:asciiTheme="majorHAnsi" w:eastAsia="Times New Roman" w:hAnsiTheme="majorHAnsi" w:cstheme="majorHAnsi"/>
                <w:b/>
                <w:bCs/>
                <w:sz w:val="18"/>
                <w:szCs w:val="18"/>
                <w:lang w:eastAsia="es-EC"/>
              </w:rPr>
              <w:t>TOTAL</w:t>
            </w:r>
          </w:p>
        </w:tc>
        <w:tc>
          <w:tcPr>
            <w:tcW w:w="2061" w:type="dxa"/>
            <w:tcBorders>
              <w:top w:val="single" w:sz="4" w:space="0" w:color="8EAADB"/>
              <w:left w:val="single" w:sz="4" w:space="0" w:color="8EAADB"/>
              <w:bottom w:val="single" w:sz="4" w:space="0" w:color="8EAADB"/>
              <w:right w:val="single" w:sz="4" w:space="0" w:color="8EAADB"/>
            </w:tcBorders>
            <w:shd w:val="clear" w:color="auto" w:fill="8EAADB" w:themeFill="accent1" w:themeFillTint="99"/>
            <w:noWrap/>
            <w:hideMark/>
          </w:tcPr>
          <w:p w14:paraId="57AE0DE8" w14:textId="77777777" w:rsidR="00BF001E" w:rsidRPr="007318EF" w:rsidRDefault="00BF001E" w:rsidP="00BF001E">
            <w:pPr>
              <w:spacing w:line="256" w:lineRule="auto"/>
              <w:jc w:val="center"/>
              <w:rPr>
                <w:rFonts w:asciiTheme="majorHAnsi" w:eastAsia="Times New Roman" w:hAnsiTheme="majorHAnsi" w:cstheme="majorHAnsi"/>
                <w:b/>
                <w:bCs/>
                <w:sz w:val="18"/>
                <w:szCs w:val="18"/>
                <w:lang w:eastAsia="es-EC"/>
              </w:rPr>
            </w:pPr>
            <w:r w:rsidRPr="007318EF">
              <w:rPr>
                <w:rFonts w:asciiTheme="majorHAnsi" w:eastAsia="Times New Roman" w:hAnsiTheme="majorHAnsi" w:cstheme="majorHAnsi"/>
                <w:b/>
                <w:bCs/>
                <w:sz w:val="18"/>
                <w:szCs w:val="18"/>
                <w:lang w:eastAsia="es-EC"/>
              </w:rPr>
              <w:t>1.117</w:t>
            </w:r>
          </w:p>
        </w:tc>
      </w:tr>
    </w:tbl>
    <w:p w14:paraId="174C8F5A" w14:textId="77777777" w:rsidR="00BF001E" w:rsidRPr="007318EF" w:rsidRDefault="00BF001E" w:rsidP="00BF001E">
      <w:pPr>
        <w:pStyle w:val="Default"/>
        <w:ind w:left="-709"/>
        <w:jc w:val="center"/>
        <w:rPr>
          <w:rFonts w:asciiTheme="majorHAnsi" w:hAnsiTheme="majorHAnsi" w:cstheme="majorHAnsi"/>
          <w:i/>
          <w:color w:val="7F7F7F" w:themeColor="text1" w:themeTint="80"/>
          <w:sz w:val="16"/>
          <w:szCs w:val="16"/>
        </w:rPr>
      </w:pPr>
      <w:r w:rsidRPr="007318EF">
        <w:rPr>
          <w:rFonts w:asciiTheme="majorHAnsi" w:hAnsiTheme="majorHAnsi" w:cstheme="majorHAnsi"/>
          <w:i/>
          <w:color w:val="7F7F7F" w:themeColor="text1" w:themeTint="80"/>
          <w:sz w:val="16"/>
          <w:szCs w:val="16"/>
        </w:rPr>
        <w:t>Fuente: IIGE / Dic-2024</w:t>
      </w:r>
    </w:p>
    <w:p w14:paraId="6F241D06" w14:textId="77777777" w:rsidR="00BF001E" w:rsidRPr="003615DC" w:rsidRDefault="00BF001E" w:rsidP="00BF001E">
      <w:pPr>
        <w:pStyle w:val="Default"/>
        <w:ind w:left="-709"/>
        <w:jc w:val="center"/>
        <w:rPr>
          <w:rFonts w:asciiTheme="majorHAnsi" w:eastAsia="Times New Roman" w:hAnsiTheme="majorHAnsi" w:cstheme="majorHAnsi"/>
          <w:color w:val="auto"/>
          <w:sz w:val="22"/>
          <w:szCs w:val="22"/>
          <w:lang w:eastAsia="es-ES"/>
        </w:rPr>
      </w:pPr>
    </w:p>
    <w:p w14:paraId="577A6B43" w14:textId="77777777" w:rsidR="00BF001E" w:rsidRPr="003615DC" w:rsidRDefault="00BF001E" w:rsidP="00BF001E">
      <w:pPr>
        <w:jc w:val="both"/>
        <w:rPr>
          <w:rFonts w:asciiTheme="majorHAnsi" w:hAnsiTheme="majorHAnsi" w:cstheme="majorHAnsi"/>
          <w:sz w:val="22"/>
        </w:rPr>
      </w:pPr>
      <w:r w:rsidRPr="003615DC">
        <w:rPr>
          <w:rFonts w:asciiTheme="majorHAnsi" w:hAnsiTheme="majorHAnsi" w:cstheme="majorHAnsi"/>
          <w:sz w:val="22"/>
        </w:rPr>
        <w:t xml:space="preserve">Asimismo, durante el año 2024 se han realizado 4 talleres teórico prácticos entre el Instituto de Investigación Geológico y Energético y el Programa de las Naciones Unidas para el Desarrollo dirigido a mineros artesanales y pequeños mineros que benefició a 133 participantes, con el fin de fortalecer sus capacidades técnicas en el aprovechamiento de minerales metálicos, en depósitos primarios y terrazas aluviales. </w:t>
      </w:r>
    </w:p>
    <w:p w14:paraId="0E71BB64" w14:textId="77777777" w:rsidR="00BF001E" w:rsidRPr="003615DC" w:rsidRDefault="00BF001E" w:rsidP="00BF001E">
      <w:pPr>
        <w:jc w:val="both"/>
        <w:rPr>
          <w:rFonts w:asciiTheme="majorHAnsi" w:hAnsiTheme="majorHAnsi" w:cstheme="majorHAnsi"/>
          <w:sz w:val="22"/>
        </w:rPr>
      </w:pPr>
    </w:p>
    <w:p w14:paraId="3C2E9AD5" w14:textId="77777777" w:rsidR="00BF001E" w:rsidRPr="003615DC" w:rsidRDefault="00BF001E" w:rsidP="00BF001E">
      <w:pPr>
        <w:jc w:val="both"/>
        <w:rPr>
          <w:rStyle w:val="markedcontent"/>
          <w:rFonts w:asciiTheme="majorHAnsi" w:hAnsiTheme="majorHAnsi" w:cstheme="majorHAnsi"/>
          <w:sz w:val="22"/>
          <w:szCs w:val="22"/>
        </w:rPr>
      </w:pPr>
      <w:r w:rsidRPr="003615DC">
        <w:rPr>
          <w:rFonts w:asciiTheme="majorHAnsi" w:hAnsiTheme="majorHAnsi" w:cstheme="majorHAnsi"/>
          <w:sz w:val="22"/>
        </w:rPr>
        <w:t>En el marco de los cursos de especialización certificados por el Ministerio de Trabajo, el Instituto de Investigación Geológico y Energético se realizaron 5 cursos en: “Introducción a las operaciones mineras auxiliares en minería subterránea”, “Gestión ambiental aplicada a actividades minero – metalúrgicas” y Perforación y voladura aplicadas</w:t>
      </w:r>
      <w:r w:rsidRPr="003615DC">
        <w:rPr>
          <w:rStyle w:val="markedcontent"/>
          <w:rFonts w:asciiTheme="majorHAnsi" w:hAnsiTheme="majorHAnsi" w:cstheme="majorHAnsi"/>
          <w:sz w:val="20"/>
          <w:szCs w:val="22"/>
        </w:rPr>
        <w:t xml:space="preserve"> </w:t>
      </w:r>
      <w:r w:rsidRPr="003615DC">
        <w:rPr>
          <w:rStyle w:val="markedcontent"/>
          <w:rFonts w:asciiTheme="majorHAnsi" w:hAnsiTheme="majorHAnsi" w:cstheme="majorHAnsi"/>
          <w:sz w:val="22"/>
          <w:szCs w:val="22"/>
        </w:rPr>
        <w:t>en minería subterránea en galerías de sección &lt; 5 m². Con un total de 62 beneficiarios.</w:t>
      </w:r>
    </w:p>
    <w:p w14:paraId="62F6BD5C" w14:textId="77777777" w:rsidR="00BF001E" w:rsidRPr="003615DC" w:rsidRDefault="00BF001E" w:rsidP="00BF001E">
      <w:pPr>
        <w:pStyle w:val="Default"/>
        <w:ind w:left="-709"/>
        <w:jc w:val="both"/>
        <w:rPr>
          <w:rStyle w:val="markedcontent"/>
          <w:rFonts w:asciiTheme="majorHAnsi" w:eastAsiaTheme="minorHAnsi" w:hAnsiTheme="majorHAnsi" w:cstheme="majorHAnsi"/>
          <w:sz w:val="22"/>
          <w:szCs w:val="22"/>
        </w:rPr>
      </w:pPr>
    </w:p>
    <w:p w14:paraId="2ECB666A" w14:textId="77777777" w:rsidR="00BF001E" w:rsidRPr="003615DC" w:rsidRDefault="00BF001E" w:rsidP="00BF001E">
      <w:pPr>
        <w:jc w:val="both"/>
        <w:rPr>
          <w:rFonts w:asciiTheme="majorHAnsi" w:hAnsiTheme="majorHAnsi" w:cstheme="majorHAnsi"/>
          <w:sz w:val="22"/>
        </w:rPr>
      </w:pPr>
      <w:r w:rsidRPr="003615DC">
        <w:rPr>
          <w:rFonts w:asciiTheme="majorHAnsi" w:hAnsiTheme="majorHAnsi" w:cstheme="majorHAnsi"/>
          <w:sz w:val="22"/>
        </w:rPr>
        <w:t>En total se tiene que, durante el año 2024, se realizaron 13 capacitaciones con un total de 1.312 beneficiarios, entre los cuales se encuentran mineros artesanales y pequeños mineros, titulares, trabajadores, técnicos de concesiones, técnicos de GAD ́s, funcionarios públicos y demás actores mineros dedicados a la actividad extractiva a nivel nacional en Pequeña Minería y Minería Artesanal.</w:t>
      </w:r>
    </w:p>
    <w:p w14:paraId="4C24AAE0" w14:textId="77777777" w:rsidR="00BF001E" w:rsidRPr="003615DC" w:rsidRDefault="00BF001E" w:rsidP="00BF001E">
      <w:pPr>
        <w:jc w:val="both"/>
        <w:rPr>
          <w:rFonts w:asciiTheme="majorHAnsi" w:hAnsiTheme="majorHAnsi" w:cstheme="majorHAnsi"/>
          <w:sz w:val="22"/>
        </w:rPr>
      </w:pPr>
    </w:p>
    <w:p w14:paraId="35BC4052" w14:textId="77777777" w:rsidR="00BF001E" w:rsidRPr="00213F2B" w:rsidRDefault="00BF001E" w:rsidP="00213F2B">
      <w:pPr>
        <w:pStyle w:val="Ttulo4"/>
        <w:rPr>
          <w:i w:val="0"/>
          <w:sz w:val="22"/>
          <w:szCs w:val="22"/>
        </w:rPr>
      </w:pPr>
      <w:r w:rsidRPr="00213F2B">
        <w:rPr>
          <w:i w:val="0"/>
          <w:sz w:val="22"/>
          <w:szCs w:val="22"/>
        </w:rPr>
        <w:t xml:space="preserve">Elaboración de Informes de Admisibilidad en el marco del Otorgamiento, Administración y Extinción de Derechos Mineros </w:t>
      </w:r>
    </w:p>
    <w:p w14:paraId="11FC67AD" w14:textId="77777777" w:rsidR="00BF001E" w:rsidRPr="003615DC" w:rsidRDefault="00BF001E" w:rsidP="00BF001E">
      <w:pPr>
        <w:rPr>
          <w:rFonts w:asciiTheme="majorHAnsi" w:hAnsiTheme="majorHAnsi" w:cstheme="majorHAnsi"/>
          <w:sz w:val="22"/>
          <w:szCs w:val="22"/>
        </w:rPr>
      </w:pPr>
    </w:p>
    <w:p w14:paraId="1B22222E" w14:textId="77777777" w:rsidR="00BF001E" w:rsidRPr="003615DC" w:rsidRDefault="00BF001E" w:rsidP="00BF001E">
      <w:pPr>
        <w:jc w:val="both"/>
        <w:rPr>
          <w:rStyle w:val="markedcontent"/>
          <w:rFonts w:asciiTheme="majorHAnsi" w:hAnsiTheme="majorHAnsi" w:cstheme="majorHAnsi"/>
          <w:sz w:val="22"/>
          <w:szCs w:val="22"/>
        </w:rPr>
      </w:pPr>
      <w:r w:rsidRPr="003615DC">
        <w:rPr>
          <w:rStyle w:val="markedcontent"/>
          <w:rFonts w:asciiTheme="majorHAnsi" w:hAnsiTheme="majorHAnsi" w:cstheme="majorHAnsi"/>
          <w:sz w:val="22"/>
          <w:szCs w:val="22"/>
        </w:rPr>
        <w:t xml:space="preserve">El Ministerio de Energía y Minas emitió directrices durante el año 2024 para la elaboración de informes de admisibilidad previo la emisión de Resoluciones </w:t>
      </w:r>
      <w:proofErr w:type="gramStart"/>
      <w:r w:rsidRPr="003615DC">
        <w:rPr>
          <w:rStyle w:val="markedcontent"/>
          <w:rFonts w:asciiTheme="majorHAnsi" w:hAnsiTheme="majorHAnsi" w:cstheme="majorHAnsi"/>
          <w:sz w:val="22"/>
          <w:szCs w:val="22"/>
        </w:rPr>
        <w:t>de  otorgamiento</w:t>
      </w:r>
      <w:proofErr w:type="gramEnd"/>
      <w:r w:rsidRPr="003615DC">
        <w:rPr>
          <w:rStyle w:val="markedcontent"/>
          <w:rFonts w:asciiTheme="majorHAnsi" w:hAnsiTheme="majorHAnsi" w:cstheme="majorHAnsi"/>
          <w:sz w:val="22"/>
          <w:szCs w:val="22"/>
        </w:rPr>
        <w:t xml:space="preserve">, administración y extinción de derechos mineros, a fin de mantener una supervisión de los trámites de derechos mineros a nivel nacional.  </w:t>
      </w:r>
    </w:p>
    <w:p w14:paraId="0785F962" w14:textId="77777777" w:rsidR="00BF001E" w:rsidRPr="003615DC" w:rsidRDefault="00BF001E" w:rsidP="00BF001E">
      <w:pPr>
        <w:jc w:val="both"/>
        <w:rPr>
          <w:rStyle w:val="markedcontent"/>
          <w:rFonts w:asciiTheme="majorHAnsi" w:hAnsiTheme="majorHAnsi" w:cstheme="majorHAnsi"/>
          <w:sz w:val="22"/>
          <w:szCs w:val="22"/>
        </w:rPr>
      </w:pPr>
    </w:p>
    <w:p w14:paraId="1E04DA11" w14:textId="08067071" w:rsidR="00BF001E" w:rsidRPr="003615DC" w:rsidRDefault="00BF001E" w:rsidP="00BF001E">
      <w:pPr>
        <w:jc w:val="both"/>
        <w:rPr>
          <w:rStyle w:val="markedcontent"/>
          <w:rFonts w:asciiTheme="majorHAnsi" w:hAnsiTheme="majorHAnsi" w:cstheme="majorHAnsi"/>
          <w:sz w:val="22"/>
          <w:szCs w:val="22"/>
        </w:rPr>
      </w:pPr>
      <w:r w:rsidRPr="003615DC">
        <w:rPr>
          <w:rStyle w:val="markedcontent"/>
          <w:rFonts w:asciiTheme="majorHAnsi" w:hAnsiTheme="majorHAnsi" w:cstheme="majorHAnsi"/>
          <w:sz w:val="22"/>
          <w:szCs w:val="22"/>
        </w:rPr>
        <w:t xml:space="preserve">Dentro de la gestión realizada por parte de esta Subsecretaría de Minería Artesanal y Pequeña Minería, se atendieron un total de ciento cincuenta y cinco (155) informes de admisibilidad por parte de los funcionarios públicos, conforme el siguiente detalle: </w:t>
      </w:r>
    </w:p>
    <w:p w14:paraId="3B2E8A01" w14:textId="77777777" w:rsidR="00BF001E" w:rsidRPr="003615DC" w:rsidRDefault="00BF001E" w:rsidP="00BF001E">
      <w:pPr>
        <w:jc w:val="both"/>
        <w:rPr>
          <w:rFonts w:asciiTheme="majorHAnsi" w:hAnsiTheme="majorHAnsi" w:cstheme="majorHAnsi"/>
          <w:sz w:val="22"/>
          <w:szCs w:val="22"/>
        </w:rPr>
      </w:pPr>
    </w:p>
    <w:p w14:paraId="03711B50" w14:textId="1FC7EE11" w:rsidR="00BF001E" w:rsidRPr="003615DC" w:rsidRDefault="00BF001E" w:rsidP="00BF001E">
      <w:pPr>
        <w:pStyle w:val="Descripcin"/>
        <w:rPr>
          <w:rFonts w:asciiTheme="majorHAnsi" w:hAnsiTheme="majorHAnsi" w:cstheme="majorHAnsi"/>
          <w:sz w:val="22"/>
          <w:szCs w:val="22"/>
        </w:rPr>
      </w:pPr>
      <w:bookmarkStart w:id="252" w:name="_Toc198821628"/>
      <w:bookmarkStart w:id="253" w:name="_Toc199759690"/>
      <w:r w:rsidRPr="003615DC">
        <w:rPr>
          <w:rFonts w:asciiTheme="majorHAnsi" w:hAnsiTheme="majorHAnsi" w:cstheme="majorHAnsi"/>
        </w:rPr>
        <w:t xml:space="preserve">Tabla </w:t>
      </w:r>
      <w:r w:rsidRPr="003615DC">
        <w:rPr>
          <w:rFonts w:asciiTheme="majorHAnsi" w:hAnsiTheme="majorHAnsi" w:cstheme="majorHAnsi"/>
        </w:rPr>
        <w:fldChar w:fldCharType="begin"/>
      </w:r>
      <w:r w:rsidRPr="003615DC">
        <w:rPr>
          <w:rFonts w:asciiTheme="majorHAnsi" w:hAnsiTheme="majorHAnsi" w:cstheme="majorHAnsi"/>
        </w:rPr>
        <w:instrText xml:space="preserve"> SEQ Tabla \* ARABIC </w:instrText>
      </w:r>
      <w:r w:rsidRPr="003615DC">
        <w:rPr>
          <w:rFonts w:asciiTheme="majorHAnsi" w:hAnsiTheme="majorHAnsi" w:cstheme="majorHAnsi"/>
        </w:rPr>
        <w:fldChar w:fldCharType="separate"/>
      </w:r>
      <w:r w:rsidR="00CF0AD2">
        <w:rPr>
          <w:rFonts w:asciiTheme="majorHAnsi" w:hAnsiTheme="majorHAnsi" w:cstheme="majorHAnsi"/>
          <w:noProof/>
        </w:rPr>
        <w:t>20</w:t>
      </w:r>
      <w:r w:rsidRPr="003615DC">
        <w:rPr>
          <w:rFonts w:asciiTheme="majorHAnsi" w:hAnsiTheme="majorHAnsi" w:cstheme="majorHAnsi"/>
          <w:noProof/>
        </w:rPr>
        <w:fldChar w:fldCharType="end"/>
      </w:r>
      <w:r w:rsidRPr="003615DC">
        <w:rPr>
          <w:rFonts w:asciiTheme="majorHAnsi" w:hAnsiTheme="majorHAnsi" w:cstheme="majorHAnsi"/>
        </w:rPr>
        <w:t>: Solicitudes de Informes de Admisibilidad Atendidas</w:t>
      </w:r>
      <w:bookmarkEnd w:id="252"/>
      <w:bookmarkEnd w:id="253"/>
    </w:p>
    <w:tbl>
      <w:tblPr>
        <w:tblStyle w:val="Tablaconcuadrcula4-nfasis1"/>
        <w:tblW w:w="5489" w:type="pct"/>
        <w:jc w:val="center"/>
        <w:tblLook w:val="04A0" w:firstRow="1" w:lastRow="0" w:firstColumn="1" w:lastColumn="0" w:noHBand="0" w:noVBand="1"/>
      </w:tblPr>
      <w:tblGrid>
        <w:gridCol w:w="4389"/>
        <w:gridCol w:w="1087"/>
        <w:gridCol w:w="1108"/>
        <w:gridCol w:w="733"/>
        <w:gridCol w:w="688"/>
        <w:gridCol w:w="574"/>
        <w:gridCol w:w="746"/>
      </w:tblGrid>
      <w:tr w:rsidR="00BF001E" w:rsidRPr="003615DC" w14:paraId="5326C134" w14:textId="77777777" w:rsidTr="0016337C">
        <w:trPr>
          <w:cnfStyle w:val="100000000000" w:firstRow="1" w:lastRow="0" w:firstColumn="0" w:lastColumn="0" w:oddVBand="0" w:evenVBand="0" w:oddHBand="0" w:evenHBand="0" w:firstRowFirstColumn="0" w:firstRowLastColumn="0" w:lastRowFirstColumn="0" w:lastRowLastColumn="0"/>
          <w:trHeight w:val="246"/>
          <w:tblHeader/>
          <w:jc w:val="center"/>
        </w:trPr>
        <w:tc>
          <w:tcPr>
            <w:cnfStyle w:val="001000000000" w:firstRow="0" w:lastRow="0" w:firstColumn="1" w:lastColumn="0" w:oddVBand="0" w:evenVBand="0" w:oddHBand="0" w:evenHBand="0" w:firstRowFirstColumn="0" w:firstRowLastColumn="0" w:lastRowFirstColumn="0" w:lastRowLastColumn="0"/>
            <w:tcW w:w="2353" w:type="pct"/>
            <w:vMerge w:val="restart"/>
            <w:tcBorders>
              <w:bottom w:val="single" w:sz="4" w:space="0" w:color="8EAADB" w:themeColor="accent1" w:themeTint="99"/>
            </w:tcBorders>
            <w:noWrap/>
            <w:vAlign w:val="center"/>
            <w:hideMark/>
          </w:tcPr>
          <w:p w14:paraId="25318276" w14:textId="77777777" w:rsidR="00BF001E" w:rsidRPr="003615DC" w:rsidRDefault="00BF001E" w:rsidP="00BF001E">
            <w:pPr>
              <w:jc w:val="center"/>
              <w:rPr>
                <w:rStyle w:val="markedcontent"/>
                <w:rFonts w:asciiTheme="majorHAnsi" w:hAnsiTheme="majorHAnsi" w:cstheme="majorHAnsi"/>
                <w:bCs w:val="0"/>
                <w:sz w:val="16"/>
                <w:szCs w:val="22"/>
              </w:rPr>
            </w:pPr>
            <w:r w:rsidRPr="003615DC">
              <w:rPr>
                <w:rStyle w:val="markedcontent"/>
                <w:rFonts w:asciiTheme="majorHAnsi" w:hAnsiTheme="majorHAnsi" w:cstheme="majorHAnsi"/>
                <w:bCs w:val="0"/>
                <w:sz w:val="16"/>
                <w:szCs w:val="22"/>
              </w:rPr>
              <w:t>TIPO DE INFORME</w:t>
            </w:r>
          </w:p>
        </w:tc>
        <w:tc>
          <w:tcPr>
            <w:tcW w:w="2247" w:type="pct"/>
            <w:gridSpan w:val="5"/>
            <w:noWrap/>
            <w:hideMark/>
          </w:tcPr>
          <w:p w14:paraId="7766BDC2" w14:textId="77777777" w:rsidR="00BF001E" w:rsidRPr="003615DC" w:rsidRDefault="00BF001E" w:rsidP="00BF001E">
            <w:pPr>
              <w:jc w:val="center"/>
              <w:cnfStyle w:val="100000000000" w:firstRow="1" w:lastRow="0" w:firstColumn="0" w:lastColumn="0" w:oddVBand="0" w:evenVBand="0" w:oddHBand="0" w:evenHBand="0" w:firstRowFirstColumn="0" w:firstRowLastColumn="0" w:lastRowFirstColumn="0" w:lastRowLastColumn="0"/>
              <w:rPr>
                <w:rStyle w:val="markedcontent"/>
                <w:rFonts w:asciiTheme="majorHAnsi" w:hAnsiTheme="majorHAnsi" w:cstheme="majorHAnsi"/>
                <w:bCs w:val="0"/>
                <w:sz w:val="16"/>
                <w:szCs w:val="22"/>
              </w:rPr>
            </w:pPr>
            <w:r w:rsidRPr="003615DC">
              <w:rPr>
                <w:rStyle w:val="markedcontent"/>
                <w:rFonts w:asciiTheme="majorHAnsi" w:hAnsiTheme="majorHAnsi" w:cstheme="majorHAnsi"/>
                <w:bCs w:val="0"/>
                <w:sz w:val="16"/>
                <w:szCs w:val="22"/>
              </w:rPr>
              <w:t>COORDINACIÓN ZONAL</w:t>
            </w:r>
          </w:p>
        </w:tc>
        <w:tc>
          <w:tcPr>
            <w:tcW w:w="401" w:type="pct"/>
            <w:vMerge w:val="restart"/>
            <w:tcBorders>
              <w:bottom w:val="single" w:sz="4" w:space="0" w:color="8EAADB" w:themeColor="accent1" w:themeTint="99"/>
            </w:tcBorders>
            <w:noWrap/>
            <w:hideMark/>
          </w:tcPr>
          <w:p w14:paraId="3B8AB3F6" w14:textId="77777777" w:rsidR="00BF001E" w:rsidRPr="003615DC" w:rsidRDefault="00BF001E" w:rsidP="00BF001E">
            <w:pPr>
              <w:jc w:val="center"/>
              <w:cnfStyle w:val="100000000000" w:firstRow="1" w:lastRow="0" w:firstColumn="0" w:lastColumn="0" w:oddVBand="0" w:evenVBand="0" w:oddHBand="0" w:evenHBand="0" w:firstRowFirstColumn="0" w:firstRowLastColumn="0" w:lastRowFirstColumn="0" w:lastRowLastColumn="0"/>
              <w:rPr>
                <w:rStyle w:val="markedcontent"/>
                <w:rFonts w:asciiTheme="majorHAnsi" w:hAnsiTheme="majorHAnsi" w:cstheme="majorHAnsi"/>
                <w:bCs w:val="0"/>
                <w:sz w:val="16"/>
                <w:szCs w:val="22"/>
              </w:rPr>
            </w:pPr>
            <w:r w:rsidRPr="003615DC">
              <w:rPr>
                <w:rStyle w:val="markedcontent"/>
                <w:rFonts w:asciiTheme="majorHAnsi" w:hAnsiTheme="majorHAnsi" w:cstheme="majorHAnsi"/>
                <w:bCs w:val="0"/>
                <w:sz w:val="16"/>
                <w:szCs w:val="22"/>
              </w:rPr>
              <w:t xml:space="preserve">TOTAL </w:t>
            </w:r>
          </w:p>
        </w:tc>
      </w:tr>
      <w:tr w:rsidR="00BF001E" w:rsidRPr="003615DC" w14:paraId="78A56EAC" w14:textId="77777777" w:rsidTr="0016337C">
        <w:trPr>
          <w:cnfStyle w:val="100000000000" w:firstRow="1" w:lastRow="0" w:firstColumn="0" w:lastColumn="0" w:oddVBand="0" w:evenVBand="0" w:oddHBand="0" w:evenHBand="0" w:firstRowFirstColumn="0" w:firstRowLastColumn="0" w:lastRowFirstColumn="0" w:lastRowLastColumn="0"/>
          <w:trHeight w:val="246"/>
          <w:tblHeader/>
          <w:jc w:val="center"/>
        </w:trPr>
        <w:tc>
          <w:tcPr>
            <w:cnfStyle w:val="001000000000" w:firstRow="0" w:lastRow="0" w:firstColumn="1" w:lastColumn="0" w:oddVBand="0" w:evenVBand="0" w:oddHBand="0" w:evenHBand="0" w:firstRowFirstColumn="0" w:firstRowLastColumn="0" w:lastRowFirstColumn="0" w:lastRowLastColumn="0"/>
            <w:tcW w:w="2353" w:type="pct"/>
            <w:vMerge/>
            <w:tcBorders>
              <w:top w:val="single" w:sz="4" w:space="0" w:color="4472C4" w:themeColor="accent1"/>
              <w:bottom w:val="single" w:sz="4" w:space="0" w:color="8EAADB" w:themeColor="accent1" w:themeTint="99"/>
            </w:tcBorders>
            <w:vAlign w:val="center"/>
            <w:hideMark/>
          </w:tcPr>
          <w:p w14:paraId="10CEC3C2" w14:textId="77777777" w:rsidR="00BF001E" w:rsidRPr="003615DC" w:rsidRDefault="00BF001E" w:rsidP="00BF001E">
            <w:pPr>
              <w:rPr>
                <w:rStyle w:val="markedcontent"/>
                <w:rFonts w:asciiTheme="majorHAnsi" w:hAnsiTheme="majorHAnsi" w:cstheme="majorHAnsi"/>
                <w:sz w:val="16"/>
                <w:szCs w:val="22"/>
              </w:rPr>
            </w:pP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E74B5" w:themeFill="accent5" w:themeFillShade="BF"/>
            <w:noWrap/>
            <w:hideMark/>
          </w:tcPr>
          <w:p w14:paraId="6738911D" w14:textId="77777777" w:rsidR="00BF001E" w:rsidRPr="003615DC" w:rsidRDefault="00BF001E" w:rsidP="00BF001E">
            <w:pPr>
              <w:jc w:val="center"/>
              <w:cnfStyle w:val="100000000000" w:firstRow="1" w:lastRow="0" w:firstColumn="0" w:lastColumn="0" w:oddVBand="0" w:evenVBand="0" w:oddHBand="0" w:evenHBand="0" w:firstRowFirstColumn="0" w:firstRowLastColumn="0" w:lastRowFirstColumn="0" w:lastRowLastColumn="0"/>
              <w:rPr>
                <w:rStyle w:val="markedcontent"/>
                <w:rFonts w:asciiTheme="majorHAnsi" w:hAnsiTheme="majorHAnsi" w:cstheme="majorHAnsi"/>
                <w:b w:val="0"/>
                <w:sz w:val="16"/>
                <w:szCs w:val="22"/>
              </w:rPr>
            </w:pPr>
            <w:r w:rsidRPr="003615DC">
              <w:rPr>
                <w:rStyle w:val="markedcontent"/>
                <w:rFonts w:asciiTheme="majorHAnsi" w:hAnsiTheme="majorHAnsi" w:cstheme="majorHAnsi"/>
                <w:b w:val="0"/>
                <w:sz w:val="16"/>
                <w:szCs w:val="22"/>
              </w:rPr>
              <w:t>Centro</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E74B5" w:themeFill="accent5" w:themeFillShade="BF"/>
            <w:noWrap/>
            <w:hideMark/>
          </w:tcPr>
          <w:p w14:paraId="0023E2C0" w14:textId="77777777" w:rsidR="00BF001E" w:rsidRPr="003615DC" w:rsidRDefault="00BF001E" w:rsidP="00BF001E">
            <w:pPr>
              <w:jc w:val="center"/>
              <w:cnfStyle w:val="100000000000" w:firstRow="1" w:lastRow="0" w:firstColumn="0" w:lastColumn="0" w:oddVBand="0" w:evenVBand="0" w:oddHBand="0" w:evenHBand="0" w:firstRowFirstColumn="0" w:firstRowLastColumn="0" w:lastRowFirstColumn="0" w:lastRowLastColumn="0"/>
              <w:rPr>
                <w:rStyle w:val="markedcontent"/>
                <w:rFonts w:asciiTheme="majorHAnsi" w:hAnsiTheme="majorHAnsi" w:cstheme="majorHAnsi"/>
                <w:b w:val="0"/>
                <w:sz w:val="16"/>
                <w:szCs w:val="22"/>
              </w:rPr>
            </w:pPr>
            <w:r w:rsidRPr="003615DC">
              <w:rPr>
                <w:rStyle w:val="markedcontent"/>
                <w:rFonts w:asciiTheme="majorHAnsi" w:hAnsiTheme="majorHAnsi" w:cstheme="majorHAnsi"/>
                <w:b w:val="0"/>
                <w:sz w:val="16"/>
                <w:szCs w:val="22"/>
              </w:rPr>
              <w:t>Centro Sur</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E74B5" w:themeFill="accent5" w:themeFillShade="BF"/>
            <w:noWrap/>
            <w:hideMark/>
          </w:tcPr>
          <w:p w14:paraId="7BBE91B9" w14:textId="77777777" w:rsidR="00BF001E" w:rsidRPr="003615DC" w:rsidRDefault="00BF001E" w:rsidP="00BF001E">
            <w:pPr>
              <w:jc w:val="center"/>
              <w:cnfStyle w:val="100000000000" w:firstRow="1" w:lastRow="0" w:firstColumn="0" w:lastColumn="0" w:oddVBand="0" w:evenVBand="0" w:oddHBand="0" w:evenHBand="0" w:firstRowFirstColumn="0" w:firstRowLastColumn="0" w:lastRowFirstColumn="0" w:lastRowLastColumn="0"/>
              <w:rPr>
                <w:rStyle w:val="markedcontent"/>
                <w:rFonts w:asciiTheme="majorHAnsi" w:hAnsiTheme="majorHAnsi" w:cstheme="majorHAnsi"/>
                <w:b w:val="0"/>
                <w:sz w:val="16"/>
                <w:szCs w:val="22"/>
              </w:rPr>
            </w:pPr>
            <w:r w:rsidRPr="003615DC">
              <w:rPr>
                <w:rStyle w:val="markedcontent"/>
                <w:rFonts w:asciiTheme="majorHAnsi" w:hAnsiTheme="majorHAnsi" w:cstheme="majorHAnsi"/>
                <w:b w:val="0"/>
                <w:sz w:val="16"/>
                <w:szCs w:val="22"/>
              </w:rPr>
              <w:t>Litoral</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E74B5" w:themeFill="accent5" w:themeFillShade="BF"/>
            <w:noWrap/>
            <w:hideMark/>
          </w:tcPr>
          <w:p w14:paraId="58E96C54" w14:textId="77777777" w:rsidR="00BF001E" w:rsidRPr="003615DC" w:rsidRDefault="00BF001E" w:rsidP="00BF001E">
            <w:pPr>
              <w:jc w:val="center"/>
              <w:cnfStyle w:val="100000000000" w:firstRow="1" w:lastRow="0" w:firstColumn="0" w:lastColumn="0" w:oddVBand="0" w:evenVBand="0" w:oddHBand="0" w:evenHBand="0" w:firstRowFirstColumn="0" w:firstRowLastColumn="0" w:lastRowFirstColumn="0" w:lastRowLastColumn="0"/>
              <w:rPr>
                <w:rStyle w:val="markedcontent"/>
                <w:rFonts w:asciiTheme="majorHAnsi" w:hAnsiTheme="majorHAnsi" w:cstheme="majorHAnsi"/>
                <w:b w:val="0"/>
                <w:sz w:val="16"/>
                <w:szCs w:val="22"/>
              </w:rPr>
            </w:pPr>
            <w:r w:rsidRPr="003615DC">
              <w:rPr>
                <w:rStyle w:val="markedcontent"/>
                <w:rFonts w:asciiTheme="majorHAnsi" w:hAnsiTheme="majorHAnsi" w:cstheme="majorHAnsi"/>
                <w:b w:val="0"/>
                <w:sz w:val="16"/>
                <w:szCs w:val="22"/>
              </w:rPr>
              <w:t>Norte</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E74B5" w:themeFill="accent5" w:themeFillShade="BF"/>
            <w:noWrap/>
            <w:hideMark/>
          </w:tcPr>
          <w:p w14:paraId="0DEDBFFD" w14:textId="77777777" w:rsidR="00BF001E" w:rsidRPr="003615DC" w:rsidRDefault="00BF001E" w:rsidP="00BF001E">
            <w:pPr>
              <w:jc w:val="center"/>
              <w:cnfStyle w:val="100000000000" w:firstRow="1" w:lastRow="0" w:firstColumn="0" w:lastColumn="0" w:oddVBand="0" w:evenVBand="0" w:oddHBand="0" w:evenHBand="0" w:firstRowFirstColumn="0" w:firstRowLastColumn="0" w:lastRowFirstColumn="0" w:lastRowLastColumn="0"/>
              <w:rPr>
                <w:rStyle w:val="markedcontent"/>
                <w:rFonts w:asciiTheme="majorHAnsi" w:hAnsiTheme="majorHAnsi" w:cstheme="majorHAnsi"/>
                <w:b w:val="0"/>
                <w:sz w:val="16"/>
                <w:szCs w:val="22"/>
              </w:rPr>
            </w:pPr>
            <w:r w:rsidRPr="003615DC">
              <w:rPr>
                <w:rStyle w:val="markedcontent"/>
                <w:rFonts w:asciiTheme="majorHAnsi" w:hAnsiTheme="majorHAnsi" w:cstheme="majorHAnsi"/>
                <w:b w:val="0"/>
                <w:sz w:val="16"/>
                <w:szCs w:val="22"/>
              </w:rPr>
              <w:t>Sur</w:t>
            </w:r>
          </w:p>
        </w:tc>
        <w:tc>
          <w:tcPr>
            <w:tcW w:w="0" w:type="auto"/>
            <w:vMerge/>
            <w:tcBorders>
              <w:top w:val="single" w:sz="4" w:space="0" w:color="4472C4" w:themeColor="accent1"/>
              <w:bottom w:val="single" w:sz="4" w:space="0" w:color="8EAADB" w:themeColor="accent1" w:themeTint="99"/>
            </w:tcBorders>
            <w:vAlign w:val="center"/>
            <w:hideMark/>
          </w:tcPr>
          <w:p w14:paraId="74EB0ED8" w14:textId="77777777" w:rsidR="00BF001E" w:rsidRPr="003615DC" w:rsidRDefault="00BF001E" w:rsidP="00BF001E">
            <w:pPr>
              <w:cnfStyle w:val="100000000000" w:firstRow="1" w:lastRow="0" w:firstColumn="0" w:lastColumn="0" w:oddVBand="0" w:evenVBand="0" w:oddHBand="0" w:evenHBand="0" w:firstRowFirstColumn="0" w:firstRowLastColumn="0" w:lastRowFirstColumn="0" w:lastRowLastColumn="0"/>
              <w:rPr>
                <w:rStyle w:val="markedcontent"/>
                <w:rFonts w:asciiTheme="majorHAnsi" w:hAnsiTheme="majorHAnsi" w:cstheme="majorHAnsi"/>
                <w:b w:val="0"/>
                <w:sz w:val="16"/>
                <w:szCs w:val="22"/>
              </w:rPr>
            </w:pPr>
          </w:p>
        </w:tc>
      </w:tr>
      <w:tr w:rsidR="00BF001E" w:rsidRPr="003615DC" w14:paraId="3DD924D4" w14:textId="77777777" w:rsidTr="00850D33">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D93C693" w14:textId="77777777" w:rsidR="00BF001E" w:rsidRPr="003615DC" w:rsidRDefault="00BF001E" w:rsidP="00BF001E">
            <w:pPr>
              <w:rPr>
                <w:rStyle w:val="markedcontent"/>
                <w:rFonts w:asciiTheme="majorHAnsi" w:hAnsiTheme="majorHAnsi" w:cstheme="majorHAnsi"/>
                <w:sz w:val="16"/>
                <w:szCs w:val="22"/>
              </w:rPr>
            </w:pPr>
            <w:r w:rsidRPr="003615DC">
              <w:rPr>
                <w:rStyle w:val="markedcontent"/>
                <w:rFonts w:asciiTheme="majorHAnsi" w:hAnsiTheme="majorHAnsi" w:cstheme="majorHAnsi"/>
                <w:b w:val="0"/>
                <w:bCs w:val="0"/>
                <w:sz w:val="16"/>
                <w:szCs w:val="22"/>
              </w:rPr>
              <w:t>EXTINCIÓN POR VENCIMIENTO DE PLAZO DE VIGENCIA</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935EC9D"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5</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4C31C94"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5</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C2C0F91"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15DF12F"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BFA8B29"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52</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5B9A41A"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62</w:t>
            </w:r>
          </w:p>
        </w:tc>
      </w:tr>
      <w:tr w:rsidR="00BF001E" w:rsidRPr="003615DC" w14:paraId="7C6232AD" w14:textId="77777777" w:rsidTr="00850D33">
        <w:trPr>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E66B95F" w14:textId="77777777" w:rsidR="00BF001E" w:rsidRPr="003615DC" w:rsidRDefault="00BF001E" w:rsidP="00BF001E">
            <w:pPr>
              <w:rPr>
                <w:rStyle w:val="markedcontent"/>
                <w:rFonts w:asciiTheme="majorHAnsi" w:hAnsiTheme="majorHAnsi" w:cstheme="majorHAnsi"/>
                <w:sz w:val="16"/>
                <w:szCs w:val="22"/>
              </w:rPr>
            </w:pPr>
            <w:r w:rsidRPr="003615DC">
              <w:rPr>
                <w:rStyle w:val="markedcontent"/>
                <w:rFonts w:asciiTheme="majorHAnsi" w:hAnsiTheme="majorHAnsi" w:cstheme="majorHAnsi"/>
                <w:b w:val="0"/>
                <w:bCs w:val="0"/>
                <w:sz w:val="16"/>
                <w:szCs w:val="22"/>
              </w:rPr>
              <w:t>CESIÓN Y TRANSFERENCIA DE DERECHOS MINEROS</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5E261FA"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8</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8D5A64F"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1</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75A1384"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5ABA199"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4631A9D"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41</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900BD13"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50</w:t>
            </w:r>
          </w:p>
        </w:tc>
      </w:tr>
      <w:tr w:rsidR="00BF001E" w:rsidRPr="003615DC" w14:paraId="5BAA5E04" w14:textId="77777777" w:rsidTr="00850D33">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E3F2090" w14:textId="77777777" w:rsidR="00BF001E" w:rsidRPr="003615DC" w:rsidRDefault="00BF001E" w:rsidP="00BF001E">
            <w:pPr>
              <w:rPr>
                <w:rStyle w:val="markedcontent"/>
                <w:rFonts w:asciiTheme="majorHAnsi" w:hAnsiTheme="majorHAnsi" w:cstheme="majorHAnsi"/>
                <w:sz w:val="16"/>
                <w:szCs w:val="22"/>
              </w:rPr>
            </w:pPr>
            <w:r w:rsidRPr="003615DC">
              <w:rPr>
                <w:rStyle w:val="markedcontent"/>
                <w:rFonts w:asciiTheme="majorHAnsi" w:hAnsiTheme="majorHAnsi" w:cstheme="majorHAnsi"/>
                <w:b w:val="0"/>
                <w:bCs w:val="0"/>
                <w:sz w:val="16"/>
                <w:szCs w:val="22"/>
              </w:rPr>
              <w:t>LEVANTAMIENTO DE SUSPENSIÓN DE ACTIVIDADES MINERAS</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6D12F1F"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4</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20986F1"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28A7464"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49FD394"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284B7E5"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2</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88FB1F2"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6</w:t>
            </w:r>
          </w:p>
        </w:tc>
      </w:tr>
      <w:tr w:rsidR="00BF001E" w:rsidRPr="003615DC" w14:paraId="2CB3262C" w14:textId="77777777" w:rsidTr="00850D33">
        <w:trPr>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1E595C6" w14:textId="77777777" w:rsidR="00BF001E" w:rsidRPr="003615DC" w:rsidRDefault="00BF001E" w:rsidP="00BF001E">
            <w:pPr>
              <w:rPr>
                <w:rStyle w:val="markedcontent"/>
                <w:rFonts w:asciiTheme="majorHAnsi" w:hAnsiTheme="majorHAnsi" w:cstheme="majorHAnsi"/>
                <w:sz w:val="16"/>
                <w:szCs w:val="22"/>
              </w:rPr>
            </w:pPr>
            <w:r w:rsidRPr="003615DC">
              <w:rPr>
                <w:rStyle w:val="markedcontent"/>
                <w:rFonts w:asciiTheme="majorHAnsi" w:hAnsiTheme="majorHAnsi" w:cstheme="majorHAnsi"/>
                <w:b w:val="0"/>
                <w:bCs w:val="0"/>
                <w:sz w:val="16"/>
                <w:szCs w:val="22"/>
              </w:rPr>
              <w:t>CADUCIDAD</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FAF89FF"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3</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C4DD6E7"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3</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13A1888"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CCC1796"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CB1AAD7"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6F3A94F"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6</w:t>
            </w:r>
          </w:p>
        </w:tc>
      </w:tr>
      <w:tr w:rsidR="00BF001E" w:rsidRPr="003615DC" w14:paraId="40C74A50" w14:textId="77777777" w:rsidTr="00850D33">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FCC4417" w14:textId="77777777" w:rsidR="00BF001E" w:rsidRPr="003615DC" w:rsidRDefault="00BF001E" w:rsidP="00BF001E">
            <w:pPr>
              <w:rPr>
                <w:rStyle w:val="markedcontent"/>
                <w:rFonts w:asciiTheme="majorHAnsi" w:hAnsiTheme="majorHAnsi" w:cstheme="majorHAnsi"/>
                <w:sz w:val="16"/>
                <w:szCs w:val="22"/>
              </w:rPr>
            </w:pPr>
            <w:r w:rsidRPr="003615DC">
              <w:rPr>
                <w:rStyle w:val="markedcontent"/>
                <w:rFonts w:asciiTheme="majorHAnsi" w:hAnsiTheme="majorHAnsi" w:cstheme="majorHAnsi"/>
                <w:b w:val="0"/>
                <w:bCs w:val="0"/>
                <w:sz w:val="16"/>
                <w:szCs w:val="22"/>
              </w:rPr>
              <w:lastRenderedPageBreak/>
              <w:t>SUSPENSIÓN TEMPORAL DE ACTIVIDADES</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A5D2BF5"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4</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36C0463"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1F10E26"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7B8ACE2"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2CD3536"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2</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57F5406"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6</w:t>
            </w:r>
          </w:p>
        </w:tc>
      </w:tr>
      <w:tr w:rsidR="00BF001E" w:rsidRPr="003615DC" w14:paraId="0BFC0A76" w14:textId="77777777" w:rsidTr="00850D33">
        <w:trPr>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87ABAA0" w14:textId="77777777" w:rsidR="00BF001E" w:rsidRPr="003615DC" w:rsidRDefault="00BF001E" w:rsidP="00BF001E">
            <w:pPr>
              <w:rPr>
                <w:rStyle w:val="markedcontent"/>
                <w:rFonts w:asciiTheme="majorHAnsi" w:hAnsiTheme="majorHAnsi" w:cstheme="majorHAnsi"/>
                <w:sz w:val="16"/>
                <w:szCs w:val="22"/>
              </w:rPr>
            </w:pPr>
            <w:r w:rsidRPr="003615DC">
              <w:rPr>
                <w:rStyle w:val="markedcontent"/>
                <w:rFonts w:asciiTheme="majorHAnsi" w:hAnsiTheme="majorHAnsi" w:cstheme="majorHAnsi"/>
                <w:b w:val="0"/>
                <w:bCs w:val="0"/>
                <w:sz w:val="16"/>
                <w:szCs w:val="22"/>
              </w:rPr>
              <w:t>DIVISIÓN MATERIAL DE AREA</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756649D"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2</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85EC8BB"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1</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74784C6"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DBD8DC6"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BF4C9B6"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2</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8EB0A6F"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5</w:t>
            </w:r>
          </w:p>
        </w:tc>
      </w:tr>
      <w:tr w:rsidR="00BF001E" w:rsidRPr="003615DC" w14:paraId="3C371803" w14:textId="77777777" w:rsidTr="00850D33">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F2A04F1" w14:textId="77777777" w:rsidR="00BF001E" w:rsidRPr="003615DC" w:rsidRDefault="00BF001E" w:rsidP="00BF001E">
            <w:pPr>
              <w:rPr>
                <w:rStyle w:val="markedcontent"/>
                <w:rFonts w:asciiTheme="majorHAnsi" w:hAnsiTheme="majorHAnsi" w:cstheme="majorHAnsi"/>
                <w:sz w:val="16"/>
                <w:szCs w:val="22"/>
              </w:rPr>
            </w:pPr>
            <w:r w:rsidRPr="003615DC">
              <w:rPr>
                <w:rStyle w:val="markedcontent"/>
                <w:rFonts w:asciiTheme="majorHAnsi" w:hAnsiTheme="majorHAnsi" w:cstheme="majorHAnsi"/>
                <w:b w:val="0"/>
                <w:bCs w:val="0"/>
                <w:sz w:val="16"/>
                <w:szCs w:val="22"/>
              </w:rPr>
              <w:t>DEMASIA</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A0C749B"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AE23D17"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4</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44E92F1"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567FD7E"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174B1B9"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1</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4D2F613"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5</w:t>
            </w:r>
          </w:p>
        </w:tc>
      </w:tr>
      <w:tr w:rsidR="00BF001E" w:rsidRPr="003615DC" w14:paraId="520DAE4E" w14:textId="77777777" w:rsidTr="00850D33">
        <w:trPr>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8A0EE27" w14:textId="77777777" w:rsidR="00BF001E" w:rsidRPr="003615DC" w:rsidRDefault="00BF001E" w:rsidP="00BF001E">
            <w:pPr>
              <w:rPr>
                <w:rStyle w:val="markedcontent"/>
                <w:rFonts w:asciiTheme="majorHAnsi" w:hAnsiTheme="majorHAnsi" w:cstheme="majorHAnsi"/>
                <w:sz w:val="16"/>
                <w:szCs w:val="22"/>
              </w:rPr>
            </w:pPr>
            <w:r w:rsidRPr="003615DC">
              <w:rPr>
                <w:rStyle w:val="markedcontent"/>
                <w:rFonts w:asciiTheme="majorHAnsi" w:hAnsiTheme="majorHAnsi" w:cstheme="majorHAnsi"/>
                <w:b w:val="0"/>
                <w:bCs w:val="0"/>
                <w:sz w:val="16"/>
                <w:szCs w:val="22"/>
              </w:rPr>
              <w:t>ACUMULACIÓN DE ÁREAS MINERAS</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0DD1773"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CD962FA"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AB7069C"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A8556D5"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860D9C9"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3</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68FB489"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3</w:t>
            </w:r>
          </w:p>
        </w:tc>
      </w:tr>
      <w:tr w:rsidR="00BF001E" w:rsidRPr="003615DC" w14:paraId="3D3DDD97" w14:textId="77777777" w:rsidTr="00850D33">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1E4CB90" w14:textId="77777777" w:rsidR="00BF001E" w:rsidRPr="003615DC" w:rsidRDefault="00BF001E" w:rsidP="00BF001E">
            <w:pPr>
              <w:rPr>
                <w:rStyle w:val="markedcontent"/>
                <w:rFonts w:asciiTheme="majorHAnsi" w:hAnsiTheme="majorHAnsi" w:cstheme="majorHAnsi"/>
                <w:sz w:val="16"/>
                <w:szCs w:val="22"/>
              </w:rPr>
            </w:pPr>
            <w:r w:rsidRPr="003615DC">
              <w:rPr>
                <w:rStyle w:val="markedcontent"/>
                <w:rFonts w:asciiTheme="majorHAnsi" w:hAnsiTheme="majorHAnsi" w:cstheme="majorHAnsi"/>
                <w:b w:val="0"/>
                <w:bCs w:val="0"/>
                <w:sz w:val="16"/>
                <w:szCs w:val="22"/>
              </w:rPr>
              <w:t>EXTINCIÓN DE LICENCIA DE COMERCIALIZACIÓN</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1623C5C"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0B288BC"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C34831E"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596E22D"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86FAEBD"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3</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F8F730E"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3</w:t>
            </w:r>
          </w:p>
        </w:tc>
      </w:tr>
      <w:tr w:rsidR="00BF001E" w:rsidRPr="003615DC" w14:paraId="74EC9F29" w14:textId="77777777" w:rsidTr="00850D33">
        <w:trPr>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96ACD4A" w14:textId="77777777" w:rsidR="00BF001E" w:rsidRPr="003615DC" w:rsidRDefault="00BF001E" w:rsidP="00BF001E">
            <w:pPr>
              <w:rPr>
                <w:rStyle w:val="markedcontent"/>
                <w:rFonts w:asciiTheme="majorHAnsi" w:hAnsiTheme="majorHAnsi" w:cstheme="majorHAnsi"/>
                <w:sz w:val="16"/>
                <w:szCs w:val="22"/>
              </w:rPr>
            </w:pPr>
            <w:r w:rsidRPr="003615DC">
              <w:rPr>
                <w:rStyle w:val="markedcontent"/>
                <w:rFonts w:asciiTheme="majorHAnsi" w:hAnsiTheme="majorHAnsi" w:cstheme="majorHAnsi"/>
                <w:b w:val="0"/>
                <w:bCs w:val="0"/>
                <w:sz w:val="16"/>
                <w:szCs w:val="22"/>
              </w:rPr>
              <w:t>MODIFICACIÓN DE RÉGIMEN GENERAL A PEQUEÑA MINERIA</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15244C8"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C258FA3"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8043808"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4E66041"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5074CD1"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2</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41AD866"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2</w:t>
            </w:r>
          </w:p>
        </w:tc>
      </w:tr>
      <w:tr w:rsidR="00BF001E" w:rsidRPr="003615DC" w14:paraId="15ED30F3" w14:textId="77777777" w:rsidTr="00850D33">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4A2ED7E" w14:textId="77777777" w:rsidR="00BF001E" w:rsidRPr="003615DC" w:rsidRDefault="00BF001E" w:rsidP="00BF001E">
            <w:pPr>
              <w:rPr>
                <w:rStyle w:val="markedcontent"/>
                <w:rFonts w:asciiTheme="majorHAnsi" w:hAnsiTheme="majorHAnsi" w:cstheme="majorHAnsi"/>
                <w:sz w:val="16"/>
                <w:szCs w:val="22"/>
              </w:rPr>
            </w:pPr>
            <w:r w:rsidRPr="003615DC">
              <w:rPr>
                <w:rStyle w:val="markedcontent"/>
                <w:rFonts w:asciiTheme="majorHAnsi" w:hAnsiTheme="majorHAnsi" w:cstheme="majorHAnsi"/>
                <w:b w:val="0"/>
                <w:bCs w:val="0"/>
                <w:sz w:val="16"/>
                <w:szCs w:val="22"/>
              </w:rPr>
              <w:t xml:space="preserve">CUMPLIMIENTO DE ACCIÓN DE PROTECCIÓN </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97DCF84"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A8EE581"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7074493"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2</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CDEBCE0"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800D8C8"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38950CB"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2</w:t>
            </w:r>
          </w:p>
        </w:tc>
      </w:tr>
      <w:tr w:rsidR="00BF001E" w:rsidRPr="003615DC" w14:paraId="60D594C4" w14:textId="77777777" w:rsidTr="00850D33">
        <w:trPr>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77B8C67" w14:textId="77777777" w:rsidR="00BF001E" w:rsidRPr="003615DC" w:rsidRDefault="00BF001E" w:rsidP="00BF001E">
            <w:pPr>
              <w:rPr>
                <w:rStyle w:val="markedcontent"/>
                <w:rFonts w:asciiTheme="majorHAnsi" w:hAnsiTheme="majorHAnsi" w:cstheme="majorHAnsi"/>
                <w:sz w:val="16"/>
                <w:szCs w:val="22"/>
              </w:rPr>
            </w:pPr>
            <w:r w:rsidRPr="003615DC">
              <w:rPr>
                <w:rStyle w:val="markedcontent"/>
                <w:rFonts w:asciiTheme="majorHAnsi" w:hAnsiTheme="majorHAnsi" w:cstheme="majorHAnsi"/>
                <w:b w:val="0"/>
                <w:bCs w:val="0"/>
                <w:sz w:val="16"/>
                <w:szCs w:val="22"/>
              </w:rPr>
              <w:t xml:space="preserve">SUSPENSIÓN DE DERECHOS MINEROS </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9C6391C"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489E460"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90B24B8"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B8C8BC5"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9DAF81C"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1</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06D013F"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1</w:t>
            </w:r>
          </w:p>
        </w:tc>
      </w:tr>
      <w:tr w:rsidR="00BF001E" w:rsidRPr="003615DC" w14:paraId="5BC915A0" w14:textId="77777777" w:rsidTr="00850D33">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CB91CF5" w14:textId="77777777" w:rsidR="00BF001E" w:rsidRPr="003615DC" w:rsidRDefault="00BF001E" w:rsidP="00BF001E">
            <w:pPr>
              <w:rPr>
                <w:rStyle w:val="markedcontent"/>
                <w:rFonts w:asciiTheme="majorHAnsi" w:hAnsiTheme="majorHAnsi" w:cstheme="majorHAnsi"/>
                <w:sz w:val="16"/>
                <w:szCs w:val="22"/>
              </w:rPr>
            </w:pPr>
            <w:r w:rsidRPr="003615DC">
              <w:rPr>
                <w:rStyle w:val="markedcontent"/>
                <w:rFonts w:asciiTheme="majorHAnsi" w:hAnsiTheme="majorHAnsi" w:cstheme="majorHAnsi"/>
                <w:b w:val="0"/>
                <w:bCs w:val="0"/>
                <w:sz w:val="16"/>
                <w:szCs w:val="22"/>
              </w:rPr>
              <w:t xml:space="preserve">RENOVACIÓN DE LICENCIA DE COMERCIALIZACIÓN </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498E993"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9458EEF"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C893B31"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7B0B4E0"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1</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117A254"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2BB701F"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1</w:t>
            </w:r>
          </w:p>
        </w:tc>
      </w:tr>
      <w:tr w:rsidR="00BF001E" w:rsidRPr="003615DC" w14:paraId="154470B8" w14:textId="77777777" w:rsidTr="00850D33">
        <w:trPr>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C4F7616" w14:textId="77777777" w:rsidR="00BF001E" w:rsidRPr="003615DC" w:rsidRDefault="00BF001E" w:rsidP="00BF001E">
            <w:pPr>
              <w:rPr>
                <w:rStyle w:val="markedcontent"/>
                <w:rFonts w:asciiTheme="majorHAnsi" w:hAnsiTheme="majorHAnsi" w:cstheme="majorHAnsi"/>
                <w:sz w:val="16"/>
                <w:szCs w:val="22"/>
              </w:rPr>
            </w:pPr>
            <w:r w:rsidRPr="003615DC">
              <w:rPr>
                <w:rStyle w:val="markedcontent"/>
                <w:rFonts w:asciiTheme="majorHAnsi" w:hAnsiTheme="majorHAnsi" w:cstheme="majorHAnsi"/>
                <w:b w:val="0"/>
                <w:bCs w:val="0"/>
                <w:sz w:val="16"/>
                <w:szCs w:val="22"/>
              </w:rPr>
              <w:t>CAMBIO DE MODALIDAD CONCESIONAL</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F721777"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6FAF22A"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4292F78"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B0ECBF7"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1B36D24"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1</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B6ED092"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1</w:t>
            </w:r>
          </w:p>
        </w:tc>
      </w:tr>
      <w:tr w:rsidR="00BF001E" w:rsidRPr="003615DC" w14:paraId="42B8F389" w14:textId="77777777" w:rsidTr="00850D33">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DA50A19" w14:textId="77777777" w:rsidR="00BF001E" w:rsidRPr="003615DC" w:rsidRDefault="00BF001E" w:rsidP="00BF001E">
            <w:pPr>
              <w:rPr>
                <w:rStyle w:val="markedcontent"/>
                <w:rFonts w:asciiTheme="majorHAnsi" w:hAnsiTheme="majorHAnsi" w:cstheme="majorHAnsi"/>
                <w:sz w:val="16"/>
                <w:szCs w:val="22"/>
              </w:rPr>
            </w:pPr>
            <w:r w:rsidRPr="003615DC">
              <w:rPr>
                <w:rStyle w:val="markedcontent"/>
                <w:rFonts w:asciiTheme="majorHAnsi" w:hAnsiTheme="majorHAnsi" w:cstheme="majorHAnsi"/>
                <w:b w:val="0"/>
                <w:bCs w:val="0"/>
                <w:sz w:val="16"/>
                <w:szCs w:val="22"/>
              </w:rPr>
              <w:t>OTORGAMIENTO DE LA LICENCIA DE COMERCIALIZACIÓN</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F815752"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FFFB08A"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F249079"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8C752D6"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1C1D6B3"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1</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4566DA4"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1</w:t>
            </w:r>
          </w:p>
        </w:tc>
      </w:tr>
      <w:tr w:rsidR="00BF001E" w:rsidRPr="003615DC" w14:paraId="3692E0AA" w14:textId="77777777" w:rsidTr="00850D33">
        <w:trPr>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C63A922" w14:textId="77777777" w:rsidR="00BF001E" w:rsidRPr="003615DC" w:rsidRDefault="00BF001E" w:rsidP="00BF001E">
            <w:pPr>
              <w:rPr>
                <w:rStyle w:val="markedcontent"/>
                <w:rFonts w:asciiTheme="majorHAnsi" w:hAnsiTheme="majorHAnsi" w:cstheme="majorHAnsi"/>
                <w:sz w:val="16"/>
                <w:szCs w:val="22"/>
              </w:rPr>
            </w:pPr>
            <w:r w:rsidRPr="003615DC">
              <w:rPr>
                <w:rStyle w:val="markedcontent"/>
                <w:rFonts w:asciiTheme="majorHAnsi" w:hAnsiTheme="majorHAnsi" w:cstheme="majorHAnsi"/>
                <w:b w:val="0"/>
                <w:bCs w:val="0"/>
                <w:sz w:val="16"/>
                <w:szCs w:val="22"/>
              </w:rPr>
              <w:t>REDUCCIÓN PARCIAL</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65C5971"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1</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FE00098"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F839812"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66D9DA4"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64571C5"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 </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12A808F" w14:textId="77777777" w:rsidR="00BF001E" w:rsidRPr="003615DC" w:rsidRDefault="00BF001E" w:rsidP="00BF001E">
            <w:pPr>
              <w:jc w:val="center"/>
              <w:cnfStyle w:val="000000000000" w:firstRow="0" w:lastRow="0" w:firstColumn="0" w:lastColumn="0" w:oddVBand="0" w:evenVBand="0" w:oddHBand="0" w:evenHBand="0" w:firstRowFirstColumn="0" w:firstRowLastColumn="0" w:lastRowFirstColumn="0" w:lastRowLastColumn="0"/>
              <w:rPr>
                <w:rStyle w:val="markedcontent"/>
                <w:rFonts w:asciiTheme="majorHAnsi" w:hAnsiTheme="majorHAnsi" w:cstheme="majorHAnsi"/>
                <w:sz w:val="16"/>
                <w:szCs w:val="22"/>
              </w:rPr>
            </w:pPr>
            <w:r w:rsidRPr="003615DC">
              <w:rPr>
                <w:rStyle w:val="markedcontent"/>
                <w:rFonts w:asciiTheme="majorHAnsi" w:hAnsiTheme="majorHAnsi" w:cstheme="majorHAnsi"/>
                <w:sz w:val="16"/>
                <w:szCs w:val="22"/>
              </w:rPr>
              <w:t>1</w:t>
            </w:r>
          </w:p>
        </w:tc>
      </w:tr>
      <w:tr w:rsidR="00BF001E" w:rsidRPr="003615DC" w14:paraId="1FED2F8C" w14:textId="77777777" w:rsidTr="00850D33">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BC1B71E" w14:textId="77777777" w:rsidR="00BF001E" w:rsidRPr="003615DC" w:rsidRDefault="00BF001E" w:rsidP="00BF001E">
            <w:pPr>
              <w:jc w:val="center"/>
              <w:rPr>
                <w:rStyle w:val="markedcontent"/>
                <w:rFonts w:asciiTheme="majorHAnsi" w:hAnsiTheme="majorHAnsi" w:cstheme="majorHAnsi"/>
                <w:bCs w:val="0"/>
                <w:sz w:val="16"/>
                <w:szCs w:val="22"/>
              </w:rPr>
            </w:pPr>
            <w:r w:rsidRPr="003615DC">
              <w:rPr>
                <w:rStyle w:val="markedcontent"/>
                <w:rFonts w:asciiTheme="majorHAnsi" w:hAnsiTheme="majorHAnsi" w:cstheme="majorHAnsi"/>
                <w:bCs w:val="0"/>
                <w:sz w:val="16"/>
                <w:szCs w:val="22"/>
              </w:rPr>
              <w:t xml:space="preserve">TOTAL </w:t>
            </w:r>
          </w:p>
        </w:tc>
        <w:tc>
          <w:tcPr>
            <w:tcW w:w="58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19AE02E"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b/>
                <w:sz w:val="16"/>
                <w:szCs w:val="22"/>
              </w:rPr>
            </w:pPr>
            <w:r w:rsidRPr="003615DC">
              <w:rPr>
                <w:rStyle w:val="markedcontent"/>
                <w:rFonts w:asciiTheme="majorHAnsi" w:hAnsiTheme="majorHAnsi" w:cstheme="majorHAnsi"/>
                <w:b/>
                <w:sz w:val="16"/>
                <w:szCs w:val="22"/>
              </w:rPr>
              <w:t>27</w:t>
            </w:r>
          </w:p>
        </w:tc>
        <w:tc>
          <w:tcPr>
            <w:tcW w:w="5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D96F5DC"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b/>
                <w:sz w:val="16"/>
                <w:szCs w:val="22"/>
              </w:rPr>
            </w:pPr>
            <w:r w:rsidRPr="003615DC">
              <w:rPr>
                <w:rStyle w:val="markedcontent"/>
                <w:rFonts w:asciiTheme="majorHAnsi" w:hAnsiTheme="majorHAnsi" w:cstheme="majorHAnsi"/>
                <w:b/>
                <w:sz w:val="16"/>
                <w:szCs w:val="22"/>
              </w:rPr>
              <w:t>14</w:t>
            </w:r>
          </w:p>
        </w:tc>
        <w:tc>
          <w:tcPr>
            <w:tcW w:w="39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362FF1F"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b/>
                <w:sz w:val="16"/>
                <w:szCs w:val="22"/>
              </w:rPr>
            </w:pPr>
            <w:r w:rsidRPr="003615DC">
              <w:rPr>
                <w:rStyle w:val="markedcontent"/>
                <w:rFonts w:asciiTheme="majorHAnsi" w:hAnsiTheme="majorHAnsi" w:cstheme="majorHAnsi"/>
                <w:b/>
                <w:sz w:val="16"/>
                <w:szCs w:val="22"/>
              </w:rPr>
              <w:t>2</w:t>
            </w:r>
          </w:p>
        </w:tc>
        <w:tc>
          <w:tcPr>
            <w:tcW w:w="36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7E20807"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b/>
                <w:sz w:val="16"/>
                <w:szCs w:val="22"/>
              </w:rPr>
            </w:pPr>
            <w:r w:rsidRPr="003615DC">
              <w:rPr>
                <w:rStyle w:val="markedcontent"/>
                <w:rFonts w:asciiTheme="majorHAnsi" w:hAnsiTheme="majorHAnsi" w:cstheme="majorHAnsi"/>
                <w:b/>
                <w:sz w:val="16"/>
                <w:szCs w:val="22"/>
              </w:rPr>
              <w:t>1</w:t>
            </w:r>
          </w:p>
        </w:tc>
        <w:tc>
          <w:tcPr>
            <w:tcW w:w="30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55ABE20"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b/>
                <w:sz w:val="16"/>
                <w:szCs w:val="22"/>
              </w:rPr>
            </w:pPr>
            <w:r w:rsidRPr="003615DC">
              <w:rPr>
                <w:rStyle w:val="markedcontent"/>
                <w:rFonts w:asciiTheme="majorHAnsi" w:hAnsiTheme="majorHAnsi" w:cstheme="majorHAnsi"/>
                <w:b/>
                <w:sz w:val="16"/>
                <w:szCs w:val="22"/>
              </w:rPr>
              <w:t>111</w:t>
            </w:r>
          </w:p>
        </w:tc>
        <w:tc>
          <w:tcPr>
            <w:tcW w:w="40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53C9357" w14:textId="77777777" w:rsidR="00BF001E" w:rsidRPr="003615DC" w:rsidRDefault="00BF001E" w:rsidP="00BF001E">
            <w:pPr>
              <w:jc w:val="center"/>
              <w:cnfStyle w:val="000000100000" w:firstRow="0" w:lastRow="0" w:firstColumn="0" w:lastColumn="0" w:oddVBand="0" w:evenVBand="0" w:oddHBand="1" w:evenHBand="0" w:firstRowFirstColumn="0" w:firstRowLastColumn="0" w:lastRowFirstColumn="0" w:lastRowLastColumn="0"/>
              <w:rPr>
                <w:rStyle w:val="markedcontent"/>
                <w:rFonts w:asciiTheme="majorHAnsi" w:hAnsiTheme="majorHAnsi" w:cstheme="majorHAnsi"/>
                <w:b/>
                <w:sz w:val="16"/>
                <w:szCs w:val="22"/>
              </w:rPr>
            </w:pPr>
            <w:r w:rsidRPr="003615DC">
              <w:rPr>
                <w:rStyle w:val="markedcontent"/>
                <w:rFonts w:asciiTheme="majorHAnsi" w:hAnsiTheme="majorHAnsi" w:cstheme="majorHAnsi"/>
                <w:b/>
                <w:sz w:val="16"/>
                <w:szCs w:val="22"/>
              </w:rPr>
              <w:t>155</w:t>
            </w:r>
          </w:p>
        </w:tc>
      </w:tr>
    </w:tbl>
    <w:p w14:paraId="6E46A05E" w14:textId="6A8D3BEF" w:rsidR="00D4678F" w:rsidRPr="00850D33" w:rsidRDefault="00BF001E" w:rsidP="007B0CD8">
      <w:pPr>
        <w:pStyle w:val="Default"/>
        <w:ind w:left="-709"/>
        <w:jc w:val="center"/>
        <w:rPr>
          <w:rFonts w:asciiTheme="majorHAnsi" w:hAnsiTheme="majorHAnsi" w:cstheme="majorHAnsi"/>
          <w:i/>
          <w:color w:val="7F7F7F" w:themeColor="text1" w:themeTint="80"/>
          <w:sz w:val="16"/>
          <w:szCs w:val="16"/>
        </w:rPr>
      </w:pPr>
      <w:r w:rsidRPr="00850D33">
        <w:rPr>
          <w:rFonts w:asciiTheme="majorHAnsi" w:hAnsiTheme="majorHAnsi" w:cstheme="majorHAnsi"/>
          <w:b/>
          <w:i/>
          <w:color w:val="7F7F7F" w:themeColor="text1" w:themeTint="80"/>
          <w:sz w:val="16"/>
          <w:szCs w:val="16"/>
        </w:rPr>
        <w:t>Fuente:</w:t>
      </w:r>
      <w:r w:rsidRPr="00850D33">
        <w:rPr>
          <w:rFonts w:asciiTheme="majorHAnsi" w:hAnsiTheme="majorHAnsi" w:cstheme="majorHAnsi"/>
          <w:i/>
          <w:color w:val="7F7F7F" w:themeColor="text1" w:themeTint="80"/>
          <w:sz w:val="16"/>
          <w:szCs w:val="16"/>
        </w:rPr>
        <w:t xml:space="preserve"> Subsecretaría de Minería Artesanal y Pequeña Minería / Abr-2025</w:t>
      </w:r>
    </w:p>
    <w:p w14:paraId="47413BE8" w14:textId="77777777" w:rsidR="007B0CD8" w:rsidRPr="007B0CD8" w:rsidRDefault="007B0CD8" w:rsidP="007B0CD8">
      <w:pPr>
        <w:pStyle w:val="Default"/>
        <w:ind w:left="-709"/>
        <w:jc w:val="center"/>
        <w:rPr>
          <w:rFonts w:asciiTheme="majorHAnsi" w:hAnsiTheme="majorHAnsi" w:cstheme="majorHAnsi"/>
          <w:color w:val="7F7F7F" w:themeColor="text1" w:themeTint="80"/>
          <w:sz w:val="20"/>
          <w:szCs w:val="22"/>
        </w:rPr>
      </w:pPr>
    </w:p>
    <w:p w14:paraId="39D5C028" w14:textId="77777777" w:rsidR="00BF001E" w:rsidRPr="00213F2B" w:rsidRDefault="00BF001E" w:rsidP="00B03CEC">
      <w:pPr>
        <w:pStyle w:val="Ttulo4"/>
        <w:rPr>
          <w:rFonts w:eastAsia="Calibri Light"/>
          <w:sz w:val="22"/>
          <w:szCs w:val="22"/>
          <w:lang w:val="es-ES"/>
        </w:rPr>
      </w:pPr>
      <w:r w:rsidRPr="00213F2B">
        <w:rPr>
          <w:rFonts w:eastAsia="Calibri Light"/>
          <w:i w:val="0"/>
          <w:sz w:val="22"/>
          <w:szCs w:val="22"/>
          <w:lang w:val="es-ES"/>
        </w:rPr>
        <w:t>Meta 1: Incrementar la recaudación tributaria del sector minero de USD 202 millones en el año 2022 a USD 248 millones al 2025</w:t>
      </w:r>
      <w:r w:rsidRPr="00213F2B">
        <w:rPr>
          <w:rFonts w:eastAsia="Calibri Light"/>
          <w:sz w:val="22"/>
          <w:szCs w:val="22"/>
          <w:lang w:val="es-ES"/>
        </w:rPr>
        <w:t>.</w:t>
      </w:r>
    </w:p>
    <w:p w14:paraId="58399E83" w14:textId="77777777" w:rsidR="00BF001E" w:rsidRPr="004E30A3" w:rsidRDefault="00BF001E" w:rsidP="00BF001E">
      <w:pPr>
        <w:jc w:val="both"/>
        <w:rPr>
          <w:rFonts w:ascii="Calibri Light" w:eastAsia="Calibri Light" w:hAnsi="Calibri Light" w:cs="Calibri Light"/>
          <w:sz w:val="22"/>
          <w:szCs w:val="22"/>
          <w:lang w:val="es-ES"/>
        </w:rPr>
      </w:pPr>
    </w:p>
    <w:p w14:paraId="7CFA3D7F" w14:textId="65003B45" w:rsidR="00BF001E" w:rsidRPr="00F7193D" w:rsidRDefault="00BF001E" w:rsidP="00F7193D">
      <w:pPr>
        <w:jc w:val="both"/>
        <w:rPr>
          <w:rFonts w:ascii="Calibri Light" w:eastAsia="Calibri Light" w:hAnsi="Calibri Light" w:cs="Calibri Light"/>
          <w:sz w:val="22"/>
          <w:szCs w:val="22"/>
          <w:lang w:val="es-ES"/>
        </w:rPr>
      </w:pPr>
      <w:r w:rsidRPr="004E30A3">
        <w:rPr>
          <w:rFonts w:ascii="Calibri Light" w:eastAsia="Calibri Light" w:hAnsi="Calibri Light" w:cs="Calibri Light"/>
          <w:sz w:val="22"/>
          <w:szCs w:val="22"/>
          <w:lang w:val="es-ES"/>
        </w:rPr>
        <w:t>Según la información publicada por el SRI, las actividades mineras, incluidas las actividades de apoyo para la explotación de minas y canteras, así como también la fabricación de productos no metálicos (como cemento, vidrio, cerámica, entre otros) permitió la recaudación de USD 828,21</w:t>
      </w:r>
      <w:r w:rsidRPr="004E30A3">
        <w:rPr>
          <w:rFonts w:ascii="Calibri Light" w:eastAsia="Calibri Light" w:hAnsi="Calibri Light" w:cs="Calibri Light"/>
          <w:sz w:val="22"/>
          <w:szCs w:val="22"/>
          <w:lang w:val="es-ES"/>
        </w:rPr>
        <w:footnoteReference w:id="2"/>
      </w:r>
      <w:r w:rsidRPr="004E30A3">
        <w:rPr>
          <w:rFonts w:ascii="Calibri Light" w:eastAsia="Calibri Light" w:hAnsi="Calibri Light" w:cs="Calibri Light"/>
          <w:sz w:val="22"/>
          <w:szCs w:val="22"/>
          <w:lang w:val="es-ES"/>
        </w:rPr>
        <w:t xml:space="preserve"> millones en el 2024.</w:t>
      </w:r>
    </w:p>
    <w:p w14:paraId="27161E16" w14:textId="50E98C5F" w:rsidR="00BF001E" w:rsidRPr="003A4EC6" w:rsidRDefault="00BF001E" w:rsidP="00BF001E">
      <w:pPr>
        <w:pStyle w:val="Descripcin"/>
        <w:rPr>
          <w:rFonts w:asciiTheme="majorHAnsi" w:eastAsia="Calibri Light" w:hAnsiTheme="majorHAnsi" w:cs="Calibri Light"/>
          <w:i w:val="0"/>
          <w:iCs w:val="0"/>
          <w:color w:val="auto"/>
          <w:sz w:val="22"/>
          <w:szCs w:val="22"/>
          <w:lang w:val="es-ES"/>
        </w:rPr>
      </w:pPr>
      <w:bookmarkStart w:id="254" w:name="_Toc198821629"/>
      <w:bookmarkStart w:id="255" w:name="_Toc199757577"/>
      <w:r w:rsidRPr="003A4EC6">
        <w:rPr>
          <w:rFonts w:asciiTheme="majorHAnsi" w:hAnsiTheme="majorHAnsi"/>
        </w:rPr>
        <w:t xml:space="preserve">Ilustración </w:t>
      </w:r>
      <w:r w:rsidR="00E7589F" w:rsidRPr="003A4EC6">
        <w:rPr>
          <w:rFonts w:asciiTheme="majorHAnsi" w:hAnsiTheme="majorHAnsi"/>
        </w:rPr>
        <w:fldChar w:fldCharType="begin"/>
      </w:r>
      <w:r w:rsidR="00E7589F" w:rsidRPr="003A4EC6">
        <w:rPr>
          <w:rFonts w:asciiTheme="majorHAnsi" w:hAnsiTheme="majorHAnsi"/>
        </w:rPr>
        <w:instrText xml:space="preserve"> SEQ Ilustración \* ARABIC </w:instrText>
      </w:r>
      <w:r w:rsidR="00E7589F" w:rsidRPr="003A4EC6">
        <w:rPr>
          <w:rFonts w:asciiTheme="majorHAnsi" w:hAnsiTheme="majorHAnsi"/>
        </w:rPr>
        <w:fldChar w:fldCharType="separate"/>
      </w:r>
      <w:r w:rsidR="00E30DD7" w:rsidRPr="003A4EC6">
        <w:rPr>
          <w:rFonts w:asciiTheme="majorHAnsi" w:hAnsiTheme="majorHAnsi"/>
          <w:noProof/>
        </w:rPr>
        <w:t>4</w:t>
      </w:r>
      <w:r w:rsidR="00E7589F" w:rsidRPr="003A4EC6">
        <w:rPr>
          <w:rFonts w:asciiTheme="majorHAnsi" w:hAnsiTheme="majorHAnsi"/>
        </w:rPr>
        <w:fldChar w:fldCharType="end"/>
      </w:r>
      <w:r w:rsidRPr="003A4EC6">
        <w:rPr>
          <w:rFonts w:asciiTheme="majorHAnsi" w:hAnsiTheme="majorHAnsi"/>
        </w:rPr>
        <w:t>: Recaudación tributaria por actividad económica</w:t>
      </w:r>
      <w:bookmarkEnd w:id="254"/>
      <w:bookmarkEnd w:id="255"/>
    </w:p>
    <w:p w14:paraId="168CE9AB" w14:textId="77777777" w:rsidR="00BF001E" w:rsidRPr="004E30A3" w:rsidRDefault="00BF001E" w:rsidP="00BF001E">
      <w:pPr>
        <w:jc w:val="center"/>
        <w:rPr>
          <w:rFonts w:ascii="Calibri Light" w:eastAsia="Calibri Light" w:hAnsi="Calibri Light" w:cs="Calibri Light"/>
          <w:sz w:val="22"/>
          <w:szCs w:val="22"/>
          <w:lang w:val="es-ES"/>
        </w:rPr>
      </w:pPr>
      <w:r w:rsidRPr="004E30A3">
        <w:rPr>
          <w:rFonts w:ascii="Calibri Light" w:eastAsia="Calibri Light" w:hAnsi="Calibri Light" w:cs="Calibri Light"/>
          <w:noProof/>
          <w:sz w:val="22"/>
          <w:szCs w:val="22"/>
          <w:lang w:val="es-ES"/>
        </w:rPr>
        <w:drawing>
          <wp:inline distT="0" distB="0" distL="0" distR="0" wp14:anchorId="10C74964" wp14:editId="299ED5B1">
            <wp:extent cx="5058271" cy="1854835"/>
            <wp:effectExtent l="0" t="0" r="9525"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62301" cy="1892982"/>
                    </a:xfrm>
                    <a:prstGeom prst="rect">
                      <a:avLst/>
                    </a:prstGeom>
                  </pic:spPr>
                </pic:pic>
              </a:graphicData>
            </a:graphic>
          </wp:inline>
        </w:drawing>
      </w:r>
    </w:p>
    <w:p w14:paraId="3BCD79F8" w14:textId="54EEC512" w:rsidR="00BF001E" w:rsidRPr="00F7193D" w:rsidRDefault="00BF001E" w:rsidP="00F7193D">
      <w:pPr>
        <w:jc w:val="center"/>
        <w:rPr>
          <w:rFonts w:ascii="Calibri Light" w:hAnsi="Calibri Light" w:cs="Calibri Light"/>
          <w:i/>
          <w:color w:val="7E7E7E"/>
          <w:sz w:val="18"/>
          <w:szCs w:val="18"/>
        </w:rPr>
      </w:pPr>
      <w:r w:rsidRPr="00D4678F">
        <w:rPr>
          <w:rFonts w:ascii="Calibri Light" w:hAnsi="Calibri Light" w:cs="Calibri Light"/>
          <w:i/>
          <w:color w:val="7E7E7E"/>
          <w:sz w:val="18"/>
          <w:szCs w:val="18"/>
        </w:rPr>
        <w:t>Elaborado por: Dirección de Información y Transparencia de las Actividades Mineras</w:t>
      </w:r>
    </w:p>
    <w:p w14:paraId="42087236" w14:textId="77777777" w:rsidR="00D4678F" w:rsidRPr="004E30A3" w:rsidRDefault="00D4678F" w:rsidP="00BF001E">
      <w:pPr>
        <w:jc w:val="both"/>
        <w:rPr>
          <w:rFonts w:ascii="Calibri Light" w:eastAsia="Calibri Light" w:hAnsi="Calibri Light" w:cs="Calibri Light"/>
          <w:sz w:val="22"/>
          <w:szCs w:val="22"/>
          <w:lang w:val="es-ES"/>
        </w:rPr>
      </w:pPr>
    </w:p>
    <w:p w14:paraId="54CD024C" w14:textId="77777777" w:rsidR="00BF001E" w:rsidRPr="004E30A3" w:rsidRDefault="00BF001E" w:rsidP="00BF001E">
      <w:pPr>
        <w:jc w:val="both"/>
        <w:rPr>
          <w:rFonts w:ascii="Calibri Light" w:eastAsia="Calibri Light" w:hAnsi="Calibri Light" w:cs="Calibri Light"/>
          <w:sz w:val="22"/>
          <w:szCs w:val="22"/>
          <w:lang w:val="es-ES"/>
        </w:rPr>
      </w:pPr>
      <w:r w:rsidRPr="004E30A3">
        <w:rPr>
          <w:rFonts w:ascii="Calibri Light" w:eastAsia="Calibri Light" w:hAnsi="Calibri Light" w:cs="Calibri Light"/>
          <w:sz w:val="22"/>
          <w:szCs w:val="22"/>
          <w:lang w:val="es-ES"/>
        </w:rPr>
        <w:t>Para el año 2024 en base a las proyecciones del viceministerio de minas se estableció en USD 229,95 millones. Sin embargo, los datos al mes de cierre del año 2024 las patentes, utilidades y regalías se recaudó a través del Servicio de Retas Internas el 100,96 % proyectado</w:t>
      </w:r>
    </w:p>
    <w:p w14:paraId="57DE0A54" w14:textId="77777777" w:rsidR="00BF001E" w:rsidRPr="004E30A3" w:rsidRDefault="00BF001E" w:rsidP="00BF001E">
      <w:pPr>
        <w:tabs>
          <w:tab w:val="left" w:pos="3255"/>
        </w:tabs>
        <w:jc w:val="both"/>
        <w:rPr>
          <w:rFonts w:ascii="Calibri Light" w:eastAsia="Calibri Light" w:hAnsi="Calibri Light" w:cs="Calibri Light"/>
          <w:sz w:val="22"/>
          <w:szCs w:val="22"/>
          <w:lang w:val="es-ES"/>
        </w:rPr>
      </w:pPr>
      <w:r>
        <w:rPr>
          <w:rFonts w:ascii="Calibri Light" w:eastAsia="Calibri Light" w:hAnsi="Calibri Light" w:cs="Calibri Light"/>
          <w:sz w:val="22"/>
          <w:szCs w:val="22"/>
          <w:lang w:val="es-ES"/>
        </w:rPr>
        <w:tab/>
      </w:r>
    </w:p>
    <w:p w14:paraId="7C3F27DB" w14:textId="180AFCE4" w:rsidR="00BF001E" w:rsidRPr="003A4EC6" w:rsidRDefault="00BF001E" w:rsidP="00BF001E">
      <w:pPr>
        <w:pStyle w:val="Descripcin"/>
        <w:rPr>
          <w:rFonts w:asciiTheme="majorHAnsi" w:hAnsiTheme="majorHAnsi"/>
        </w:rPr>
      </w:pPr>
      <w:bookmarkStart w:id="256" w:name="_Toc198821630"/>
      <w:bookmarkStart w:id="257" w:name="_Toc199757578"/>
      <w:r w:rsidRPr="003A4EC6">
        <w:rPr>
          <w:rFonts w:asciiTheme="majorHAnsi" w:hAnsiTheme="majorHAnsi"/>
        </w:rPr>
        <w:lastRenderedPageBreak/>
        <w:t xml:space="preserve">Ilustración </w:t>
      </w:r>
      <w:r w:rsidR="00E7589F" w:rsidRPr="003A4EC6">
        <w:rPr>
          <w:rFonts w:asciiTheme="majorHAnsi" w:hAnsiTheme="majorHAnsi"/>
        </w:rPr>
        <w:fldChar w:fldCharType="begin"/>
      </w:r>
      <w:r w:rsidR="00E7589F" w:rsidRPr="003A4EC6">
        <w:rPr>
          <w:rFonts w:asciiTheme="majorHAnsi" w:hAnsiTheme="majorHAnsi"/>
        </w:rPr>
        <w:instrText xml:space="preserve"> SEQ Ilustración \* ARABIC </w:instrText>
      </w:r>
      <w:r w:rsidR="00E7589F" w:rsidRPr="003A4EC6">
        <w:rPr>
          <w:rFonts w:asciiTheme="majorHAnsi" w:hAnsiTheme="majorHAnsi"/>
        </w:rPr>
        <w:fldChar w:fldCharType="separate"/>
      </w:r>
      <w:r w:rsidR="00E30DD7" w:rsidRPr="003A4EC6">
        <w:rPr>
          <w:rFonts w:asciiTheme="majorHAnsi" w:hAnsiTheme="majorHAnsi"/>
          <w:noProof/>
        </w:rPr>
        <w:t>5</w:t>
      </w:r>
      <w:r w:rsidR="00E7589F" w:rsidRPr="003A4EC6">
        <w:rPr>
          <w:rFonts w:asciiTheme="majorHAnsi" w:hAnsiTheme="majorHAnsi"/>
        </w:rPr>
        <w:fldChar w:fldCharType="end"/>
      </w:r>
      <w:r w:rsidRPr="003A4EC6">
        <w:rPr>
          <w:rFonts w:asciiTheme="majorHAnsi" w:hAnsiTheme="majorHAnsi"/>
        </w:rPr>
        <w:t>: Evaluación de proyecciones mineras 2024 vs recaudación real 2024</w:t>
      </w:r>
      <w:bookmarkEnd w:id="256"/>
      <w:bookmarkEnd w:id="257"/>
    </w:p>
    <w:p w14:paraId="1DE8F99E" w14:textId="77777777" w:rsidR="00BF001E" w:rsidRPr="004E30A3" w:rsidRDefault="00BF001E" w:rsidP="00BF001E">
      <w:pPr>
        <w:jc w:val="both"/>
        <w:rPr>
          <w:rFonts w:ascii="Calibri Light" w:eastAsia="Calibri Light" w:hAnsi="Calibri Light" w:cs="Calibri Light"/>
          <w:sz w:val="22"/>
          <w:szCs w:val="22"/>
          <w:lang w:val="es-ES"/>
        </w:rPr>
      </w:pPr>
      <w:r w:rsidRPr="004E30A3">
        <w:rPr>
          <w:rFonts w:ascii="Calibri Light" w:eastAsia="Calibri Light" w:hAnsi="Calibri Light" w:cs="Calibri Light"/>
          <w:noProof/>
          <w:sz w:val="22"/>
          <w:szCs w:val="22"/>
          <w:lang w:val="es-ES"/>
        </w:rPr>
        <mc:AlternateContent>
          <mc:Choice Requires="wpg">
            <w:drawing>
              <wp:anchor distT="0" distB="0" distL="114300" distR="114300" simplePos="0" relativeHeight="251677696" behindDoc="0" locked="0" layoutInCell="1" allowOverlap="1" wp14:anchorId="57A810F1" wp14:editId="1CEB51F3">
                <wp:simplePos x="0" y="0"/>
                <wp:positionH relativeFrom="column">
                  <wp:posOffset>3873048</wp:posOffset>
                </wp:positionH>
                <wp:positionV relativeFrom="paragraph">
                  <wp:posOffset>89065</wp:posOffset>
                </wp:positionV>
                <wp:extent cx="1770926" cy="1579290"/>
                <wp:effectExtent l="0" t="0" r="0" b="0"/>
                <wp:wrapNone/>
                <wp:docPr id="1" name="Grupo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770926" cy="1579290"/>
                          <a:chOff x="3371850" y="463141"/>
                          <a:chExt cx="1803117" cy="1932259"/>
                        </a:xfrm>
                      </wpg:grpSpPr>
                      <wps:wsp>
                        <wps:cNvPr id="30" name="Rectángulo 30">
                          <a:extLst/>
                        </wps:cNvPr>
                        <wps:cNvSpPr/>
                        <wps:spPr>
                          <a:xfrm>
                            <a:off x="4473575" y="974639"/>
                            <a:ext cx="64056" cy="930326"/>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wrap="square"/>
                      </wps:wsp>
                      <wps:wsp>
                        <wps:cNvPr id="31" name="Rectángulo 31">
                          <a:extLst/>
                        </wps:cNvPr>
                        <wps:cNvSpPr/>
                        <wps:spPr>
                          <a:xfrm>
                            <a:off x="4067036" y="960438"/>
                            <a:ext cx="64004" cy="930326"/>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wrap="square"/>
                      </wps:wsp>
                      <wps:wsp>
                        <wps:cNvPr id="32" name="CuadroTexto 1">
                          <a:extLst/>
                        </wps:cNvPr>
                        <wps:cNvSpPr txBox="1"/>
                        <wps:spPr>
                          <a:xfrm>
                            <a:off x="3371850" y="1954213"/>
                            <a:ext cx="1084590" cy="441187"/>
                          </a:xfrm>
                          <a:prstGeom prst="rect">
                            <a:avLst/>
                          </a:prstGeom>
                        </wps:spPr>
                        <wps:txbx>
                          <w:txbxContent>
                            <w:p w14:paraId="401384B9"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 xml:space="preserve">PROYECCIÓN </w:t>
                              </w:r>
                            </w:p>
                            <w:p w14:paraId="47D791E9"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2024</w:t>
                              </w:r>
                            </w:p>
                          </w:txbxContent>
                        </wps:txbx>
                        <wps:bodyPr wrap="square" rtlCol="0"/>
                      </wps:wsp>
                      <wps:wsp>
                        <wps:cNvPr id="33" name="CuadroTexto 1">
                          <a:extLst/>
                        </wps:cNvPr>
                        <wps:cNvSpPr txBox="1"/>
                        <wps:spPr>
                          <a:xfrm>
                            <a:off x="4248150" y="1954213"/>
                            <a:ext cx="853785" cy="441187"/>
                          </a:xfrm>
                          <a:prstGeom prst="rect">
                            <a:avLst/>
                          </a:prstGeom>
                        </wps:spPr>
                        <wps:txbx>
                          <w:txbxContent>
                            <w:p w14:paraId="50976B71"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DICIEMBRE  2024</w:t>
                              </w:r>
                            </w:p>
                          </w:txbxContent>
                        </wps:txbx>
                        <wps:bodyPr wrap="square" rtlCol="0"/>
                      </wps:wsp>
                      <wps:wsp>
                        <wps:cNvPr id="34" name="CuadroTexto 1">
                          <a:extLst/>
                        </wps:cNvPr>
                        <wps:cNvSpPr txBox="1"/>
                        <wps:spPr>
                          <a:xfrm>
                            <a:off x="4235450" y="504825"/>
                            <a:ext cx="939517" cy="441187"/>
                          </a:xfrm>
                          <a:prstGeom prst="rect">
                            <a:avLst/>
                          </a:prstGeom>
                        </wps:spPr>
                        <wps:txbx>
                          <w:txbxContent>
                            <w:p w14:paraId="47396000"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USD 229,95</w:t>
                              </w:r>
                            </w:p>
                            <w:p w14:paraId="7F24B08B"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millones</w:t>
                              </w:r>
                            </w:p>
                          </w:txbxContent>
                        </wps:txbx>
                        <wps:bodyPr wrap="square" rtlCol="0"/>
                      </wps:wsp>
                      <wps:wsp>
                        <wps:cNvPr id="35" name="CuadroTexto 1">
                          <a:extLst/>
                        </wps:cNvPr>
                        <wps:cNvSpPr txBox="1"/>
                        <wps:spPr>
                          <a:xfrm>
                            <a:off x="3534004" y="463141"/>
                            <a:ext cx="939517" cy="427307"/>
                          </a:xfrm>
                          <a:prstGeom prst="rect">
                            <a:avLst/>
                          </a:prstGeom>
                        </wps:spPr>
                        <wps:txbx>
                          <w:txbxContent>
                            <w:p w14:paraId="372BE764" w14:textId="77777777" w:rsidR="00941411" w:rsidRPr="007B0CD8" w:rsidRDefault="00941411" w:rsidP="00BF001E">
                              <w:pPr>
                                <w:pStyle w:val="NormalWeb"/>
                                <w:spacing w:before="0" w:beforeAutospacing="0" w:after="0" w:afterAutospacing="0"/>
                                <w:jc w:val="center"/>
                                <w:rPr>
                                  <w:sz w:val="16"/>
                                  <w:szCs w:val="16"/>
                                </w:rPr>
                              </w:pPr>
                              <w:r w:rsidRPr="007B0CD8">
                                <w:rPr>
                                  <w:rFonts w:asciiTheme="minorHAnsi" w:hAnsi="Calibri" w:cstheme="minorBidi"/>
                                  <w:b/>
                                  <w:bCs/>
                                  <w:color w:val="1F3864" w:themeColor="accent1" w:themeShade="80"/>
                                  <w:sz w:val="16"/>
                                  <w:szCs w:val="16"/>
                                </w:rPr>
                                <w:t xml:space="preserve">USD 227,77 </w:t>
                              </w:r>
                              <w:r w:rsidRPr="007B0CD8">
                                <w:rPr>
                                  <w:rFonts w:asciiTheme="majorHAnsi" w:hAnsiTheme="majorHAnsi" w:cstheme="minorBidi"/>
                                  <w:b/>
                                  <w:bCs/>
                                  <w:color w:val="1F3864" w:themeColor="accent1" w:themeShade="80"/>
                                  <w:sz w:val="16"/>
                                  <w:szCs w:val="16"/>
                                </w:rPr>
                                <w:t>millones</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57A810F1" id="Grupo 1" o:spid="_x0000_s1040" style="position:absolute;left:0;text-align:left;margin-left:304.95pt;margin-top:7pt;width:139.45pt;height:124.35pt;z-index:251677696;mso-width-relative:margin;mso-height-relative:margin" coordorigin="33718,4631" coordsize="18031,1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">
                <v:rect id="Rectángulo 30" o:spid="_x0000_s1041" style="position:absolute;left:44735;top:9746;width:641;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" fillcolor="#1f3763 [1604]" strokecolor="#1f3763 [1604]" strokeweight="1pt"/>
                <v:rect id="Rectángulo 31" o:spid="_x0000_s1042" style="position:absolute;left:40670;top:9604;width:640;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" fillcolor="#1f3763 [1604]" strokecolor="#1f3763 [1604]" strokeweight="1pt"/>
                <v:shape id="CuadroTexto 1" o:spid="_x0000_s1043" type="#_x0000_t202" style="position:absolute;left:33718;top:19542;width:10846;height: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01384B9"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 xml:space="preserve">PROYECCIÓN </w:t>
                        </w:r>
                      </w:p>
                      <w:p w14:paraId="47D791E9"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2024</w:t>
                        </w:r>
                      </w:p>
                    </w:txbxContent>
                  </v:textbox>
                </v:shape>
                <v:shape id="CuadroTexto 1" o:spid="_x0000_s1044" type="#_x0000_t202" style="position:absolute;left:42481;top:19542;width:8538;height: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0976B71"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DICIEMBRE  2024</w:t>
                        </w:r>
                      </w:p>
                    </w:txbxContent>
                  </v:textbox>
                </v:shape>
                <v:shape id="CuadroTexto 1" o:spid="_x0000_s1045" type="#_x0000_t202" style="position:absolute;left:42354;top:5048;width:9395;height: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7396000"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USD 229,95</w:t>
                        </w:r>
                      </w:p>
                      <w:p w14:paraId="7F24B08B"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millones</w:t>
                        </w:r>
                      </w:p>
                    </w:txbxContent>
                  </v:textbox>
                </v:shape>
                <v:shape id="CuadroTexto 1" o:spid="_x0000_s1046" type="#_x0000_t202" style="position:absolute;left:35340;top:4631;width:939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72BE764" w14:textId="77777777" w:rsidR="00941411" w:rsidRPr="007B0CD8" w:rsidRDefault="00941411" w:rsidP="00BF001E">
                        <w:pPr>
                          <w:pStyle w:val="NormalWeb"/>
                          <w:spacing w:before="0" w:beforeAutospacing="0" w:after="0" w:afterAutospacing="0"/>
                          <w:jc w:val="center"/>
                          <w:rPr>
                            <w:sz w:val="16"/>
                            <w:szCs w:val="16"/>
                          </w:rPr>
                        </w:pPr>
                        <w:r w:rsidRPr="007B0CD8">
                          <w:rPr>
                            <w:rFonts w:asciiTheme="minorHAnsi" w:hAnsi="Calibri" w:cstheme="minorBidi"/>
                            <w:b/>
                            <w:bCs/>
                            <w:color w:val="1F3864" w:themeColor="accent1" w:themeShade="80"/>
                            <w:sz w:val="16"/>
                            <w:szCs w:val="16"/>
                          </w:rPr>
                          <w:t xml:space="preserve">USD 227,77 </w:t>
                        </w:r>
                        <w:r w:rsidRPr="007B0CD8">
                          <w:rPr>
                            <w:rFonts w:asciiTheme="majorHAnsi" w:hAnsiTheme="majorHAnsi" w:cstheme="minorBidi"/>
                            <w:b/>
                            <w:bCs/>
                            <w:color w:val="1F3864" w:themeColor="accent1" w:themeShade="80"/>
                            <w:sz w:val="16"/>
                            <w:szCs w:val="16"/>
                          </w:rPr>
                          <w:t>millones</w:t>
                        </w:r>
                      </w:p>
                    </w:txbxContent>
                  </v:textbox>
                </v:shape>
              </v:group>
            </w:pict>
          </mc:Fallback>
        </mc:AlternateContent>
      </w:r>
      <w:r w:rsidRPr="004E30A3">
        <w:rPr>
          <w:rFonts w:ascii="Calibri Light" w:eastAsia="Calibri Light" w:hAnsi="Calibri Light" w:cs="Calibri Light"/>
          <w:noProof/>
          <w:sz w:val="22"/>
          <w:szCs w:val="22"/>
          <w:lang w:val="es-ES"/>
        </w:rPr>
        <w:drawing>
          <wp:inline distT="0" distB="0" distL="0" distR="0" wp14:anchorId="19E65B63" wp14:editId="358DBF0F">
            <wp:extent cx="5047329" cy="1685925"/>
            <wp:effectExtent l="0" t="0" r="1270" b="0"/>
            <wp:docPr id="450" name="Gráfico 450">
              <a:extLst xmlns:a="http://schemas.openxmlformats.org/drawingml/2006/main">
                <a:ext uri="{FF2B5EF4-FFF2-40B4-BE49-F238E27FC236}">
                  <a16:creationId xmlns:a16="http://schemas.microsoft.com/office/drawing/2014/main" id="{00000000-0008-0000-1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DBCDC06" w14:textId="77777777" w:rsidR="00BF001E" w:rsidRPr="00D4678F" w:rsidRDefault="00BF001E" w:rsidP="00BF001E">
      <w:pPr>
        <w:jc w:val="center"/>
        <w:rPr>
          <w:rFonts w:ascii="Calibri Light" w:hAnsi="Calibri Light" w:cs="Calibri Light"/>
          <w:i/>
          <w:sz w:val="16"/>
          <w:szCs w:val="16"/>
        </w:rPr>
      </w:pPr>
      <w:r w:rsidRPr="00D4678F">
        <w:rPr>
          <w:rFonts w:ascii="Calibri Light" w:hAnsi="Calibri Light" w:cs="Calibri Light"/>
          <w:i/>
          <w:color w:val="7E7E7E"/>
          <w:sz w:val="16"/>
          <w:szCs w:val="16"/>
        </w:rPr>
        <w:t>Fuente:</w:t>
      </w:r>
      <w:r w:rsidRPr="00D4678F">
        <w:rPr>
          <w:rFonts w:ascii="Calibri Light" w:hAnsi="Calibri Light" w:cs="Calibri Light"/>
          <w:i/>
          <w:color w:val="7E7E7E"/>
          <w:spacing w:val="-6"/>
          <w:sz w:val="16"/>
          <w:szCs w:val="16"/>
        </w:rPr>
        <w:t xml:space="preserve"> </w:t>
      </w:r>
      <w:r w:rsidRPr="00D4678F">
        <w:rPr>
          <w:rFonts w:ascii="Calibri Light" w:hAnsi="Calibri Light" w:cs="Calibri Light"/>
          <w:i/>
          <w:color w:val="7E7E7E"/>
          <w:sz w:val="16"/>
          <w:szCs w:val="16"/>
        </w:rPr>
        <w:t>Servicio de Rentas Internas</w:t>
      </w:r>
    </w:p>
    <w:p w14:paraId="21517972" w14:textId="77777777" w:rsidR="00BF001E" w:rsidRPr="00D4678F" w:rsidRDefault="00BF001E" w:rsidP="00BF001E">
      <w:pPr>
        <w:jc w:val="center"/>
        <w:rPr>
          <w:rFonts w:ascii="Calibri Light" w:hAnsi="Calibri Light" w:cs="Calibri Light"/>
          <w:i/>
          <w:sz w:val="16"/>
          <w:szCs w:val="16"/>
        </w:rPr>
      </w:pPr>
      <w:r w:rsidRPr="00D4678F">
        <w:rPr>
          <w:rFonts w:ascii="Calibri Light" w:hAnsi="Calibri Light" w:cs="Calibri Light"/>
          <w:i/>
          <w:color w:val="7E7E7E"/>
          <w:sz w:val="16"/>
          <w:szCs w:val="16"/>
        </w:rPr>
        <w:t>Elaborado</w:t>
      </w:r>
      <w:r w:rsidRPr="00D4678F">
        <w:rPr>
          <w:rFonts w:ascii="Calibri Light" w:hAnsi="Calibri Light" w:cs="Calibri Light"/>
          <w:i/>
          <w:color w:val="7E7E7E"/>
          <w:spacing w:val="-8"/>
          <w:sz w:val="16"/>
          <w:szCs w:val="16"/>
        </w:rPr>
        <w:t xml:space="preserve"> </w:t>
      </w:r>
      <w:r w:rsidRPr="00D4678F">
        <w:rPr>
          <w:rFonts w:ascii="Calibri Light" w:hAnsi="Calibri Light" w:cs="Calibri Light"/>
          <w:i/>
          <w:color w:val="7E7E7E"/>
          <w:sz w:val="16"/>
          <w:szCs w:val="16"/>
        </w:rPr>
        <w:t>por:</w:t>
      </w:r>
      <w:r w:rsidRPr="00D4678F">
        <w:rPr>
          <w:rFonts w:ascii="Calibri Light" w:hAnsi="Calibri Light" w:cs="Calibri Light"/>
          <w:i/>
          <w:color w:val="7E7E7E"/>
          <w:spacing w:val="-6"/>
          <w:sz w:val="16"/>
          <w:szCs w:val="16"/>
        </w:rPr>
        <w:t xml:space="preserve"> </w:t>
      </w:r>
      <w:r w:rsidRPr="00D4678F">
        <w:rPr>
          <w:rFonts w:ascii="Calibri Light" w:hAnsi="Calibri Light" w:cs="Calibri Light"/>
          <w:i/>
          <w:color w:val="7E7E7E"/>
          <w:sz w:val="16"/>
          <w:szCs w:val="16"/>
        </w:rPr>
        <w:t>Dirección</w:t>
      </w:r>
      <w:r w:rsidRPr="00D4678F">
        <w:rPr>
          <w:rFonts w:ascii="Calibri Light" w:hAnsi="Calibri Light" w:cs="Calibri Light"/>
          <w:i/>
          <w:color w:val="7E7E7E"/>
          <w:spacing w:val="-8"/>
          <w:sz w:val="16"/>
          <w:szCs w:val="16"/>
        </w:rPr>
        <w:t xml:space="preserve"> </w:t>
      </w:r>
      <w:r w:rsidRPr="00D4678F">
        <w:rPr>
          <w:rFonts w:ascii="Calibri Light" w:hAnsi="Calibri Light" w:cs="Calibri Light"/>
          <w:i/>
          <w:color w:val="7E7E7E"/>
          <w:sz w:val="16"/>
          <w:szCs w:val="16"/>
        </w:rPr>
        <w:t>de</w:t>
      </w:r>
      <w:r w:rsidRPr="00D4678F">
        <w:rPr>
          <w:rFonts w:ascii="Calibri Light" w:hAnsi="Calibri Light" w:cs="Calibri Light"/>
          <w:i/>
          <w:color w:val="7E7E7E"/>
          <w:spacing w:val="-7"/>
          <w:sz w:val="16"/>
          <w:szCs w:val="16"/>
        </w:rPr>
        <w:t xml:space="preserve"> </w:t>
      </w:r>
      <w:r w:rsidRPr="00D4678F">
        <w:rPr>
          <w:rFonts w:ascii="Calibri Light" w:hAnsi="Calibri Light" w:cs="Calibri Light"/>
          <w:i/>
          <w:color w:val="7E7E7E"/>
          <w:sz w:val="16"/>
          <w:szCs w:val="16"/>
        </w:rPr>
        <w:t>Información</w:t>
      </w:r>
      <w:r w:rsidRPr="00D4678F">
        <w:rPr>
          <w:rFonts w:ascii="Calibri Light" w:hAnsi="Calibri Light" w:cs="Calibri Light"/>
          <w:i/>
          <w:color w:val="7E7E7E"/>
          <w:spacing w:val="-8"/>
          <w:sz w:val="16"/>
          <w:szCs w:val="16"/>
        </w:rPr>
        <w:t xml:space="preserve"> </w:t>
      </w:r>
      <w:r w:rsidRPr="00D4678F">
        <w:rPr>
          <w:rFonts w:ascii="Calibri Light" w:hAnsi="Calibri Light" w:cs="Calibri Light"/>
          <w:i/>
          <w:color w:val="7E7E7E"/>
          <w:sz w:val="16"/>
          <w:szCs w:val="16"/>
        </w:rPr>
        <w:t>y</w:t>
      </w:r>
      <w:r w:rsidRPr="00D4678F">
        <w:rPr>
          <w:rFonts w:ascii="Calibri Light" w:hAnsi="Calibri Light" w:cs="Calibri Light"/>
          <w:i/>
          <w:color w:val="7E7E7E"/>
          <w:spacing w:val="-5"/>
          <w:sz w:val="16"/>
          <w:szCs w:val="16"/>
        </w:rPr>
        <w:t xml:space="preserve"> </w:t>
      </w:r>
      <w:r w:rsidRPr="00D4678F">
        <w:rPr>
          <w:rFonts w:ascii="Calibri Light" w:hAnsi="Calibri Light" w:cs="Calibri Light"/>
          <w:i/>
          <w:color w:val="7E7E7E"/>
          <w:sz w:val="16"/>
          <w:szCs w:val="16"/>
        </w:rPr>
        <w:t>Transparencia</w:t>
      </w:r>
      <w:r w:rsidRPr="00D4678F">
        <w:rPr>
          <w:rFonts w:ascii="Calibri Light" w:hAnsi="Calibri Light" w:cs="Calibri Light"/>
          <w:i/>
          <w:color w:val="7E7E7E"/>
          <w:spacing w:val="-8"/>
          <w:sz w:val="16"/>
          <w:szCs w:val="16"/>
        </w:rPr>
        <w:t xml:space="preserve"> </w:t>
      </w:r>
      <w:r w:rsidRPr="00D4678F">
        <w:rPr>
          <w:rFonts w:ascii="Calibri Light" w:hAnsi="Calibri Light" w:cs="Calibri Light"/>
          <w:i/>
          <w:color w:val="7E7E7E"/>
          <w:sz w:val="16"/>
          <w:szCs w:val="16"/>
        </w:rPr>
        <w:t>de</w:t>
      </w:r>
      <w:r w:rsidRPr="00D4678F">
        <w:rPr>
          <w:rFonts w:ascii="Calibri Light" w:hAnsi="Calibri Light" w:cs="Calibri Light"/>
          <w:i/>
          <w:color w:val="7E7E7E"/>
          <w:spacing w:val="-4"/>
          <w:sz w:val="16"/>
          <w:szCs w:val="16"/>
        </w:rPr>
        <w:t xml:space="preserve"> </w:t>
      </w:r>
      <w:r w:rsidRPr="00D4678F">
        <w:rPr>
          <w:rFonts w:ascii="Calibri Light" w:hAnsi="Calibri Light" w:cs="Calibri Light"/>
          <w:i/>
          <w:color w:val="7E7E7E"/>
          <w:sz w:val="16"/>
          <w:szCs w:val="16"/>
        </w:rPr>
        <w:t>las</w:t>
      </w:r>
      <w:r w:rsidRPr="00D4678F">
        <w:rPr>
          <w:rFonts w:ascii="Calibri Light" w:hAnsi="Calibri Light" w:cs="Calibri Light"/>
          <w:i/>
          <w:color w:val="7E7E7E"/>
          <w:spacing w:val="-8"/>
          <w:sz w:val="16"/>
          <w:szCs w:val="16"/>
        </w:rPr>
        <w:t xml:space="preserve"> </w:t>
      </w:r>
      <w:r w:rsidRPr="00D4678F">
        <w:rPr>
          <w:rFonts w:ascii="Calibri Light" w:hAnsi="Calibri Light" w:cs="Calibri Light"/>
          <w:i/>
          <w:color w:val="7E7E7E"/>
          <w:sz w:val="16"/>
          <w:szCs w:val="16"/>
        </w:rPr>
        <w:t>Actividades</w:t>
      </w:r>
      <w:r w:rsidRPr="00D4678F">
        <w:rPr>
          <w:rFonts w:ascii="Calibri Light" w:hAnsi="Calibri Light" w:cs="Calibri Light"/>
          <w:i/>
          <w:color w:val="7E7E7E"/>
          <w:spacing w:val="-7"/>
          <w:sz w:val="16"/>
          <w:szCs w:val="16"/>
        </w:rPr>
        <w:t xml:space="preserve"> </w:t>
      </w:r>
      <w:r w:rsidRPr="00D4678F">
        <w:rPr>
          <w:rFonts w:ascii="Calibri Light" w:hAnsi="Calibri Light" w:cs="Calibri Light"/>
          <w:i/>
          <w:color w:val="7E7E7E"/>
          <w:spacing w:val="-2"/>
          <w:sz w:val="16"/>
          <w:szCs w:val="16"/>
        </w:rPr>
        <w:t>Mineras</w:t>
      </w:r>
    </w:p>
    <w:p w14:paraId="4DACC4C8" w14:textId="77777777" w:rsidR="00BF001E" w:rsidRPr="004E30A3" w:rsidRDefault="00BF001E" w:rsidP="00BF001E">
      <w:pPr>
        <w:jc w:val="both"/>
        <w:rPr>
          <w:rFonts w:ascii="Calibri Light" w:eastAsia="Calibri Light" w:hAnsi="Calibri Light" w:cs="Calibri Light"/>
          <w:sz w:val="22"/>
          <w:szCs w:val="22"/>
          <w:lang w:val="es-ES"/>
        </w:rPr>
      </w:pPr>
    </w:p>
    <w:p w14:paraId="78061999" w14:textId="77777777" w:rsidR="00BF001E" w:rsidRPr="00213F2B" w:rsidRDefault="00BF001E" w:rsidP="00A10C9C">
      <w:pPr>
        <w:pStyle w:val="Ttulo4"/>
        <w:rPr>
          <w:rFonts w:eastAsia="Calibri Light"/>
          <w:i w:val="0"/>
          <w:sz w:val="22"/>
          <w:szCs w:val="22"/>
          <w:lang w:val="es-ES"/>
        </w:rPr>
      </w:pPr>
      <w:r w:rsidRPr="00213F2B">
        <w:rPr>
          <w:rFonts w:eastAsia="Calibri Light"/>
          <w:i w:val="0"/>
          <w:sz w:val="22"/>
          <w:szCs w:val="22"/>
          <w:lang w:val="es-ES"/>
        </w:rPr>
        <w:t xml:space="preserve">Meta 2: Incrementar las exportaciones mineras de USD 2.775 millones en el año 2022 a USD 3.515 millones al 2025 </w:t>
      </w:r>
    </w:p>
    <w:p w14:paraId="1D1106D5" w14:textId="77777777" w:rsidR="00BF001E" w:rsidRPr="004E30A3" w:rsidRDefault="00BF001E" w:rsidP="00BF001E">
      <w:pPr>
        <w:jc w:val="both"/>
        <w:rPr>
          <w:rFonts w:ascii="Calibri Light" w:eastAsia="Calibri Light" w:hAnsi="Calibri Light" w:cs="Calibri Light"/>
          <w:sz w:val="22"/>
          <w:szCs w:val="22"/>
          <w:lang w:val="es-ES"/>
        </w:rPr>
      </w:pPr>
    </w:p>
    <w:p w14:paraId="3173EA9F" w14:textId="298AA9FD" w:rsidR="00BF001E" w:rsidRPr="00A10C9C" w:rsidRDefault="00BF001E" w:rsidP="00A10C9C">
      <w:pPr>
        <w:jc w:val="both"/>
        <w:rPr>
          <w:rFonts w:ascii="Calibri Light" w:eastAsia="Calibri Light" w:hAnsi="Calibri Light" w:cs="Calibri Light"/>
          <w:sz w:val="22"/>
          <w:szCs w:val="22"/>
          <w:lang w:val="es-ES"/>
        </w:rPr>
      </w:pPr>
      <w:r w:rsidRPr="00514253">
        <w:rPr>
          <w:rFonts w:ascii="Calibri Light" w:eastAsia="Calibri Light" w:hAnsi="Calibri Light" w:cs="Calibri Light"/>
          <w:sz w:val="22"/>
          <w:szCs w:val="22"/>
          <w:lang w:val="es-ES"/>
        </w:rPr>
        <w:t xml:space="preserve">Según el BCE, entre enero y </w:t>
      </w:r>
      <w:r>
        <w:rPr>
          <w:rFonts w:ascii="Calibri Light" w:eastAsia="Calibri Light" w:hAnsi="Calibri Light" w:cs="Calibri Light"/>
          <w:sz w:val="22"/>
          <w:szCs w:val="22"/>
          <w:lang w:val="es-ES"/>
        </w:rPr>
        <w:t>diciembre</w:t>
      </w:r>
      <w:r w:rsidRPr="00514253">
        <w:rPr>
          <w:rFonts w:ascii="Calibri Light" w:eastAsia="Calibri Light" w:hAnsi="Calibri Light" w:cs="Calibri Light"/>
          <w:sz w:val="22"/>
          <w:szCs w:val="22"/>
          <w:lang w:val="es-ES"/>
        </w:rPr>
        <w:t xml:space="preserve"> 202</w:t>
      </w:r>
      <w:r>
        <w:rPr>
          <w:rFonts w:ascii="Calibri Light" w:eastAsia="Calibri Light" w:hAnsi="Calibri Light" w:cs="Calibri Light"/>
          <w:sz w:val="22"/>
          <w:szCs w:val="22"/>
          <w:lang w:val="es-ES"/>
        </w:rPr>
        <w:t>4</w:t>
      </w:r>
      <w:r w:rsidRPr="00514253">
        <w:rPr>
          <w:rFonts w:ascii="Calibri Light" w:eastAsia="Calibri Light" w:hAnsi="Calibri Light" w:cs="Calibri Light"/>
          <w:sz w:val="22"/>
          <w:szCs w:val="22"/>
          <w:lang w:val="es-ES"/>
        </w:rPr>
        <w:t>, se han exportado USD 3.</w:t>
      </w:r>
      <w:r>
        <w:rPr>
          <w:rFonts w:ascii="Calibri Light" w:eastAsia="Calibri Light" w:hAnsi="Calibri Light" w:cs="Calibri Light"/>
          <w:sz w:val="22"/>
          <w:szCs w:val="22"/>
          <w:lang w:val="es-ES"/>
        </w:rPr>
        <w:t>074</w:t>
      </w:r>
      <w:r w:rsidRPr="00514253">
        <w:rPr>
          <w:rFonts w:ascii="Calibri Light" w:eastAsia="Calibri Light" w:hAnsi="Calibri Light" w:cs="Calibri Light"/>
          <w:sz w:val="22"/>
          <w:szCs w:val="22"/>
          <w:lang w:val="es-ES"/>
        </w:rPr>
        <w:t>,</w:t>
      </w:r>
      <w:r>
        <w:rPr>
          <w:rFonts w:ascii="Calibri Light" w:eastAsia="Calibri Light" w:hAnsi="Calibri Light" w:cs="Calibri Light"/>
          <w:sz w:val="22"/>
          <w:szCs w:val="22"/>
          <w:lang w:val="es-ES"/>
        </w:rPr>
        <w:t>85</w:t>
      </w:r>
      <w:r w:rsidRPr="00514253">
        <w:rPr>
          <w:rFonts w:ascii="Calibri Light" w:eastAsia="Calibri Light" w:hAnsi="Calibri Light" w:cs="Calibri Light"/>
          <w:sz w:val="22"/>
          <w:szCs w:val="22"/>
          <w:lang w:val="es-ES"/>
        </w:rPr>
        <w:t xml:space="preserve"> millones de productos mineros, </w:t>
      </w:r>
      <w:r>
        <w:rPr>
          <w:rFonts w:ascii="Calibri Light" w:eastAsia="Calibri Light" w:hAnsi="Calibri Light" w:cs="Calibri Light"/>
          <w:sz w:val="22"/>
          <w:szCs w:val="22"/>
          <w:lang w:val="es-ES"/>
        </w:rPr>
        <w:t>7,51</w:t>
      </w:r>
      <w:r w:rsidRPr="00514253">
        <w:rPr>
          <w:rFonts w:ascii="Calibri Light" w:eastAsia="Calibri Light" w:hAnsi="Calibri Light" w:cs="Calibri Light"/>
          <w:sz w:val="22"/>
          <w:szCs w:val="22"/>
          <w:lang w:val="es-ES"/>
        </w:rPr>
        <w:t xml:space="preserve"> </w:t>
      </w:r>
      <w:r>
        <w:rPr>
          <w:rFonts w:ascii="Calibri Light" w:eastAsia="Calibri Light" w:hAnsi="Calibri Light" w:cs="Calibri Light"/>
          <w:sz w:val="22"/>
          <w:szCs w:val="22"/>
          <w:lang w:val="es-ES"/>
        </w:rPr>
        <w:t>inferior a</w:t>
      </w:r>
      <w:r w:rsidRPr="00514253">
        <w:rPr>
          <w:rFonts w:ascii="Calibri Light" w:eastAsia="Calibri Light" w:hAnsi="Calibri Light" w:cs="Calibri Light"/>
          <w:sz w:val="22"/>
          <w:szCs w:val="22"/>
          <w:lang w:val="es-ES"/>
        </w:rPr>
        <w:t xml:space="preserve"> lo exportado en el mismo periodo del 202</w:t>
      </w:r>
      <w:r>
        <w:rPr>
          <w:rFonts w:ascii="Calibri Light" w:eastAsia="Calibri Light" w:hAnsi="Calibri Light" w:cs="Calibri Light"/>
          <w:sz w:val="22"/>
          <w:szCs w:val="22"/>
          <w:lang w:val="es-ES"/>
        </w:rPr>
        <w:t>3</w:t>
      </w:r>
      <w:r w:rsidRPr="00514253">
        <w:rPr>
          <w:rFonts w:ascii="Calibri Light" w:eastAsia="Calibri Light" w:hAnsi="Calibri Light" w:cs="Calibri Light"/>
          <w:sz w:val="22"/>
          <w:szCs w:val="22"/>
          <w:lang w:val="es-ES"/>
        </w:rPr>
        <w:t xml:space="preserve"> siendo el </w:t>
      </w:r>
      <w:r>
        <w:rPr>
          <w:rFonts w:ascii="Calibri Light" w:eastAsia="Calibri Light" w:hAnsi="Calibri Light" w:cs="Calibri Light"/>
          <w:sz w:val="22"/>
          <w:szCs w:val="22"/>
          <w:lang w:val="es-ES"/>
        </w:rPr>
        <w:t>quinto</w:t>
      </w:r>
      <w:r w:rsidRPr="00514253">
        <w:rPr>
          <w:rFonts w:ascii="Calibri Light" w:eastAsia="Calibri Light" w:hAnsi="Calibri Light" w:cs="Calibri Light"/>
          <w:sz w:val="22"/>
          <w:szCs w:val="22"/>
          <w:lang w:val="es-ES"/>
        </w:rPr>
        <w:t xml:space="preserve"> rubro más exportado de la economía nacional, </w:t>
      </w:r>
      <w:r>
        <w:rPr>
          <w:rFonts w:ascii="Calibri Light" w:eastAsia="Calibri Light" w:hAnsi="Calibri Light" w:cs="Calibri Light"/>
          <w:sz w:val="22"/>
          <w:szCs w:val="22"/>
          <w:lang w:val="es-ES"/>
        </w:rPr>
        <w:t>cuarto</w:t>
      </w:r>
      <w:r w:rsidRPr="00514253">
        <w:rPr>
          <w:rFonts w:ascii="Calibri Light" w:eastAsia="Calibri Light" w:hAnsi="Calibri Light" w:cs="Calibri Light"/>
          <w:sz w:val="22"/>
          <w:szCs w:val="22"/>
          <w:lang w:val="es-ES"/>
        </w:rPr>
        <w:t xml:space="preserve"> rubro de exportaciones no petroleras y primer rubro de exportaciones no tradicionales y representando el </w:t>
      </w:r>
      <w:r>
        <w:rPr>
          <w:rFonts w:ascii="Calibri Light" w:eastAsia="Calibri Light" w:hAnsi="Calibri Light" w:cs="Calibri Light"/>
          <w:sz w:val="22"/>
          <w:szCs w:val="22"/>
          <w:lang w:val="es-ES"/>
        </w:rPr>
        <w:t>8</w:t>
      </w:r>
      <w:r w:rsidRPr="00514253">
        <w:rPr>
          <w:rFonts w:ascii="Calibri Light" w:eastAsia="Calibri Light" w:hAnsi="Calibri Light" w:cs="Calibri Light"/>
          <w:sz w:val="22"/>
          <w:szCs w:val="22"/>
          <w:lang w:val="es-ES"/>
        </w:rPr>
        <w:t>,</w:t>
      </w:r>
      <w:r>
        <w:rPr>
          <w:rFonts w:ascii="Calibri Light" w:eastAsia="Calibri Light" w:hAnsi="Calibri Light" w:cs="Calibri Light"/>
          <w:sz w:val="22"/>
          <w:szCs w:val="22"/>
          <w:lang w:val="es-ES"/>
        </w:rPr>
        <w:t>93</w:t>
      </w:r>
      <w:r w:rsidRPr="00514253">
        <w:rPr>
          <w:rFonts w:ascii="Calibri Light" w:eastAsia="Calibri Light" w:hAnsi="Calibri Light" w:cs="Calibri Light"/>
          <w:sz w:val="22"/>
          <w:szCs w:val="22"/>
          <w:lang w:val="es-ES"/>
        </w:rPr>
        <w:t>% de las exportaciones totales, detrás de Petróleo Crudo, Camarón y Banano y Plátano</w:t>
      </w:r>
    </w:p>
    <w:p w14:paraId="46FCB2D3" w14:textId="77777777" w:rsidR="00BF001E" w:rsidRDefault="00BF001E" w:rsidP="00BF001E">
      <w:pPr>
        <w:pStyle w:val="Descripcin"/>
      </w:pPr>
    </w:p>
    <w:p w14:paraId="6765130E" w14:textId="0B3FE84F" w:rsidR="00BF001E" w:rsidRPr="00D4678F" w:rsidRDefault="00BF001E" w:rsidP="00BF001E">
      <w:pPr>
        <w:pStyle w:val="Descripcin"/>
        <w:rPr>
          <w:rFonts w:asciiTheme="majorHAnsi" w:eastAsia="Calibri Light" w:hAnsiTheme="majorHAnsi" w:cstheme="majorHAnsi"/>
          <w:i w:val="0"/>
          <w:iCs w:val="0"/>
          <w:color w:val="auto"/>
          <w:sz w:val="22"/>
          <w:szCs w:val="22"/>
          <w:lang w:val="es-ES"/>
        </w:rPr>
      </w:pPr>
      <w:bookmarkStart w:id="258" w:name="_Toc198821631"/>
      <w:bookmarkStart w:id="259" w:name="_Toc199757579"/>
      <w:r w:rsidRPr="00D4678F">
        <w:rPr>
          <w:rFonts w:asciiTheme="majorHAnsi" w:hAnsiTheme="majorHAnsi" w:cstheme="majorHAnsi"/>
        </w:rPr>
        <w:t xml:space="preserve">Ilustración </w:t>
      </w:r>
      <w:r w:rsidR="00E7589F" w:rsidRPr="00D4678F">
        <w:rPr>
          <w:rFonts w:asciiTheme="majorHAnsi" w:hAnsiTheme="majorHAnsi" w:cstheme="majorHAnsi"/>
        </w:rPr>
        <w:fldChar w:fldCharType="begin"/>
      </w:r>
      <w:r w:rsidR="00E7589F" w:rsidRPr="00D4678F">
        <w:rPr>
          <w:rFonts w:asciiTheme="majorHAnsi" w:hAnsiTheme="majorHAnsi" w:cstheme="majorHAnsi"/>
        </w:rPr>
        <w:instrText xml:space="preserve"> SEQ Ilustración \* ARABIC </w:instrText>
      </w:r>
      <w:r w:rsidR="00E7589F" w:rsidRPr="00D4678F">
        <w:rPr>
          <w:rFonts w:asciiTheme="majorHAnsi" w:hAnsiTheme="majorHAnsi" w:cstheme="majorHAnsi"/>
        </w:rPr>
        <w:fldChar w:fldCharType="separate"/>
      </w:r>
      <w:r w:rsidR="00E30DD7" w:rsidRPr="00D4678F">
        <w:rPr>
          <w:rFonts w:asciiTheme="majorHAnsi" w:hAnsiTheme="majorHAnsi" w:cstheme="majorHAnsi"/>
          <w:noProof/>
        </w:rPr>
        <w:t>6</w:t>
      </w:r>
      <w:r w:rsidR="00E7589F" w:rsidRPr="00D4678F">
        <w:rPr>
          <w:rFonts w:asciiTheme="majorHAnsi" w:hAnsiTheme="majorHAnsi" w:cstheme="majorHAnsi"/>
        </w:rPr>
        <w:fldChar w:fldCharType="end"/>
      </w:r>
      <w:r w:rsidRPr="00D4678F">
        <w:rPr>
          <w:rFonts w:asciiTheme="majorHAnsi" w:hAnsiTheme="majorHAnsi" w:cstheme="majorHAnsi"/>
        </w:rPr>
        <w:t>: Exportaciones 2024</w:t>
      </w:r>
      <w:bookmarkEnd w:id="258"/>
      <w:bookmarkEnd w:id="259"/>
    </w:p>
    <w:p w14:paraId="2B98E817" w14:textId="77777777" w:rsidR="00BF001E" w:rsidRPr="004E30A3" w:rsidRDefault="00BF001E" w:rsidP="00FD1FAB">
      <w:pPr>
        <w:jc w:val="center"/>
        <w:rPr>
          <w:rFonts w:ascii="Calibri Light" w:eastAsia="Calibri Light" w:hAnsi="Calibri Light" w:cs="Calibri Light"/>
          <w:sz w:val="22"/>
          <w:szCs w:val="22"/>
          <w:lang w:val="es-ES"/>
        </w:rPr>
      </w:pPr>
      <w:r w:rsidRPr="004E30A3">
        <w:rPr>
          <w:rFonts w:ascii="Calibri Light" w:eastAsia="Calibri Light" w:hAnsi="Calibri Light" w:cs="Calibri Light"/>
          <w:noProof/>
          <w:sz w:val="22"/>
          <w:szCs w:val="22"/>
          <w:lang w:val="es-ES"/>
        </w:rPr>
        <w:drawing>
          <wp:inline distT="0" distB="0" distL="0" distR="0" wp14:anchorId="58BCFEFC" wp14:editId="0984D55C">
            <wp:extent cx="4386226" cy="3333115"/>
            <wp:effectExtent l="0" t="0" r="0" b="635"/>
            <wp:docPr id="451" name="Gráfico 451">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0C7254" w14:textId="77777777" w:rsidR="00BF001E" w:rsidRPr="007B0CD8" w:rsidRDefault="00BF001E" w:rsidP="00BF001E">
      <w:pPr>
        <w:jc w:val="center"/>
        <w:rPr>
          <w:rFonts w:ascii="Calibri Light" w:hAnsi="Calibri Light" w:cs="Calibri Light"/>
          <w:i/>
          <w:color w:val="7E7E7E"/>
          <w:sz w:val="16"/>
          <w:szCs w:val="16"/>
        </w:rPr>
      </w:pPr>
      <w:r w:rsidRPr="007B0CD8">
        <w:rPr>
          <w:rFonts w:ascii="Calibri Light" w:hAnsi="Calibri Light" w:cs="Calibri Light"/>
          <w:i/>
          <w:color w:val="7E7E7E"/>
          <w:sz w:val="16"/>
          <w:szCs w:val="16"/>
        </w:rPr>
        <w:t>Fuente: Banco Central del Ecuador</w:t>
      </w:r>
    </w:p>
    <w:p w14:paraId="0C8ACE4B" w14:textId="77777777" w:rsidR="00BF001E" w:rsidRPr="007B0CD8" w:rsidRDefault="00BF001E" w:rsidP="00BF001E">
      <w:pPr>
        <w:jc w:val="center"/>
        <w:rPr>
          <w:rFonts w:ascii="Calibri Light" w:hAnsi="Calibri Light" w:cs="Calibri Light"/>
          <w:i/>
          <w:color w:val="7E7E7E"/>
          <w:sz w:val="16"/>
          <w:szCs w:val="16"/>
        </w:rPr>
      </w:pPr>
      <w:r w:rsidRPr="007B0CD8">
        <w:rPr>
          <w:rFonts w:ascii="Calibri Light" w:hAnsi="Calibri Light" w:cs="Calibri Light"/>
          <w:i/>
          <w:color w:val="7E7E7E"/>
          <w:sz w:val="16"/>
          <w:szCs w:val="16"/>
        </w:rPr>
        <w:t>Elaborado por: Dirección de Información y Transparencia de las Actividades Mineras</w:t>
      </w:r>
    </w:p>
    <w:p w14:paraId="397D26BC" w14:textId="77777777" w:rsidR="00BF001E" w:rsidRDefault="00BF001E" w:rsidP="00BF001E">
      <w:pPr>
        <w:jc w:val="both"/>
        <w:rPr>
          <w:rFonts w:ascii="Calibri Light" w:eastAsia="Calibri Light" w:hAnsi="Calibri Light" w:cs="Calibri Light"/>
          <w:sz w:val="22"/>
          <w:szCs w:val="22"/>
          <w:lang w:val="es-ES"/>
        </w:rPr>
      </w:pPr>
    </w:p>
    <w:p w14:paraId="7EE6A0C2" w14:textId="49DE1E4B" w:rsidR="00D4678F" w:rsidRDefault="00BF001E" w:rsidP="00BF001E">
      <w:pPr>
        <w:jc w:val="both"/>
        <w:rPr>
          <w:rFonts w:ascii="Calibri Light" w:eastAsia="Calibri Light" w:hAnsi="Calibri Light" w:cs="Calibri Light"/>
          <w:sz w:val="22"/>
          <w:szCs w:val="22"/>
          <w:lang w:val="es-ES"/>
        </w:rPr>
      </w:pPr>
      <w:r w:rsidRPr="00514253">
        <w:rPr>
          <w:rFonts w:ascii="Calibri Light" w:eastAsia="Calibri Light" w:hAnsi="Calibri Light" w:cs="Calibri Light"/>
          <w:sz w:val="22"/>
          <w:szCs w:val="22"/>
          <w:lang w:val="es-ES"/>
        </w:rPr>
        <w:t>Para el 202</w:t>
      </w:r>
      <w:r>
        <w:rPr>
          <w:rFonts w:ascii="Calibri Light" w:eastAsia="Calibri Light" w:hAnsi="Calibri Light" w:cs="Calibri Light"/>
          <w:sz w:val="22"/>
          <w:szCs w:val="22"/>
          <w:lang w:val="es-ES"/>
        </w:rPr>
        <w:t>4</w:t>
      </w:r>
      <w:r w:rsidRPr="00514253">
        <w:rPr>
          <w:rFonts w:ascii="Calibri Light" w:eastAsia="Calibri Light" w:hAnsi="Calibri Light" w:cs="Calibri Light"/>
          <w:sz w:val="22"/>
          <w:szCs w:val="22"/>
          <w:lang w:val="es-ES"/>
        </w:rPr>
        <w:t xml:space="preserve"> se proyectó una exportación minera por un valor de USD </w:t>
      </w:r>
      <w:r>
        <w:rPr>
          <w:rFonts w:ascii="Calibri Light" w:eastAsia="Calibri Light" w:hAnsi="Calibri Light" w:cs="Calibri Light"/>
          <w:sz w:val="22"/>
          <w:szCs w:val="22"/>
          <w:lang w:val="es-ES"/>
        </w:rPr>
        <w:t>3</w:t>
      </w:r>
      <w:r w:rsidRPr="00514253">
        <w:rPr>
          <w:rFonts w:ascii="Calibri Light" w:eastAsia="Calibri Light" w:hAnsi="Calibri Light" w:cs="Calibri Light"/>
          <w:sz w:val="22"/>
          <w:szCs w:val="22"/>
          <w:lang w:val="es-ES"/>
        </w:rPr>
        <w:t>.</w:t>
      </w:r>
      <w:r>
        <w:rPr>
          <w:rFonts w:ascii="Calibri Light" w:eastAsia="Calibri Light" w:hAnsi="Calibri Light" w:cs="Calibri Light"/>
          <w:sz w:val="22"/>
          <w:szCs w:val="22"/>
          <w:lang w:val="es-ES"/>
        </w:rPr>
        <w:t>374</w:t>
      </w:r>
      <w:r w:rsidRPr="00514253">
        <w:rPr>
          <w:rFonts w:ascii="Calibri Light" w:eastAsia="Calibri Light" w:hAnsi="Calibri Light" w:cs="Calibri Light"/>
          <w:sz w:val="22"/>
          <w:szCs w:val="22"/>
          <w:lang w:val="es-ES"/>
        </w:rPr>
        <w:t xml:space="preserve"> Millones, y </w:t>
      </w:r>
      <w:r>
        <w:rPr>
          <w:rFonts w:ascii="Calibri Light" w:eastAsia="Calibri Light" w:hAnsi="Calibri Light" w:cs="Calibri Light"/>
          <w:sz w:val="22"/>
          <w:szCs w:val="22"/>
          <w:lang w:val="es-ES"/>
        </w:rPr>
        <w:t>hasta diciembre</w:t>
      </w:r>
      <w:r w:rsidRPr="00514253">
        <w:rPr>
          <w:rFonts w:ascii="Calibri Light" w:eastAsia="Calibri Light" w:hAnsi="Calibri Light" w:cs="Calibri Light"/>
          <w:sz w:val="22"/>
          <w:szCs w:val="22"/>
          <w:lang w:val="es-ES"/>
        </w:rPr>
        <w:t xml:space="preserve"> de 202</w:t>
      </w:r>
      <w:r>
        <w:rPr>
          <w:rFonts w:ascii="Calibri Light" w:eastAsia="Calibri Light" w:hAnsi="Calibri Light" w:cs="Calibri Light"/>
          <w:sz w:val="22"/>
          <w:szCs w:val="22"/>
          <w:lang w:val="es-ES"/>
        </w:rPr>
        <w:t>4</w:t>
      </w:r>
      <w:r w:rsidRPr="00514253">
        <w:rPr>
          <w:rFonts w:ascii="Calibri Light" w:eastAsia="Calibri Light" w:hAnsi="Calibri Light" w:cs="Calibri Light"/>
          <w:sz w:val="22"/>
          <w:szCs w:val="22"/>
          <w:lang w:val="es-ES"/>
        </w:rPr>
        <w:t xml:space="preserve"> se registró un valor de USD 3.0</w:t>
      </w:r>
      <w:r>
        <w:rPr>
          <w:rFonts w:ascii="Calibri Light" w:eastAsia="Calibri Light" w:hAnsi="Calibri Light" w:cs="Calibri Light"/>
          <w:sz w:val="22"/>
          <w:szCs w:val="22"/>
          <w:lang w:val="es-ES"/>
        </w:rPr>
        <w:t>74</w:t>
      </w:r>
      <w:r w:rsidRPr="00514253">
        <w:rPr>
          <w:rFonts w:ascii="Calibri Light" w:eastAsia="Calibri Light" w:hAnsi="Calibri Light" w:cs="Calibri Light"/>
          <w:sz w:val="22"/>
          <w:szCs w:val="22"/>
          <w:lang w:val="es-ES"/>
        </w:rPr>
        <w:t>,</w:t>
      </w:r>
      <w:r>
        <w:rPr>
          <w:rFonts w:ascii="Calibri Light" w:eastAsia="Calibri Light" w:hAnsi="Calibri Light" w:cs="Calibri Light"/>
          <w:sz w:val="22"/>
          <w:szCs w:val="22"/>
          <w:lang w:val="es-ES"/>
        </w:rPr>
        <w:t>85 m</w:t>
      </w:r>
      <w:r w:rsidRPr="00514253">
        <w:rPr>
          <w:rFonts w:ascii="Calibri Light" w:eastAsia="Calibri Light" w:hAnsi="Calibri Light" w:cs="Calibri Light"/>
          <w:sz w:val="22"/>
          <w:szCs w:val="22"/>
          <w:lang w:val="es-ES"/>
        </w:rPr>
        <w:t xml:space="preserve">illones por exportaciones mineras.  Sin embargo, la meta </w:t>
      </w:r>
      <w:r>
        <w:rPr>
          <w:rFonts w:ascii="Calibri Light" w:eastAsia="Calibri Light" w:hAnsi="Calibri Light" w:cs="Calibri Light"/>
          <w:sz w:val="22"/>
          <w:szCs w:val="22"/>
          <w:lang w:val="es-ES"/>
        </w:rPr>
        <w:t>solo se cumplió en un 91,13</w:t>
      </w:r>
      <w:r w:rsidR="007B0CD8">
        <w:rPr>
          <w:rFonts w:ascii="Calibri Light" w:eastAsia="Calibri Light" w:hAnsi="Calibri Light" w:cs="Calibri Light"/>
          <w:sz w:val="22"/>
          <w:szCs w:val="22"/>
          <w:lang w:val="es-ES"/>
        </w:rPr>
        <w:t>.</w:t>
      </w:r>
    </w:p>
    <w:p w14:paraId="5A98412C" w14:textId="1890B236" w:rsidR="00BF001E" w:rsidRPr="004867E3" w:rsidRDefault="00BF001E" w:rsidP="00BF001E">
      <w:pPr>
        <w:jc w:val="both"/>
        <w:rPr>
          <w:rFonts w:ascii="Calibri Light" w:eastAsia="Calibri Light" w:hAnsi="Calibri Light" w:cs="Calibri Light"/>
          <w:sz w:val="22"/>
          <w:szCs w:val="22"/>
          <w:lang w:val="es-ES"/>
        </w:rPr>
      </w:pPr>
    </w:p>
    <w:p w14:paraId="1E090F6D" w14:textId="364E3F72" w:rsidR="00BF001E" w:rsidRDefault="00D4678F" w:rsidP="00BF001E">
      <w:pPr>
        <w:pStyle w:val="Descripcin"/>
        <w:rPr>
          <w:spacing w:val="-2"/>
        </w:rPr>
      </w:pPr>
      <w:bookmarkStart w:id="260" w:name="_Toc196745270"/>
      <w:bookmarkStart w:id="261" w:name="_Toc198821632"/>
      <w:bookmarkStart w:id="262" w:name="_Toc199757580"/>
      <w:r>
        <w:rPr>
          <w:noProof/>
        </w:rPr>
        <w:lastRenderedPageBreak/>
        <mc:AlternateContent>
          <mc:Choice Requires="wpg">
            <w:drawing>
              <wp:anchor distT="0" distB="0" distL="114300" distR="114300" simplePos="0" relativeHeight="251678720" behindDoc="0" locked="0" layoutInCell="1" allowOverlap="1" wp14:anchorId="3939D629" wp14:editId="1851FD7D">
                <wp:simplePos x="0" y="0"/>
                <wp:positionH relativeFrom="margin">
                  <wp:posOffset>-3689</wp:posOffset>
                </wp:positionH>
                <wp:positionV relativeFrom="paragraph">
                  <wp:posOffset>112315</wp:posOffset>
                </wp:positionV>
                <wp:extent cx="5335929" cy="1886673"/>
                <wp:effectExtent l="0" t="0" r="0" b="0"/>
                <wp:wrapNone/>
                <wp:docPr id="36" name="Grupo 36"/>
                <wp:cNvGraphicFramePr/>
                <a:graphic xmlns:a="http://schemas.openxmlformats.org/drawingml/2006/main">
                  <a:graphicData uri="http://schemas.microsoft.com/office/word/2010/wordprocessingGroup">
                    <wpg:wgp>
                      <wpg:cNvGrpSpPr/>
                      <wpg:grpSpPr>
                        <a:xfrm>
                          <a:off x="0" y="0"/>
                          <a:ext cx="5335929" cy="1886673"/>
                          <a:chOff x="0" y="0"/>
                          <a:chExt cx="4624908" cy="2736850"/>
                        </a:xfrm>
                      </wpg:grpSpPr>
                      <wpg:grpSp>
                        <wpg:cNvPr id="37" name="Grupo 37"/>
                        <wpg:cNvGrpSpPr/>
                        <wpg:grpSpPr>
                          <a:xfrm>
                            <a:off x="0" y="0"/>
                            <a:ext cx="4624908" cy="2736850"/>
                            <a:chOff x="0" y="0"/>
                            <a:chExt cx="4624908" cy="2736850"/>
                          </a:xfrm>
                        </wpg:grpSpPr>
                        <wpg:grpSp>
                          <wpg:cNvPr id="38" name="Grupo 2">
                            <a:extLst/>
                          </wpg:cNvPr>
                          <wpg:cNvGrpSpPr/>
                          <wpg:grpSpPr>
                            <a:xfrm>
                              <a:off x="0" y="0"/>
                              <a:ext cx="4624908" cy="2736850"/>
                              <a:chOff x="0" y="0"/>
                              <a:chExt cx="4624921" cy="2743200"/>
                            </a:xfrm>
                          </wpg:grpSpPr>
                          <wpg:graphicFrame>
                            <wpg:cNvPr id="39" name="Gráfico 39">
                              <a:extLst/>
                            </wpg:cNvPr>
                            <wpg:cNvFrPr/>
                            <wpg:xfrm>
                              <a:off x="0" y="0"/>
                              <a:ext cx="4572000" cy="2743200"/>
                            </wpg:xfrm>
                            <a:graphic>
                              <a:graphicData uri="http://schemas.openxmlformats.org/drawingml/2006/chart">
                                <c:chart xmlns:c="http://schemas.openxmlformats.org/drawingml/2006/chart" xmlns:r="http://schemas.openxmlformats.org/officeDocument/2006/relationships" r:id="rId44"/>
                              </a:graphicData>
                            </a:graphic>
                          </wpg:graphicFrame>
                          <wps:wsp>
                            <wps:cNvPr id="40" name="Conector recto 40">
                              <a:extLst/>
                            </wps:cNvPr>
                            <wps:cNvCnPr/>
                            <wps:spPr>
                              <a:xfrm>
                                <a:off x="3685012" y="672695"/>
                                <a:ext cx="19050" cy="1095375"/>
                              </a:xfrm>
                              <a:prstGeom prst="line">
                                <a:avLst/>
                              </a:prstGeom>
                              <a:ln w="57150">
                                <a:noFill/>
                              </a:ln>
                            </wps:spPr>
                            <wps:style>
                              <a:lnRef idx="1">
                                <a:schemeClr val="accent1"/>
                              </a:lnRef>
                              <a:fillRef idx="0">
                                <a:schemeClr val="accent1"/>
                              </a:fillRef>
                              <a:effectRef idx="0">
                                <a:schemeClr val="accent1"/>
                              </a:effectRef>
                              <a:fontRef idx="minor">
                                <a:schemeClr val="tx1"/>
                              </a:fontRef>
                            </wps:style>
                            <wps:bodyPr/>
                          </wps:wsp>
                          <wps:wsp>
                            <wps:cNvPr id="41" name="Conector recto 41">
                              <a:extLst/>
                            </wps:cNvPr>
                            <wps:cNvCnPr/>
                            <wps:spPr>
                              <a:xfrm>
                                <a:off x="4042793" y="707270"/>
                                <a:ext cx="9525" cy="1066800"/>
                              </a:xfrm>
                              <a:prstGeom prst="line">
                                <a:avLst/>
                              </a:prstGeom>
                              <a:ln w="57150">
                                <a:noFill/>
                              </a:ln>
                            </wps:spPr>
                            <wps:style>
                              <a:lnRef idx="1">
                                <a:schemeClr val="accent1"/>
                              </a:lnRef>
                              <a:fillRef idx="0">
                                <a:schemeClr val="accent1"/>
                              </a:fillRef>
                              <a:effectRef idx="0">
                                <a:schemeClr val="accent1"/>
                              </a:effectRef>
                              <a:fontRef idx="minor">
                                <a:schemeClr val="tx1"/>
                              </a:fontRef>
                            </wps:style>
                            <wps:bodyPr/>
                          </wps:wsp>
                          <wps:wsp>
                            <wps:cNvPr id="50" name="CuadroTexto 1">
                              <a:extLst/>
                            </wps:cNvPr>
                            <wps:cNvSpPr txBox="1"/>
                            <wps:spPr>
                              <a:xfrm>
                                <a:off x="1333783" y="112222"/>
                                <a:ext cx="954244" cy="595049"/>
                              </a:xfrm>
                              <a:prstGeom prst="rect">
                                <a:avLst/>
                              </a:prstGeom>
                              <a:ln>
                                <a:noFill/>
                              </a:ln>
                            </wps:spPr>
                            <wps:txbx>
                              <w:txbxContent>
                                <w:p w14:paraId="291A0A41"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Ene - Dic</w:t>
                                  </w:r>
                                </w:p>
                                <w:p w14:paraId="67081D0D"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2024</w:t>
                                  </w:r>
                                </w:p>
                              </w:txbxContent>
                            </wps:txbx>
                            <wps:bodyPr wrap="square" rtlCol="0"/>
                          </wps:wsp>
                          <wps:wsp>
                            <wps:cNvPr id="51" name="CuadroTexto 1">
                              <a:extLst/>
                            </wps:cNvPr>
                            <wps:cNvSpPr txBox="1"/>
                            <wps:spPr>
                              <a:xfrm>
                                <a:off x="3577171" y="1843087"/>
                                <a:ext cx="1047750" cy="600854"/>
                              </a:xfrm>
                              <a:prstGeom prst="rect">
                                <a:avLst/>
                              </a:prstGeom>
                              <a:ln>
                                <a:noFill/>
                              </a:ln>
                            </wps:spPr>
                            <wps:txbx>
                              <w:txbxContent>
                                <w:p w14:paraId="2D018864"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USD 3.374,00</w:t>
                                  </w:r>
                                </w:p>
                                <w:p w14:paraId="2EDA3E05"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millones</w:t>
                                  </w:r>
                                </w:p>
                              </w:txbxContent>
                            </wps:txbx>
                            <wps:bodyPr wrap="square" rtlCol="0"/>
                          </wps:wsp>
                          <wps:wsp>
                            <wps:cNvPr id="52" name="CuadroTexto 1">
                              <a:extLst/>
                            </wps:cNvPr>
                            <wps:cNvSpPr txBox="1"/>
                            <wps:spPr>
                              <a:xfrm>
                                <a:off x="535532" y="1717790"/>
                                <a:ext cx="2266352" cy="726151"/>
                              </a:xfrm>
                              <a:prstGeom prst="rect">
                                <a:avLst/>
                              </a:prstGeom>
                              <a:ln>
                                <a:noFill/>
                              </a:ln>
                            </wps:spPr>
                            <wps:txbx>
                              <w:txbxContent>
                                <w:p w14:paraId="1B9D47DB"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USD 3.074,85</w:t>
                                  </w:r>
                                </w:p>
                                <w:p w14:paraId="7BDA6A08"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millones</w:t>
                                  </w:r>
                                </w:p>
                              </w:txbxContent>
                            </wps:txbx>
                            <wps:bodyPr wrap="square" rtlCol="0"/>
                          </wps:wsp>
                        </wpg:grpSp>
                        <wps:wsp>
                          <wps:cNvPr id="53" name="Conector recto 7">
                            <a:extLst/>
                          </wps:cNvPr>
                          <wps:cNvCnPr/>
                          <wps:spPr>
                            <a:xfrm>
                              <a:off x="3705225" y="676275"/>
                              <a:ext cx="9525" cy="1064331"/>
                            </a:xfrm>
                            <a:prstGeom prst="line">
                              <a:avLst/>
                            </a:prstGeom>
                            <a:ln w="571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4" name="Conector recto 7">
                            <a:extLst/>
                          </wps:cNvPr>
                          <wps:cNvCnPr/>
                          <wps:spPr>
                            <a:xfrm>
                              <a:off x="4048125" y="704850"/>
                              <a:ext cx="9525" cy="1064331"/>
                            </a:xfrm>
                            <a:prstGeom prst="line">
                              <a:avLst/>
                            </a:prstGeom>
                            <a:ln w="571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5" name="Conector recto de flecha 12">
                          <a:extLst/>
                        </wps:cNvPr>
                        <wps:cNvCnPr/>
                        <wps:spPr>
                          <a:xfrm flipH="1">
                            <a:off x="161925" y="590550"/>
                            <a:ext cx="1172210" cy="0"/>
                          </a:xfrm>
                          <a:prstGeom prst="straightConnector1">
                            <a:avLst/>
                          </a:prstGeom>
                          <a:ln>
                            <a:solidFill>
                              <a:schemeClr val="accent5">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Conector recto de flecha 15">
                          <a:extLst/>
                        </wps:cNvPr>
                        <wps:cNvCnPr/>
                        <wps:spPr>
                          <a:xfrm flipV="1">
                            <a:off x="2190750" y="571500"/>
                            <a:ext cx="1152000" cy="0"/>
                          </a:xfrm>
                          <a:prstGeom prst="straightConnector1">
                            <a:avLst/>
                          </a:prstGeom>
                          <a:ln>
                            <a:solidFill>
                              <a:schemeClr val="accent5">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39D629" id="Grupo 36" o:spid="_x0000_s1047" style="position:absolute;left:0;text-align:left;margin-left:-.3pt;margin-top:8.85pt;width:420.15pt;height:148.55pt;z-index:251678720;mso-position-horizontal-relative:margin;mso-width-relative:margin;mso-height-relative:margin" coordsize="46249,27368" o:gfxdata="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">
                <v:group id="Grupo 37" o:spid="_x0000_s1048" style="position:absolute;width:46249;height:27368" coordsize="46249,2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upo 2" o:spid="_x0000_s1049" style="position:absolute;width:46249;height:27368" coordsize="4624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39" o:spid="_x0000_s1050" type="#_x0000_t75" style="position:absolute;width:45704;height:27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">
                      <v:imagedata r:id="rId45" o:title=""/>
                      <o:lock v:ext="edit" aspectratio="f"/>
                    </v:shape>
                    <v:line id="Conector recto 40" o:spid="_x0000_s1051" style="position:absolute;visibility:visible;mso-wrap-style:square" from="36850,6726" to="37040,1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" stroked="f" strokeweight="4.5pt">
                      <v:stroke joinstyle="miter"/>
                    </v:line>
                    <v:line id="Conector recto 41" o:spid="_x0000_s1052" style="position:absolute;visibility:visible;mso-wrap-style:square" from="40427,7072" to="40523,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" stroked="f" strokeweight="4.5pt">
                      <v:stroke joinstyle="miter"/>
                    </v:line>
                    <v:shape id="CuadroTexto 1" o:spid="_x0000_s1053" type="#_x0000_t202" style="position:absolute;left:13337;top:1122;width:9543;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291A0A41"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Ene - Dic</w:t>
                            </w:r>
                          </w:p>
                          <w:p w14:paraId="67081D0D"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2024</w:t>
                            </w:r>
                          </w:p>
                        </w:txbxContent>
                      </v:textbox>
                    </v:shape>
                    <v:shape id="CuadroTexto 1" o:spid="_x0000_s1054" type="#_x0000_t202" style="position:absolute;left:35771;top:18430;width:10478;height:6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2D018864"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USD 3.374,00</w:t>
                            </w:r>
                          </w:p>
                          <w:p w14:paraId="2EDA3E05"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millones</w:t>
                            </w:r>
                          </w:p>
                        </w:txbxContent>
                      </v:textbox>
                    </v:shape>
                    <v:shape id="CuadroTexto 1" o:spid="_x0000_s1055" type="#_x0000_t202" style="position:absolute;left:5355;top:17177;width:22663;height:7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B9D47DB"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USD 3.074,85</w:t>
                            </w:r>
                          </w:p>
                          <w:p w14:paraId="7BDA6A08" w14:textId="77777777" w:rsidR="00941411" w:rsidRPr="007B0CD8" w:rsidRDefault="00941411" w:rsidP="00BF001E">
                            <w:pPr>
                              <w:pStyle w:val="NormalWeb"/>
                              <w:spacing w:before="0" w:beforeAutospacing="0" w:after="0" w:afterAutospacing="0"/>
                              <w:jc w:val="center"/>
                              <w:rPr>
                                <w:rFonts w:asciiTheme="majorHAnsi" w:hAnsiTheme="majorHAnsi"/>
                                <w:sz w:val="16"/>
                                <w:szCs w:val="16"/>
                              </w:rPr>
                            </w:pPr>
                            <w:r w:rsidRPr="007B0CD8">
                              <w:rPr>
                                <w:rFonts w:asciiTheme="majorHAnsi" w:hAnsiTheme="majorHAnsi" w:cstheme="minorBidi"/>
                                <w:b/>
                                <w:bCs/>
                                <w:color w:val="1F3864" w:themeColor="accent1" w:themeShade="80"/>
                                <w:sz w:val="16"/>
                                <w:szCs w:val="16"/>
                              </w:rPr>
                              <w:t>millones</w:t>
                            </w:r>
                          </w:p>
                        </w:txbxContent>
                      </v:textbox>
                    </v:shape>
                  </v:group>
                  <v:line id="Conector recto 7" o:spid="_x0000_s1056" style="position:absolute;visibility:visible;mso-wrap-style:square" from="37052,6762" to="37147,17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" strokecolor="#1f3763 [1604]" strokeweight="4.5pt">
                    <v:stroke joinstyle="miter"/>
                  </v:line>
                  <v:line id="Conector recto 7" o:spid="_x0000_s1057" style="position:absolute;visibility:visible;mso-wrap-style:square" from="40481,7048" to="40576,1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" strokecolor="#1f3763 [1604]" strokeweight="4.5pt">
                    <v:stroke joinstyle="miter"/>
                  </v:line>
                </v:group>
                <v:shapetype id="_x0000_t32" coordsize="21600,21600" o:spt="32" o:oned="t" path="m,l21600,21600e" filled="f">
                  <v:path arrowok="t" fillok="f" o:connecttype="none"/>
                  <o:lock v:ext="edit" shapetype="t"/>
                </v:shapetype>
                <v:shape id="Conector recto de flecha 12" o:spid="_x0000_s1058" type="#_x0000_t32" style="position:absolute;left:1619;top:5905;width:117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" strokecolor="#9cc2e5 [1944]" strokeweight=".5pt">
                  <v:stroke endarrow="block" joinstyle="miter"/>
                </v:shape>
                <v:shape id="Conector recto de flecha 15" o:spid="_x0000_s1059" type="#_x0000_t32" style="position:absolute;left:21907;top:5715;width:115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" strokecolor="#9cc2e5 [1944]" strokeweight=".5pt">
                  <v:stroke endarrow="block" joinstyle="miter"/>
                </v:shape>
                <w10:wrap anchorx="margin"/>
              </v:group>
            </w:pict>
          </mc:Fallback>
        </mc:AlternateContent>
      </w:r>
      <w:r w:rsidR="00BF001E" w:rsidRPr="00D4678F">
        <w:rPr>
          <w:rFonts w:asciiTheme="majorHAnsi" w:hAnsiTheme="majorHAnsi" w:cstheme="majorHAnsi"/>
        </w:rPr>
        <w:t xml:space="preserve">Ilustración </w:t>
      </w:r>
      <w:r w:rsidR="00E7589F" w:rsidRPr="00D4678F">
        <w:rPr>
          <w:rFonts w:asciiTheme="majorHAnsi" w:hAnsiTheme="majorHAnsi" w:cstheme="majorHAnsi"/>
        </w:rPr>
        <w:fldChar w:fldCharType="begin"/>
      </w:r>
      <w:r w:rsidR="00E7589F" w:rsidRPr="00D4678F">
        <w:rPr>
          <w:rFonts w:asciiTheme="majorHAnsi" w:hAnsiTheme="majorHAnsi" w:cstheme="majorHAnsi"/>
        </w:rPr>
        <w:instrText xml:space="preserve"> SEQ Ilustración \* ARABIC </w:instrText>
      </w:r>
      <w:r w:rsidR="00E7589F" w:rsidRPr="00D4678F">
        <w:rPr>
          <w:rFonts w:asciiTheme="majorHAnsi" w:hAnsiTheme="majorHAnsi" w:cstheme="majorHAnsi"/>
        </w:rPr>
        <w:fldChar w:fldCharType="separate"/>
      </w:r>
      <w:r w:rsidR="00E30DD7" w:rsidRPr="00D4678F">
        <w:rPr>
          <w:rFonts w:asciiTheme="majorHAnsi" w:hAnsiTheme="majorHAnsi" w:cstheme="majorHAnsi"/>
          <w:noProof/>
        </w:rPr>
        <w:t>7</w:t>
      </w:r>
      <w:r w:rsidR="00E7589F" w:rsidRPr="00D4678F">
        <w:rPr>
          <w:rFonts w:asciiTheme="majorHAnsi" w:hAnsiTheme="majorHAnsi" w:cstheme="majorHAnsi"/>
        </w:rPr>
        <w:fldChar w:fldCharType="end"/>
      </w:r>
      <w:r w:rsidR="00BF001E" w:rsidRPr="00D4678F">
        <w:rPr>
          <w:rFonts w:asciiTheme="majorHAnsi" w:hAnsiTheme="majorHAnsi" w:cstheme="majorHAnsi"/>
        </w:rPr>
        <w:t>: Evaluación de proyecciones mineras 2024 vs exportaciones reales 2024</w:t>
      </w:r>
      <w:r w:rsidR="00BF001E" w:rsidRPr="001717A6">
        <w:rPr>
          <w:rStyle w:val="Refdenotaalpie"/>
          <w:i w:val="0"/>
          <w:color w:val="44536A"/>
          <w:spacing w:val="-2"/>
        </w:rPr>
        <w:footnoteReference w:id="3"/>
      </w:r>
      <w:bookmarkEnd w:id="260"/>
      <w:bookmarkEnd w:id="261"/>
      <w:bookmarkEnd w:id="262"/>
    </w:p>
    <w:p w14:paraId="5CA1854A" w14:textId="431C78AC" w:rsidR="00BF001E" w:rsidRPr="00514253" w:rsidRDefault="00BF001E" w:rsidP="00BF001E">
      <w:pPr>
        <w:pStyle w:val="Descripcin"/>
      </w:pPr>
    </w:p>
    <w:p w14:paraId="3B8346AB" w14:textId="77777777" w:rsidR="00BF001E" w:rsidRDefault="00BF001E" w:rsidP="00BF001E">
      <w:pPr>
        <w:pStyle w:val="Textoindependiente"/>
        <w:jc w:val="both"/>
      </w:pPr>
    </w:p>
    <w:p w14:paraId="363ADF58" w14:textId="77777777" w:rsidR="00BF001E" w:rsidRDefault="00BF001E" w:rsidP="00BF001E">
      <w:pPr>
        <w:pStyle w:val="Textoindependiente"/>
        <w:jc w:val="both"/>
      </w:pPr>
    </w:p>
    <w:p w14:paraId="0B9708EA" w14:textId="77777777" w:rsidR="00BF001E" w:rsidRDefault="00BF001E" w:rsidP="00BF001E">
      <w:pPr>
        <w:pStyle w:val="Textoindependiente"/>
        <w:jc w:val="both"/>
      </w:pPr>
    </w:p>
    <w:p w14:paraId="3C3DB999" w14:textId="77777777" w:rsidR="00BF001E" w:rsidRDefault="00BF001E" w:rsidP="00BF001E">
      <w:pPr>
        <w:pStyle w:val="Textoindependiente"/>
        <w:jc w:val="both"/>
      </w:pPr>
    </w:p>
    <w:p w14:paraId="2705EC17" w14:textId="77777777" w:rsidR="00BF001E" w:rsidRDefault="00BF001E" w:rsidP="00BF001E">
      <w:pPr>
        <w:pStyle w:val="Textoindependiente"/>
        <w:jc w:val="both"/>
      </w:pPr>
    </w:p>
    <w:p w14:paraId="03929570" w14:textId="77777777" w:rsidR="00BF001E" w:rsidRDefault="00BF001E" w:rsidP="00BF001E">
      <w:pPr>
        <w:pStyle w:val="Textoindependiente"/>
        <w:jc w:val="both"/>
      </w:pPr>
    </w:p>
    <w:p w14:paraId="297BA329" w14:textId="77777777" w:rsidR="00BF001E" w:rsidRDefault="00BF001E" w:rsidP="00BF001E">
      <w:pPr>
        <w:rPr>
          <w:rFonts w:ascii="Calibri Light" w:hAnsi="Calibri Light" w:cs="Calibri Light"/>
          <w:color w:val="7E7E7E"/>
          <w:sz w:val="16"/>
          <w:szCs w:val="16"/>
        </w:rPr>
      </w:pPr>
    </w:p>
    <w:p w14:paraId="072F1B96" w14:textId="77777777" w:rsidR="00BF001E" w:rsidRDefault="00BF001E" w:rsidP="00BF001E">
      <w:pPr>
        <w:jc w:val="center"/>
        <w:rPr>
          <w:rFonts w:ascii="Calibri Light" w:hAnsi="Calibri Light" w:cs="Calibri Light"/>
          <w:color w:val="7E7E7E"/>
          <w:sz w:val="16"/>
          <w:szCs w:val="16"/>
        </w:rPr>
      </w:pPr>
    </w:p>
    <w:p w14:paraId="35420C1B" w14:textId="77777777" w:rsidR="00BF001E" w:rsidRPr="00D4678F" w:rsidRDefault="00BF001E" w:rsidP="00BF001E">
      <w:pPr>
        <w:jc w:val="center"/>
        <w:rPr>
          <w:rFonts w:ascii="Calibri Light" w:hAnsi="Calibri Light" w:cs="Calibri Light"/>
          <w:i/>
          <w:sz w:val="16"/>
          <w:szCs w:val="16"/>
        </w:rPr>
      </w:pPr>
      <w:r w:rsidRPr="00D4678F">
        <w:rPr>
          <w:rFonts w:ascii="Calibri Light" w:hAnsi="Calibri Light" w:cs="Calibri Light"/>
          <w:i/>
          <w:color w:val="7E7E7E"/>
          <w:sz w:val="16"/>
          <w:szCs w:val="16"/>
        </w:rPr>
        <w:t>Fuente:</w:t>
      </w:r>
      <w:r w:rsidRPr="00D4678F">
        <w:rPr>
          <w:rFonts w:ascii="Calibri Light" w:hAnsi="Calibri Light" w:cs="Calibri Light"/>
          <w:i/>
          <w:color w:val="7E7E7E"/>
          <w:spacing w:val="-6"/>
          <w:sz w:val="16"/>
          <w:szCs w:val="16"/>
        </w:rPr>
        <w:t xml:space="preserve"> </w:t>
      </w:r>
      <w:r w:rsidRPr="00D4678F">
        <w:rPr>
          <w:rFonts w:ascii="Calibri Light" w:hAnsi="Calibri Light" w:cs="Calibri Light"/>
          <w:i/>
          <w:color w:val="7E7E7E"/>
          <w:sz w:val="16"/>
          <w:szCs w:val="16"/>
        </w:rPr>
        <w:t>Banco</w:t>
      </w:r>
      <w:r w:rsidRPr="00D4678F">
        <w:rPr>
          <w:rFonts w:ascii="Calibri Light" w:hAnsi="Calibri Light" w:cs="Calibri Light"/>
          <w:i/>
          <w:color w:val="7E7E7E"/>
          <w:spacing w:val="-5"/>
          <w:sz w:val="16"/>
          <w:szCs w:val="16"/>
        </w:rPr>
        <w:t xml:space="preserve"> </w:t>
      </w:r>
      <w:r w:rsidRPr="00D4678F">
        <w:rPr>
          <w:rFonts w:ascii="Calibri Light" w:hAnsi="Calibri Light" w:cs="Calibri Light"/>
          <w:i/>
          <w:color w:val="7E7E7E"/>
          <w:sz w:val="16"/>
          <w:szCs w:val="16"/>
        </w:rPr>
        <w:t>Central</w:t>
      </w:r>
      <w:r w:rsidRPr="00D4678F">
        <w:rPr>
          <w:rFonts w:ascii="Calibri Light" w:hAnsi="Calibri Light" w:cs="Calibri Light"/>
          <w:i/>
          <w:color w:val="7E7E7E"/>
          <w:spacing w:val="-8"/>
          <w:sz w:val="16"/>
          <w:szCs w:val="16"/>
        </w:rPr>
        <w:t xml:space="preserve"> </w:t>
      </w:r>
      <w:r w:rsidRPr="00D4678F">
        <w:rPr>
          <w:rFonts w:ascii="Calibri Light" w:hAnsi="Calibri Light" w:cs="Calibri Light"/>
          <w:i/>
          <w:color w:val="7E7E7E"/>
          <w:sz w:val="16"/>
          <w:szCs w:val="16"/>
        </w:rPr>
        <w:t>del</w:t>
      </w:r>
      <w:r w:rsidRPr="00D4678F">
        <w:rPr>
          <w:rFonts w:ascii="Calibri Light" w:hAnsi="Calibri Light" w:cs="Calibri Light"/>
          <w:i/>
          <w:color w:val="7E7E7E"/>
          <w:spacing w:val="-7"/>
          <w:sz w:val="16"/>
          <w:szCs w:val="16"/>
        </w:rPr>
        <w:t xml:space="preserve"> </w:t>
      </w:r>
      <w:r w:rsidRPr="00D4678F">
        <w:rPr>
          <w:rFonts w:ascii="Calibri Light" w:hAnsi="Calibri Light" w:cs="Calibri Light"/>
          <w:i/>
          <w:color w:val="7E7E7E"/>
          <w:spacing w:val="-2"/>
          <w:sz w:val="16"/>
          <w:szCs w:val="16"/>
        </w:rPr>
        <w:t>Ecuador</w:t>
      </w:r>
    </w:p>
    <w:p w14:paraId="76FED181" w14:textId="0A543A0B" w:rsidR="00BF001E" w:rsidRPr="007B0CD8" w:rsidRDefault="00BF001E" w:rsidP="007B0CD8">
      <w:pPr>
        <w:jc w:val="center"/>
        <w:rPr>
          <w:rFonts w:ascii="Calibri Light" w:hAnsi="Calibri Light" w:cs="Calibri Light"/>
          <w:i/>
          <w:sz w:val="16"/>
          <w:szCs w:val="16"/>
        </w:rPr>
      </w:pPr>
      <w:r w:rsidRPr="00D4678F">
        <w:rPr>
          <w:rFonts w:ascii="Calibri Light" w:hAnsi="Calibri Light" w:cs="Calibri Light"/>
          <w:i/>
          <w:color w:val="7E7E7E"/>
          <w:sz w:val="16"/>
          <w:szCs w:val="16"/>
        </w:rPr>
        <w:t>Elaborado</w:t>
      </w:r>
      <w:r w:rsidRPr="00D4678F">
        <w:rPr>
          <w:rFonts w:ascii="Calibri Light" w:hAnsi="Calibri Light" w:cs="Calibri Light"/>
          <w:i/>
          <w:color w:val="7E7E7E"/>
          <w:spacing w:val="-8"/>
          <w:sz w:val="16"/>
          <w:szCs w:val="16"/>
        </w:rPr>
        <w:t xml:space="preserve"> </w:t>
      </w:r>
      <w:r w:rsidRPr="00D4678F">
        <w:rPr>
          <w:rFonts w:ascii="Calibri Light" w:hAnsi="Calibri Light" w:cs="Calibri Light"/>
          <w:i/>
          <w:color w:val="7E7E7E"/>
          <w:sz w:val="16"/>
          <w:szCs w:val="16"/>
        </w:rPr>
        <w:t>por:</w:t>
      </w:r>
      <w:r w:rsidRPr="00D4678F">
        <w:rPr>
          <w:rFonts w:ascii="Calibri Light" w:hAnsi="Calibri Light" w:cs="Calibri Light"/>
          <w:i/>
          <w:color w:val="7E7E7E"/>
          <w:spacing w:val="-6"/>
          <w:sz w:val="16"/>
          <w:szCs w:val="16"/>
        </w:rPr>
        <w:t xml:space="preserve"> </w:t>
      </w:r>
      <w:r w:rsidRPr="00D4678F">
        <w:rPr>
          <w:rFonts w:ascii="Calibri Light" w:hAnsi="Calibri Light" w:cs="Calibri Light"/>
          <w:i/>
          <w:color w:val="7E7E7E"/>
          <w:sz w:val="16"/>
          <w:szCs w:val="16"/>
        </w:rPr>
        <w:t>Dirección</w:t>
      </w:r>
      <w:r w:rsidRPr="00D4678F">
        <w:rPr>
          <w:rFonts w:ascii="Calibri Light" w:hAnsi="Calibri Light" w:cs="Calibri Light"/>
          <w:i/>
          <w:color w:val="7E7E7E"/>
          <w:spacing w:val="-8"/>
          <w:sz w:val="16"/>
          <w:szCs w:val="16"/>
        </w:rPr>
        <w:t xml:space="preserve"> </w:t>
      </w:r>
      <w:r w:rsidRPr="00D4678F">
        <w:rPr>
          <w:rFonts w:ascii="Calibri Light" w:hAnsi="Calibri Light" w:cs="Calibri Light"/>
          <w:i/>
          <w:color w:val="7E7E7E"/>
          <w:sz w:val="16"/>
          <w:szCs w:val="16"/>
        </w:rPr>
        <w:t>de</w:t>
      </w:r>
      <w:r w:rsidRPr="00D4678F">
        <w:rPr>
          <w:rFonts w:ascii="Calibri Light" w:hAnsi="Calibri Light" w:cs="Calibri Light"/>
          <w:i/>
          <w:color w:val="7E7E7E"/>
          <w:spacing w:val="-7"/>
          <w:sz w:val="16"/>
          <w:szCs w:val="16"/>
        </w:rPr>
        <w:t xml:space="preserve"> </w:t>
      </w:r>
      <w:r w:rsidRPr="00D4678F">
        <w:rPr>
          <w:rFonts w:ascii="Calibri Light" w:hAnsi="Calibri Light" w:cs="Calibri Light"/>
          <w:i/>
          <w:color w:val="7E7E7E"/>
          <w:sz w:val="16"/>
          <w:szCs w:val="16"/>
        </w:rPr>
        <w:t>Información</w:t>
      </w:r>
      <w:r w:rsidRPr="00D4678F">
        <w:rPr>
          <w:rFonts w:ascii="Calibri Light" w:hAnsi="Calibri Light" w:cs="Calibri Light"/>
          <w:i/>
          <w:color w:val="7E7E7E"/>
          <w:spacing w:val="-8"/>
          <w:sz w:val="16"/>
          <w:szCs w:val="16"/>
        </w:rPr>
        <w:t xml:space="preserve"> </w:t>
      </w:r>
      <w:r w:rsidRPr="00D4678F">
        <w:rPr>
          <w:rFonts w:ascii="Calibri Light" w:hAnsi="Calibri Light" w:cs="Calibri Light"/>
          <w:i/>
          <w:color w:val="7E7E7E"/>
          <w:sz w:val="16"/>
          <w:szCs w:val="16"/>
        </w:rPr>
        <w:t>y</w:t>
      </w:r>
      <w:r w:rsidRPr="00D4678F">
        <w:rPr>
          <w:rFonts w:ascii="Calibri Light" w:hAnsi="Calibri Light" w:cs="Calibri Light"/>
          <w:i/>
          <w:color w:val="7E7E7E"/>
          <w:spacing w:val="-5"/>
          <w:sz w:val="16"/>
          <w:szCs w:val="16"/>
        </w:rPr>
        <w:t xml:space="preserve"> </w:t>
      </w:r>
      <w:r w:rsidRPr="00D4678F">
        <w:rPr>
          <w:rFonts w:ascii="Calibri Light" w:hAnsi="Calibri Light" w:cs="Calibri Light"/>
          <w:i/>
          <w:color w:val="7E7E7E"/>
          <w:sz w:val="16"/>
          <w:szCs w:val="16"/>
        </w:rPr>
        <w:t>Transparencia</w:t>
      </w:r>
      <w:r w:rsidRPr="00D4678F">
        <w:rPr>
          <w:rFonts w:ascii="Calibri Light" w:hAnsi="Calibri Light" w:cs="Calibri Light"/>
          <w:i/>
          <w:color w:val="7E7E7E"/>
          <w:spacing w:val="-8"/>
          <w:sz w:val="16"/>
          <w:szCs w:val="16"/>
        </w:rPr>
        <w:t xml:space="preserve"> </w:t>
      </w:r>
      <w:r w:rsidRPr="00D4678F">
        <w:rPr>
          <w:rFonts w:ascii="Calibri Light" w:hAnsi="Calibri Light" w:cs="Calibri Light"/>
          <w:i/>
          <w:color w:val="7E7E7E"/>
          <w:sz w:val="16"/>
          <w:szCs w:val="16"/>
        </w:rPr>
        <w:t>de</w:t>
      </w:r>
      <w:r w:rsidRPr="00D4678F">
        <w:rPr>
          <w:rFonts w:ascii="Calibri Light" w:hAnsi="Calibri Light" w:cs="Calibri Light"/>
          <w:i/>
          <w:color w:val="7E7E7E"/>
          <w:spacing w:val="-4"/>
          <w:sz w:val="16"/>
          <w:szCs w:val="16"/>
        </w:rPr>
        <w:t xml:space="preserve"> </w:t>
      </w:r>
      <w:r w:rsidRPr="00D4678F">
        <w:rPr>
          <w:rFonts w:ascii="Calibri Light" w:hAnsi="Calibri Light" w:cs="Calibri Light"/>
          <w:i/>
          <w:color w:val="7E7E7E"/>
          <w:sz w:val="16"/>
          <w:szCs w:val="16"/>
        </w:rPr>
        <w:t>las</w:t>
      </w:r>
      <w:r w:rsidRPr="00D4678F">
        <w:rPr>
          <w:rFonts w:ascii="Calibri Light" w:hAnsi="Calibri Light" w:cs="Calibri Light"/>
          <w:i/>
          <w:color w:val="7E7E7E"/>
          <w:spacing w:val="-8"/>
          <w:sz w:val="16"/>
          <w:szCs w:val="16"/>
        </w:rPr>
        <w:t xml:space="preserve"> </w:t>
      </w:r>
      <w:r w:rsidRPr="00D4678F">
        <w:rPr>
          <w:rFonts w:ascii="Calibri Light" w:hAnsi="Calibri Light" w:cs="Calibri Light"/>
          <w:i/>
          <w:color w:val="7E7E7E"/>
          <w:sz w:val="16"/>
          <w:szCs w:val="16"/>
        </w:rPr>
        <w:t>Actividades</w:t>
      </w:r>
      <w:r w:rsidRPr="00D4678F">
        <w:rPr>
          <w:rFonts w:ascii="Calibri Light" w:hAnsi="Calibri Light" w:cs="Calibri Light"/>
          <w:i/>
          <w:color w:val="7E7E7E"/>
          <w:spacing w:val="-7"/>
          <w:sz w:val="16"/>
          <w:szCs w:val="16"/>
        </w:rPr>
        <w:t xml:space="preserve"> </w:t>
      </w:r>
      <w:r w:rsidRPr="00D4678F">
        <w:rPr>
          <w:rFonts w:ascii="Calibri Light" w:hAnsi="Calibri Light" w:cs="Calibri Light"/>
          <w:i/>
          <w:color w:val="7E7E7E"/>
          <w:spacing w:val="-2"/>
          <w:sz w:val="16"/>
          <w:szCs w:val="16"/>
        </w:rPr>
        <w:t>Mineras</w:t>
      </w:r>
    </w:p>
    <w:p w14:paraId="22B28B42" w14:textId="6A75FE2B" w:rsidR="00213F2B" w:rsidRDefault="00213F2B" w:rsidP="00FD1FAB">
      <w:bookmarkStart w:id="263" w:name="_Toc197425653"/>
    </w:p>
    <w:p w14:paraId="4BA4AB76" w14:textId="77777777" w:rsidR="00213F2B" w:rsidRPr="00FD1FAB" w:rsidRDefault="00213F2B" w:rsidP="00FD1FAB"/>
    <w:p w14:paraId="28B83568" w14:textId="3CB0E33C" w:rsidR="00BF001E" w:rsidRDefault="00BF001E" w:rsidP="00FD1FAB">
      <w:pPr>
        <w:pStyle w:val="Ttulo2"/>
      </w:pPr>
      <w:bookmarkStart w:id="264" w:name="_Toc199759567"/>
      <w:r w:rsidRPr="005817CB">
        <w:t>Conclusiones</w:t>
      </w:r>
      <w:bookmarkEnd w:id="263"/>
      <w:r w:rsidRPr="005817CB">
        <w:t xml:space="preserve"> </w:t>
      </w:r>
      <w:r w:rsidR="00A10C9C" w:rsidRPr="005817CB">
        <w:t>Sector Minero</w:t>
      </w:r>
      <w:bookmarkEnd w:id="264"/>
    </w:p>
    <w:p w14:paraId="690A3801" w14:textId="77777777" w:rsidR="00FD1FAB" w:rsidRPr="00FD1FAB" w:rsidRDefault="00FD1FAB" w:rsidP="00FD1FAB"/>
    <w:p w14:paraId="2A7FD171" w14:textId="79E4463C" w:rsidR="00BF001E" w:rsidRPr="00A10C9C" w:rsidRDefault="00BF001E" w:rsidP="003E61A1">
      <w:pPr>
        <w:pStyle w:val="Prrafodelista"/>
        <w:numPr>
          <w:ilvl w:val="0"/>
          <w:numId w:val="164"/>
        </w:numPr>
        <w:jc w:val="both"/>
        <w:rPr>
          <w:rStyle w:val="markedcontent"/>
          <w:rFonts w:asciiTheme="majorHAnsi" w:hAnsiTheme="majorHAnsi" w:cstheme="majorHAnsi"/>
          <w:sz w:val="22"/>
          <w:szCs w:val="22"/>
        </w:rPr>
      </w:pPr>
      <w:r w:rsidRPr="00A10C9C">
        <w:rPr>
          <w:rStyle w:val="markedcontent"/>
          <w:rFonts w:asciiTheme="majorHAnsi" w:hAnsiTheme="majorHAnsi" w:cstheme="majorHAnsi"/>
          <w:sz w:val="22"/>
          <w:szCs w:val="22"/>
        </w:rPr>
        <w:t>Con el objetivo de mejorar los procesos de otorgamiento de derechos mineros, la Subsecretaría de Minería Artesanal y Pequeña Minería ha trabajado en la elaboración de la propuesta de reforma normativa al Licencias de Comercialización y Exportación de Sustancias Minerales Metálicas y No Metálicas</w:t>
      </w:r>
    </w:p>
    <w:p w14:paraId="0A6188A0" w14:textId="691E7412" w:rsidR="00BF001E" w:rsidRPr="00A10C9C" w:rsidRDefault="00BF001E" w:rsidP="003E61A1">
      <w:pPr>
        <w:pStyle w:val="Prrafodelista"/>
        <w:numPr>
          <w:ilvl w:val="0"/>
          <w:numId w:val="164"/>
        </w:numPr>
        <w:spacing w:before="120"/>
        <w:jc w:val="both"/>
        <w:rPr>
          <w:rStyle w:val="markedcontent"/>
          <w:rFonts w:asciiTheme="majorHAnsi" w:hAnsiTheme="majorHAnsi" w:cstheme="majorHAnsi"/>
          <w:sz w:val="22"/>
          <w:szCs w:val="22"/>
        </w:rPr>
      </w:pPr>
      <w:r w:rsidRPr="00A10C9C">
        <w:rPr>
          <w:rStyle w:val="markedcontent"/>
          <w:rFonts w:asciiTheme="majorHAnsi" w:hAnsiTheme="majorHAnsi" w:cstheme="majorHAnsi"/>
          <w:sz w:val="22"/>
          <w:szCs w:val="22"/>
        </w:rPr>
        <w:t>A octubre del año 2024, se han atendido un total de 318 trámites, conforme el siguiente detalle: 96 trámites de minería artesanal, 33 trámites de pequeña minería no metálica y 189 trámites de pequeña minería metálica.</w:t>
      </w:r>
    </w:p>
    <w:p w14:paraId="0A6DF79E" w14:textId="0C0B4FE3" w:rsidR="00BF001E" w:rsidRPr="00A10C9C" w:rsidRDefault="00BF001E" w:rsidP="003E61A1">
      <w:pPr>
        <w:pStyle w:val="Prrafodelista"/>
        <w:numPr>
          <w:ilvl w:val="0"/>
          <w:numId w:val="164"/>
        </w:numPr>
        <w:spacing w:before="120"/>
        <w:jc w:val="both"/>
        <w:rPr>
          <w:rStyle w:val="markedcontent"/>
          <w:rFonts w:asciiTheme="majorHAnsi" w:hAnsiTheme="majorHAnsi" w:cstheme="majorHAnsi"/>
          <w:sz w:val="22"/>
          <w:szCs w:val="22"/>
        </w:rPr>
      </w:pPr>
      <w:r w:rsidRPr="00A10C9C">
        <w:rPr>
          <w:rStyle w:val="markedcontent"/>
          <w:rFonts w:asciiTheme="majorHAnsi" w:hAnsiTheme="majorHAnsi" w:cstheme="majorHAnsi"/>
          <w:sz w:val="22"/>
          <w:szCs w:val="22"/>
        </w:rPr>
        <w:t>Durante el año 2024, el Instituto de Investigación Geológico y Energético en conjunto con las Coordinaciones Zonales del Ministerio de Energía y Minas y con la aprobación del Ministerio de Trabajo, ha impartido 22 capacitaciones con un total de 1.312 beneficiarios, entre los cuales se encuentran mineros artesanales y pequeños mineros, titulares, trabajadores, técnicos de concesiones, técnicos de GAD ́s, funcionarios públicos y demás actores mineros dedicados a la actividad extractiva a nivel nacional en Pequeña Minería y Minería Artesanal.</w:t>
      </w:r>
    </w:p>
    <w:p w14:paraId="095F4F22" w14:textId="2B8A7FCB" w:rsidR="00BF001E" w:rsidRPr="00A10C9C" w:rsidRDefault="00BF001E" w:rsidP="003E61A1">
      <w:pPr>
        <w:pStyle w:val="Prrafodelista"/>
        <w:numPr>
          <w:ilvl w:val="0"/>
          <w:numId w:val="164"/>
        </w:numPr>
        <w:spacing w:before="120"/>
        <w:jc w:val="both"/>
        <w:rPr>
          <w:rStyle w:val="markedcontent"/>
          <w:rFonts w:asciiTheme="majorHAnsi" w:hAnsiTheme="majorHAnsi" w:cstheme="majorHAnsi"/>
          <w:sz w:val="22"/>
          <w:szCs w:val="22"/>
        </w:rPr>
      </w:pPr>
      <w:r w:rsidRPr="00A10C9C">
        <w:rPr>
          <w:rStyle w:val="markedcontent"/>
          <w:rFonts w:asciiTheme="majorHAnsi" w:hAnsiTheme="majorHAnsi" w:cstheme="majorHAnsi"/>
          <w:sz w:val="22"/>
          <w:szCs w:val="22"/>
        </w:rPr>
        <w:t xml:space="preserve">Durante el año 2024, la Subsecretaría de Minería Artesanal y Pequeña Minería, ha trabajado en conjunto con MAATE y PNUD en la ejecución de los productos relacionados a minería dentro del “Proyecto GOLD+” como parte del Programa </w:t>
      </w:r>
      <w:proofErr w:type="spellStart"/>
      <w:r w:rsidRPr="00A10C9C">
        <w:rPr>
          <w:rStyle w:val="markedcontent"/>
          <w:rFonts w:asciiTheme="majorHAnsi" w:hAnsiTheme="majorHAnsi" w:cstheme="majorHAnsi"/>
          <w:sz w:val="22"/>
          <w:szCs w:val="22"/>
        </w:rPr>
        <w:t>Planet</w:t>
      </w:r>
      <w:proofErr w:type="spellEnd"/>
      <w:r w:rsidRPr="00A10C9C">
        <w:rPr>
          <w:rStyle w:val="markedcontent"/>
          <w:rFonts w:asciiTheme="majorHAnsi" w:hAnsiTheme="majorHAnsi" w:cstheme="majorHAnsi"/>
          <w:sz w:val="22"/>
          <w:szCs w:val="22"/>
        </w:rPr>
        <w:t xml:space="preserve"> Gold Ecuador.</w:t>
      </w:r>
    </w:p>
    <w:p w14:paraId="3ED65DB9" w14:textId="0380E579" w:rsidR="00BF001E" w:rsidRPr="00A10C9C" w:rsidRDefault="00BF001E" w:rsidP="00DB40CC">
      <w:pPr>
        <w:pStyle w:val="Prrafodelista"/>
        <w:numPr>
          <w:ilvl w:val="0"/>
          <w:numId w:val="164"/>
        </w:numPr>
        <w:spacing w:before="120"/>
        <w:jc w:val="both"/>
        <w:rPr>
          <w:rFonts w:asciiTheme="majorHAnsi" w:hAnsiTheme="majorHAnsi" w:cstheme="majorHAnsi"/>
          <w:sz w:val="22"/>
          <w:szCs w:val="22"/>
        </w:rPr>
      </w:pPr>
      <w:r w:rsidRPr="00A10C9C">
        <w:rPr>
          <w:rStyle w:val="markedcontent"/>
          <w:rFonts w:asciiTheme="majorHAnsi" w:hAnsiTheme="majorHAnsi" w:cstheme="majorHAnsi"/>
          <w:sz w:val="22"/>
          <w:szCs w:val="22"/>
        </w:rPr>
        <w:t>La Subsecretaría de Minería Artesanal y Pequeña Minería ha participado activamente en el marco de la Cooperación y Asistencia Técnica No Reembolsable de la Comisión Económica para América Latina y El Caribe (CEPAL) como parte del Programa MINSUS de la Cooperación Internacional Alemana, para el Viceministerio de Minas.</w:t>
      </w:r>
    </w:p>
    <w:p w14:paraId="79B5D41E" w14:textId="57599E94" w:rsidR="00BF001E" w:rsidRPr="00A10C9C" w:rsidRDefault="00BF001E" w:rsidP="003E61A1">
      <w:pPr>
        <w:pStyle w:val="Prrafodelista"/>
        <w:numPr>
          <w:ilvl w:val="0"/>
          <w:numId w:val="164"/>
        </w:numPr>
        <w:spacing w:before="120"/>
        <w:jc w:val="both"/>
        <w:rPr>
          <w:rStyle w:val="markedcontent"/>
          <w:sz w:val="22"/>
          <w:szCs w:val="22"/>
        </w:rPr>
      </w:pPr>
      <w:r w:rsidRPr="00A10C9C">
        <w:rPr>
          <w:rStyle w:val="markedcontent"/>
          <w:rFonts w:asciiTheme="majorHAnsi" w:hAnsiTheme="majorHAnsi" w:cstheme="majorHAnsi"/>
          <w:sz w:val="22"/>
          <w:szCs w:val="22"/>
        </w:rPr>
        <w:t>Desde la emisión de la Circular Nro.</w:t>
      </w:r>
      <w:r w:rsidRPr="00A10C9C">
        <w:rPr>
          <w:rStyle w:val="markedcontent"/>
          <w:sz w:val="22"/>
          <w:szCs w:val="22"/>
        </w:rPr>
        <w:t xml:space="preserve"> </w:t>
      </w:r>
      <w:r w:rsidRPr="00A10C9C">
        <w:rPr>
          <w:rStyle w:val="markedcontent"/>
          <w:rFonts w:asciiTheme="majorHAnsi" w:hAnsiTheme="majorHAnsi" w:cstheme="majorHAnsi"/>
          <w:sz w:val="22"/>
          <w:szCs w:val="22"/>
        </w:rPr>
        <w:t xml:space="preserve">MEM-MEM-2024-0004-CIR de 10 de mayo de 2024 y las disposiciones emitidas por el Viceministerio de Minas, durante el año 2024 la Subsecretaría de Minería Artesanal y Pequeña Minería, ha emitido un total de 155 informes de admisibilidad técnica como parte de los procesos de otorgamiento, administración y extinción de derechos mineros. </w:t>
      </w:r>
    </w:p>
    <w:p w14:paraId="7EE9F817" w14:textId="6B41E822" w:rsidR="00BF001E" w:rsidRPr="00A10C9C" w:rsidRDefault="00BF001E" w:rsidP="003E61A1">
      <w:pPr>
        <w:pStyle w:val="Prrafodelista"/>
        <w:numPr>
          <w:ilvl w:val="0"/>
          <w:numId w:val="164"/>
        </w:numPr>
        <w:spacing w:before="120"/>
        <w:jc w:val="both"/>
        <w:rPr>
          <w:rStyle w:val="markedcontent"/>
          <w:rFonts w:asciiTheme="majorHAnsi" w:hAnsiTheme="majorHAnsi" w:cstheme="majorHAnsi"/>
          <w:sz w:val="22"/>
          <w:szCs w:val="22"/>
        </w:rPr>
      </w:pPr>
      <w:r w:rsidRPr="00A10C9C">
        <w:rPr>
          <w:rStyle w:val="markedcontent"/>
          <w:rFonts w:asciiTheme="majorHAnsi" w:hAnsiTheme="majorHAnsi" w:cstheme="majorHAnsi"/>
          <w:sz w:val="22"/>
          <w:szCs w:val="22"/>
        </w:rPr>
        <w:t>Para el año 2024 se proyectó un valor de exportaciones mineras de USD 3.374 millones. Al cierre de diciembre, se alcanzó un total de USD 3.074,85 millones, lo que representa un cumplimiento del 91,13% de la meta anual.</w:t>
      </w:r>
    </w:p>
    <w:p w14:paraId="5B5D7D20" w14:textId="68307004" w:rsidR="00192E54" w:rsidRPr="00941411" w:rsidRDefault="00BF001E" w:rsidP="00192E54">
      <w:pPr>
        <w:pStyle w:val="Prrafodelista"/>
        <w:numPr>
          <w:ilvl w:val="0"/>
          <w:numId w:val="164"/>
        </w:numPr>
        <w:spacing w:before="120"/>
        <w:jc w:val="both"/>
        <w:rPr>
          <w:rFonts w:asciiTheme="majorHAnsi" w:hAnsiTheme="majorHAnsi" w:cstheme="majorHAnsi"/>
          <w:sz w:val="22"/>
          <w:szCs w:val="22"/>
        </w:rPr>
      </w:pPr>
      <w:r w:rsidRPr="00A10C9C">
        <w:rPr>
          <w:rStyle w:val="markedcontent"/>
          <w:rFonts w:asciiTheme="majorHAnsi" w:hAnsiTheme="majorHAnsi" w:cstheme="majorHAnsi"/>
          <w:sz w:val="22"/>
          <w:szCs w:val="22"/>
        </w:rPr>
        <w:t xml:space="preserve">En relación con la recaudación específica de impuestos mineros —incluyendo patente de conservación, regalías (anticipadas y regulares) y utilidades mineras— se registró un </w:t>
      </w:r>
      <w:r w:rsidRPr="00A10C9C">
        <w:rPr>
          <w:rStyle w:val="markedcontent"/>
          <w:rFonts w:asciiTheme="majorHAnsi" w:hAnsiTheme="majorHAnsi" w:cstheme="majorHAnsi"/>
          <w:sz w:val="22"/>
          <w:szCs w:val="22"/>
        </w:rPr>
        <w:lastRenderedPageBreak/>
        <w:t>ingreso total de USD 227,92 millones. Esta cifra superó en un 100,96% lo estimado para el año, evidenciando un desempeño fiscal significativamente superior al esperado.</w:t>
      </w:r>
    </w:p>
    <w:p w14:paraId="6110F732" w14:textId="1F856417" w:rsidR="00192E54" w:rsidRPr="00941411" w:rsidRDefault="00192E54" w:rsidP="00941411">
      <w:pPr>
        <w:pStyle w:val="Ttulo1"/>
        <w:rPr>
          <w:sz w:val="24"/>
          <w:szCs w:val="24"/>
        </w:rPr>
      </w:pPr>
      <w:bookmarkStart w:id="265" w:name="_Toc199759568"/>
      <w:r w:rsidRPr="00941411">
        <w:rPr>
          <w:rFonts w:cstheme="majorHAnsi"/>
          <w:sz w:val="24"/>
          <w:szCs w:val="24"/>
        </w:rPr>
        <w:t>Sector Electricidad (</w:t>
      </w:r>
      <w:bookmarkStart w:id="266" w:name="_Toc197355894"/>
      <w:bookmarkStart w:id="267" w:name="_Toc198110310"/>
      <w:r w:rsidRPr="00941411">
        <w:rPr>
          <w:sz w:val="24"/>
          <w:szCs w:val="24"/>
        </w:rPr>
        <w:t>Gestión Viceministerial de Electricidad y Energía Renovable</w:t>
      </w:r>
      <w:bookmarkEnd w:id="266"/>
      <w:bookmarkEnd w:id="267"/>
      <w:r w:rsidRPr="00941411">
        <w:rPr>
          <w:rFonts w:cstheme="majorHAnsi"/>
          <w:sz w:val="24"/>
          <w:szCs w:val="24"/>
        </w:rPr>
        <w:t>)</w:t>
      </w:r>
      <w:bookmarkEnd w:id="265"/>
    </w:p>
    <w:p w14:paraId="34F9DB5E" w14:textId="77777777" w:rsidR="00201D11" w:rsidRPr="00201D11" w:rsidRDefault="00201D11" w:rsidP="00201D11"/>
    <w:p w14:paraId="6BE7E45D" w14:textId="77777777" w:rsidR="00C420E7" w:rsidRPr="00941411" w:rsidRDefault="00C420E7" w:rsidP="00941411">
      <w:pPr>
        <w:pStyle w:val="Ttulo2"/>
        <w:rPr>
          <w:sz w:val="22"/>
          <w:szCs w:val="22"/>
        </w:rPr>
      </w:pPr>
      <w:bookmarkStart w:id="268" w:name="_Toc198110311"/>
      <w:bookmarkStart w:id="269" w:name="_Toc199759569"/>
      <w:r w:rsidRPr="00941411">
        <w:rPr>
          <w:sz w:val="22"/>
          <w:szCs w:val="22"/>
        </w:rPr>
        <w:t>Gestión de Control y Aplicaciones Nucleares</w:t>
      </w:r>
      <w:bookmarkEnd w:id="268"/>
      <w:bookmarkEnd w:id="269"/>
    </w:p>
    <w:p w14:paraId="7BB2CEDF" w14:textId="77777777" w:rsidR="00C420E7" w:rsidRPr="003D070E" w:rsidRDefault="00C420E7" w:rsidP="00C420E7">
      <w:pPr>
        <w:jc w:val="both"/>
        <w:rPr>
          <w:rFonts w:asciiTheme="majorHAnsi" w:eastAsia="Calibri" w:hAnsiTheme="majorHAnsi" w:cstheme="majorHAnsi"/>
          <w:sz w:val="22"/>
          <w:szCs w:val="22"/>
        </w:rPr>
      </w:pPr>
    </w:p>
    <w:p w14:paraId="15B73262" w14:textId="77777777" w:rsidR="00C420E7" w:rsidRPr="003D070E" w:rsidRDefault="00C420E7" w:rsidP="00C420E7">
      <w:pPr>
        <w:jc w:val="both"/>
        <w:rPr>
          <w:rFonts w:asciiTheme="majorHAnsi" w:eastAsia="Calibri" w:hAnsiTheme="majorHAnsi" w:cstheme="majorHAnsi"/>
          <w:b/>
          <w:sz w:val="22"/>
          <w:szCs w:val="22"/>
        </w:rPr>
      </w:pPr>
      <w:r w:rsidRPr="003D070E">
        <w:rPr>
          <w:rFonts w:asciiTheme="majorHAnsi" w:eastAsia="Calibri" w:hAnsiTheme="majorHAnsi" w:cstheme="majorHAnsi"/>
          <w:b/>
          <w:sz w:val="22"/>
          <w:szCs w:val="22"/>
        </w:rPr>
        <w:t xml:space="preserve">Gestión de Licenciamiento y Protección Radiológica </w:t>
      </w:r>
    </w:p>
    <w:p w14:paraId="30148656" w14:textId="77777777" w:rsidR="00C420E7" w:rsidRPr="003D070E" w:rsidRDefault="00C420E7" w:rsidP="00C420E7">
      <w:pPr>
        <w:jc w:val="both"/>
        <w:rPr>
          <w:rFonts w:asciiTheme="majorHAnsi" w:eastAsia="Calibri" w:hAnsiTheme="majorHAnsi" w:cstheme="majorHAnsi"/>
          <w:b/>
          <w:sz w:val="22"/>
          <w:szCs w:val="22"/>
        </w:rPr>
      </w:pPr>
    </w:p>
    <w:p w14:paraId="1E725594" w14:textId="77777777" w:rsidR="00C420E7" w:rsidRPr="003D070E" w:rsidRDefault="00C420E7" w:rsidP="00C420E7">
      <w:pPr>
        <w:jc w:val="both"/>
        <w:rPr>
          <w:rFonts w:asciiTheme="majorHAnsi" w:eastAsia="Calibri" w:hAnsiTheme="majorHAnsi" w:cstheme="majorHAnsi"/>
          <w:sz w:val="22"/>
          <w:szCs w:val="22"/>
        </w:rPr>
      </w:pPr>
      <w:r w:rsidRPr="003D070E">
        <w:rPr>
          <w:rFonts w:asciiTheme="majorHAnsi" w:eastAsia="Calibri" w:hAnsiTheme="majorHAnsi" w:cstheme="majorHAnsi"/>
          <w:sz w:val="22"/>
          <w:szCs w:val="22"/>
        </w:rPr>
        <w:t xml:space="preserve">La Dirección de Licenciamiento y Protección Radiológica (DLPR) ha gestionado diversos trámites esenciales para garantizar la seguridad en el uso de radiaciones ionizantes, entre los que destacan: </w:t>
      </w:r>
    </w:p>
    <w:p w14:paraId="2349DB6B" w14:textId="77777777" w:rsidR="00C420E7" w:rsidRPr="003D070E" w:rsidRDefault="00C420E7" w:rsidP="00C420E7">
      <w:pPr>
        <w:spacing w:after="18"/>
        <w:rPr>
          <w:rFonts w:asciiTheme="majorHAnsi" w:eastAsia="Calibri" w:hAnsiTheme="majorHAnsi" w:cstheme="majorHAnsi"/>
          <w:sz w:val="22"/>
          <w:szCs w:val="22"/>
        </w:rPr>
      </w:pPr>
    </w:p>
    <w:p w14:paraId="63736ABD" w14:textId="77777777" w:rsidR="00C420E7" w:rsidRPr="003D070E" w:rsidRDefault="00C420E7" w:rsidP="00C420E7">
      <w:pPr>
        <w:numPr>
          <w:ilvl w:val="0"/>
          <w:numId w:val="186"/>
        </w:numPr>
        <w:spacing w:after="18"/>
        <w:jc w:val="both"/>
        <w:rPr>
          <w:rFonts w:asciiTheme="majorHAnsi" w:eastAsia="Calibri" w:hAnsiTheme="majorHAnsi" w:cstheme="majorHAnsi"/>
          <w:sz w:val="22"/>
          <w:szCs w:val="22"/>
        </w:rPr>
      </w:pPr>
      <w:r w:rsidRPr="003D070E">
        <w:rPr>
          <w:rFonts w:asciiTheme="majorHAnsi" w:eastAsia="Calibri" w:hAnsiTheme="majorHAnsi" w:cstheme="majorHAnsi"/>
          <w:sz w:val="22"/>
          <w:szCs w:val="22"/>
        </w:rPr>
        <w:t xml:space="preserve">Inspecciones de seguridad radiológica. </w:t>
      </w:r>
    </w:p>
    <w:p w14:paraId="5DD2D0D1" w14:textId="77777777" w:rsidR="00C420E7" w:rsidRPr="003D070E" w:rsidRDefault="00C420E7" w:rsidP="00C420E7">
      <w:pPr>
        <w:numPr>
          <w:ilvl w:val="0"/>
          <w:numId w:val="186"/>
        </w:numPr>
        <w:spacing w:after="18"/>
        <w:jc w:val="both"/>
        <w:rPr>
          <w:rFonts w:asciiTheme="majorHAnsi" w:eastAsia="Calibri" w:hAnsiTheme="majorHAnsi" w:cstheme="majorHAnsi"/>
          <w:sz w:val="22"/>
          <w:szCs w:val="22"/>
        </w:rPr>
      </w:pPr>
      <w:r w:rsidRPr="003D070E">
        <w:rPr>
          <w:rFonts w:asciiTheme="majorHAnsi" w:eastAsia="Calibri" w:hAnsiTheme="majorHAnsi" w:cstheme="majorHAnsi"/>
          <w:sz w:val="22"/>
          <w:szCs w:val="22"/>
        </w:rPr>
        <w:t xml:space="preserve">Emisión de licencias (personales, institucionales y de importación). </w:t>
      </w:r>
    </w:p>
    <w:p w14:paraId="7BA1BAF0" w14:textId="77777777" w:rsidR="00C420E7" w:rsidRPr="003D070E" w:rsidRDefault="00C420E7" w:rsidP="00C420E7">
      <w:pPr>
        <w:numPr>
          <w:ilvl w:val="0"/>
          <w:numId w:val="186"/>
        </w:numPr>
        <w:spacing w:after="18"/>
        <w:jc w:val="both"/>
        <w:rPr>
          <w:rFonts w:asciiTheme="majorHAnsi" w:eastAsia="Calibri" w:hAnsiTheme="majorHAnsi" w:cstheme="majorHAnsi"/>
          <w:sz w:val="22"/>
          <w:szCs w:val="22"/>
        </w:rPr>
      </w:pPr>
      <w:r w:rsidRPr="003D070E">
        <w:rPr>
          <w:rFonts w:asciiTheme="majorHAnsi" w:eastAsia="Calibri" w:hAnsiTheme="majorHAnsi" w:cstheme="majorHAnsi"/>
          <w:sz w:val="22"/>
          <w:szCs w:val="22"/>
        </w:rPr>
        <w:t xml:space="preserve">Autorizaciones para oficiales de seguridad radiológica. </w:t>
      </w:r>
    </w:p>
    <w:p w14:paraId="068D814D" w14:textId="77777777" w:rsidR="00C420E7" w:rsidRPr="003D070E" w:rsidRDefault="00C420E7" w:rsidP="00C420E7">
      <w:pPr>
        <w:numPr>
          <w:ilvl w:val="0"/>
          <w:numId w:val="186"/>
        </w:numPr>
        <w:spacing w:after="18"/>
        <w:jc w:val="both"/>
        <w:rPr>
          <w:rFonts w:asciiTheme="majorHAnsi" w:eastAsia="Calibri" w:hAnsiTheme="majorHAnsi" w:cstheme="majorHAnsi"/>
          <w:sz w:val="22"/>
          <w:szCs w:val="22"/>
        </w:rPr>
      </w:pPr>
      <w:r w:rsidRPr="003D070E">
        <w:rPr>
          <w:rFonts w:asciiTheme="majorHAnsi" w:eastAsia="Calibri" w:hAnsiTheme="majorHAnsi" w:cstheme="majorHAnsi"/>
          <w:sz w:val="22"/>
          <w:szCs w:val="22"/>
        </w:rPr>
        <w:t xml:space="preserve">Permisos para la movilización de fuentes radiactivas. </w:t>
      </w:r>
    </w:p>
    <w:p w14:paraId="7DA6210A" w14:textId="77777777" w:rsidR="00C420E7" w:rsidRPr="003D070E" w:rsidRDefault="00C420E7" w:rsidP="00C420E7">
      <w:pPr>
        <w:numPr>
          <w:ilvl w:val="0"/>
          <w:numId w:val="186"/>
        </w:numPr>
        <w:spacing w:after="18"/>
        <w:jc w:val="both"/>
        <w:rPr>
          <w:rFonts w:asciiTheme="majorHAnsi" w:eastAsia="Calibri" w:hAnsiTheme="majorHAnsi" w:cstheme="majorHAnsi"/>
          <w:sz w:val="22"/>
          <w:szCs w:val="22"/>
        </w:rPr>
      </w:pPr>
      <w:r w:rsidRPr="003D070E">
        <w:rPr>
          <w:rFonts w:asciiTheme="majorHAnsi" w:eastAsia="Calibri" w:hAnsiTheme="majorHAnsi" w:cstheme="majorHAnsi"/>
          <w:sz w:val="22"/>
          <w:szCs w:val="22"/>
        </w:rPr>
        <w:t xml:space="preserve">Procesos de importación y reexportación de fuentes de radiación. </w:t>
      </w:r>
    </w:p>
    <w:p w14:paraId="694E7411" w14:textId="77777777" w:rsidR="00C420E7" w:rsidRPr="003D070E" w:rsidRDefault="00C420E7" w:rsidP="00C420E7">
      <w:pPr>
        <w:rPr>
          <w:rFonts w:asciiTheme="majorHAnsi" w:eastAsia="Calibri" w:hAnsiTheme="majorHAnsi" w:cstheme="majorHAnsi"/>
          <w:sz w:val="22"/>
          <w:szCs w:val="22"/>
        </w:rPr>
      </w:pPr>
    </w:p>
    <w:p w14:paraId="01C79EB3" w14:textId="77777777" w:rsidR="00C420E7" w:rsidRPr="003D070E" w:rsidRDefault="00C420E7" w:rsidP="00C420E7">
      <w:pPr>
        <w:jc w:val="both"/>
        <w:rPr>
          <w:rFonts w:asciiTheme="majorHAnsi" w:eastAsia="Calibri" w:hAnsiTheme="majorHAnsi" w:cstheme="majorHAnsi"/>
          <w:sz w:val="22"/>
          <w:szCs w:val="22"/>
        </w:rPr>
      </w:pPr>
      <w:r w:rsidRPr="003D070E">
        <w:rPr>
          <w:rFonts w:asciiTheme="majorHAnsi" w:eastAsia="Calibri" w:hAnsiTheme="majorHAnsi" w:cstheme="majorHAnsi"/>
          <w:sz w:val="22"/>
          <w:szCs w:val="22"/>
        </w:rPr>
        <w:t xml:space="preserve">Además, ha supervisado el estricto cumplimiento de los tratados, convenios y salvaguardias en materia de energía atómica suscritos por el Estado ecuatoriano, asegurando su aplicación efectiva. </w:t>
      </w:r>
    </w:p>
    <w:p w14:paraId="621FE96E" w14:textId="77777777" w:rsidR="00C420E7" w:rsidRPr="003D070E" w:rsidRDefault="00C420E7" w:rsidP="00C420E7">
      <w:pPr>
        <w:jc w:val="both"/>
        <w:rPr>
          <w:rFonts w:asciiTheme="majorHAnsi" w:eastAsia="Calibri" w:hAnsiTheme="majorHAnsi" w:cstheme="majorHAnsi"/>
          <w:sz w:val="22"/>
          <w:szCs w:val="22"/>
        </w:rPr>
      </w:pPr>
    </w:p>
    <w:p w14:paraId="7D4B07D6" w14:textId="77777777" w:rsidR="00C420E7" w:rsidRPr="003D070E" w:rsidRDefault="00C420E7" w:rsidP="00C420E7">
      <w:pPr>
        <w:jc w:val="both"/>
        <w:rPr>
          <w:rFonts w:asciiTheme="majorHAnsi" w:eastAsia="Calibri" w:hAnsiTheme="majorHAnsi" w:cstheme="majorHAnsi"/>
          <w:sz w:val="22"/>
          <w:szCs w:val="22"/>
        </w:rPr>
      </w:pPr>
      <w:r w:rsidRPr="003D070E">
        <w:rPr>
          <w:rFonts w:asciiTheme="majorHAnsi" w:eastAsia="Calibri" w:hAnsiTheme="majorHAnsi" w:cstheme="majorHAnsi"/>
          <w:sz w:val="22"/>
          <w:szCs w:val="22"/>
        </w:rPr>
        <w:t xml:space="preserve">Con un 100% de cumplimiento de las metas establecidas, la Dirección ha implementado sistemas de control y seguimiento avalados por la autoridad competente, optimizando así la gestión y elevando la calidad del servicio dirigido a la ciudadanía y al Estado. </w:t>
      </w:r>
    </w:p>
    <w:p w14:paraId="42789CA5" w14:textId="77777777" w:rsidR="00C420E7" w:rsidRPr="003D070E" w:rsidRDefault="00C420E7" w:rsidP="00C420E7">
      <w:pPr>
        <w:jc w:val="both"/>
        <w:rPr>
          <w:rFonts w:asciiTheme="majorHAnsi" w:eastAsia="Calibri" w:hAnsiTheme="majorHAnsi" w:cstheme="majorHAnsi"/>
          <w:sz w:val="22"/>
          <w:szCs w:val="22"/>
        </w:rPr>
      </w:pPr>
    </w:p>
    <w:p w14:paraId="281E422E" w14:textId="77777777" w:rsidR="00C420E7" w:rsidRPr="003D070E" w:rsidRDefault="00C420E7" w:rsidP="00C420E7">
      <w:pPr>
        <w:jc w:val="both"/>
        <w:rPr>
          <w:rFonts w:asciiTheme="majorHAnsi" w:eastAsia="Calibri" w:hAnsiTheme="majorHAnsi" w:cstheme="majorHAnsi"/>
          <w:sz w:val="22"/>
          <w:szCs w:val="22"/>
        </w:rPr>
      </w:pPr>
      <w:r w:rsidRPr="003D070E">
        <w:rPr>
          <w:rFonts w:asciiTheme="majorHAnsi" w:eastAsia="Calibri" w:hAnsiTheme="majorHAnsi" w:cstheme="majorHAnsi"/>
          <w:sz w:val="22"/>
          <w:szCs w:val="22"/>
        </w:rPr>
        <w:t>Como parte de su modernización, se ha logrado la automatización integral de todos los trámites, agilizando el acceso a los servicios y garantizando una gestión más eficiente y transparente.</w:t>
      </w:r>
    </w:p>
    <w:p w14:paraId="6A68F3BA" w14:textId="77777777" w:rsidR="00192E54" w:rsidRPr="003D070E" w:rsidRDefault="00192E54" w:rsidP="00C420E7">
      <w:pPr>
        <w:rPr>
          <w:rFonts w:asciiTheme="majorHAnsi" w:eastAsia="Calibri" w:hAnsiTheme="majorHAnsi" w:cstheme="majorHAnsi"/>
          <w:sz w:val="22"/>
          <w:szCs w:val="22"/>
        </w:rPr>
      </w:pPr>
    </w:p>
    <w:p w14:paraId="71B08567" w14:textId="77777777" w:rsidR="00C420E7" w:rsidRPr="003D070E" w:rsidRDefault="00C420E7" w:rsidP="00C420E7">
      <w:pPr>
        <w:rPr>
          <w:rFonts w:asciiTheme="majorHAnsi" w:eastAsia="Calibri" w:hAnsiTheme="majorHAnsi" w:cstheme="majorHAnsi"/>
          <w:b/>
          <w:sz w:val="22"/>
          <w:szCs w:val="22"/>
        </w:rPr>
      </w:pPr>
      <w:r w:rsidRPr="003D070E">
        <w:rPr>
          <w:rFonts w:asciiTheme="majorHAnsi" w:eastAsia="Calibri" w:hAnsiTheme="majorHAnsi" w:cstheme="majorHAnsi"/>
          <w:b/>
          <w:sz w:val="22"/>
          <w:szCs w:val="22"/>
        </w:rPr>
        <w:t xml:space="preserve">Principales productos y servicios </w:t>
      </w:r>
    </w:p>
    <w:p w14:paraId="1BFAC0FF" w14:textId="77777777" w:rsidR="00C420E7" w:rsidRPr="003D070E" w:rsidRDefault="00C420E7" w:rsidP="00C420E7">
      <w:pPr>
        <w:rPr>
          <w:rFonts w:asciiTheme="majorHAnsi" w:eastAsia="Calibri" w:hAnsiTheme="majorHAnsi" w:cstheme="majorHAnsi"/>
          <w:sz w:val="22"/>
          <w:szCs w:val="22"/>
        </w:rPr>
      </w:pPr>
    </w:p>
    <w:p w14:paraId="08764901" w14:textId="02FFDBF2" w:rsidR="00C420E7" w:rsidRPr="003D070E" w:rsidRDefault="00C420E7" w:rsidP="00C420E7">
      <w:pPr>
        <w:jc w:val="both"/>
        <w:rPr>
          <w:rFonts w:asciiTheme="majorHAnsi" w:eastAsia="Calibri" w:hAnsiTheme="majorHAnsi" w:cstheme="majorHAnsi"/>
          <w:sz w:val="22"/>
          <w:szCs w:val="22"/>
        </w:rPr>
      </w:pPr>
      <w:r w:rsidRPr="003D070E">
        <w:rPr>
          <w:rFonts w:asciiTheme="majorHAnsi" w:eastAsia="Calibri" w:hAnsiTheme="majorHAnsi" w:cstheme="majorHAnsi"/>
          <w:sz w:val="22"/>
          <w:szCs w:val="22"/>
        </w:rPr>
        <w:t xml:space="preserve">En la tabla </w:t>
      </w:r>
      <w:r w:rsidR="00D4678F">
        <w:rPr>
          <w:rFonts w:asciiTheme="majorHAnsi" w:eastAsia="Calibri" w:hAnsiTheme="majorHAnsi" w:cstheme="majorHAnsi"/>
          <w:sz w:val="22"/>
          <w:szCs w:val="22"/>
        </w:rPr>
        <w:t>30</w:t>
      </w:r>
      <w:r w:rsidRPr="003D070E">
        <w:rPr>
          <w:rFonts w:asciiTheme="majorHAnsi" w:eastAsia="Calibri" w:hAnsiTheme="majorHAnsi" w:cstheme="majorHAnsi"/>
          <w:sz w:val="22"/>
          <w:szCs w:val="22"/>
        </w:rPr>
        <w:t xml:space="preserve"> se detalla el resultado obtenido de los productos alcanzados durante el periodo enero - diciembre de 2024.</w:t>
      </w:r>
    </w:p>
    <w:p w14:paraId="3CDB4FEE" w14:textId="77777777" w:rsidR="00C420E7" w:rsidRPr="003D070E" w:rsidRDefault="00C420E7" w:rsidP="00C420E7">
      <w:pPr>
        <w:keepNext/>
        <w:spacing w:after="200"/>
        <w:ind w:right="-182"/>
        <w:rPr>
          <w:rFonts w:asciiTheme="majorHAnsi" w:eastAsia="Calibri" w:hAnsiTheme="majorHAnsi" w:cstheme="majorHAnsi"/>
          <w:i/>
          <w:color w:val="44546A"/>
          <w:sz w:val="18"/>
          <w:szCs w:val="18"/>
        </w:rPr>
      </w:pPr>
      <w:bookmarkStart w:id="270" w:name="_86h91samny91" w:colFirst="0" w:colLast="0"/>
      <w:bookmarkEnd w:id="270"/>
    </w:p>
    <w:p w14:paraId="44962983" w14:textId="13D91DD6" w:rsidR="00C420E7" w:rsidRPr="00D56429" w:rsidRDefault="00C420E7" w:rsidP="00C420E7">
      <w:pPr>
        <w:pStyle w:val="Descripcin"/>
        <w:rPr>
          <w:rFonts w:asciiTheme="majorHAnsi" w:hAnsiTheme="majorHAnsi"/>
        </w:rPr>
      </w:pPr>
      <w:bookmarkStart w:id="271" w:name="_Toc198110365"/>
      <w:bookmarkStart w:id="272" w:name="_Toc199759691"/>
      <w:r w:rsidRPr="00D56429">
        <w:rPr>
          <w:rFonts w:asciiTheme="majorHAnsi" w:hAnsiTheme="majorHAnsi"/>
        </w:rPr>
        <w:t xml:space="preserve">Tabla </w:t>
      </w:r>
      <w:r w:rsidR="003A269C" w:rsidRPr="00D56429">
        <w:rPr>
          <w:rFonts w:asciiTheme="majorHAnsi" w:hAnsiTheme="majorHAnsi"/>
        </w:rPr>
        <w:fldChar w:fldCharType="begin"/>
      </w:r>
      <w:r w:rsidR="003A269C" w:rsidRPr="00D56429">
        <w:rPr>
          <w:rFonts w:asciiTheme="majorHAnsi" w:hAnsiTheme="majorHAnsi"/>
        </w:rPr>
        <w:instrText xml:space="preserve"> SEQ Tabla \* ARABIC </w:instrText>
      </w:r>
      <w:r w:rsidR="003A269C" w:rsidRPr="00D56429">
        <w:rPr>
          <w:rFonts w:asciiTheme="majorHAnsi" w:hAnsiTheme="majorHAnsi"/>
        </w:rPr>
        <w:fldChar w:fldCharType="separate"/>
      </w:r>
      <w:r w:rsidR="00CF0AD2">
        <w:rPr>
          <w:rFonts w:asciiTheme="majorHAnsi" w:hAnsiTheme="majorHAnsi"/>
          <w:noProof/>
        </w:rPr>
        <w:t>21</w:t>
      </w:r>
      <w:r w:rsidR="003A269C" w:rsidRPr="00D56429">
        <w:rPr>
          <w:rFonts w:asciiTheme="majorHAnsi" w:hAnsiTheme="majorHAnsi"/>
          <w:noProof/>
        </w:rPr>
        <w:fldChar w:fldCharType="end"/>
      </w:r>
      <w:r w:rsidR="0016337C">
        <w:rPr>
          <w:rFonts w:asciiTheme="majorHAnsi" w:hAnsiTheme="majorHAnsi"/>
        </w:rPr>
        <w:t>:</w:t>
      </w:r>
      <w:r w:rsidRPr="00D56429">
        <w:rPr>
          <w:rFonts w:asciiTheme="majorHAnsi" w:hAnsiTheme="majorHAnsi"/>
        </w:rPr>
        <w:t xml:space="preserve"> Productos Alcanzados 2024 - DLPR</w:t>
      </w:r>
      <w:bookmarkEnd w:id="271"/>
      <w:bookmarkEnd w:id="272"/>
    </w:p>
    <w:tbl>
      <w:tblPr>
        <w:tblpPr w:leftFromText="141" w:rightFromText="141" w:vertAnchor="text" w:tblpX="1155"/>
        <w:tblW w:w="7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0"/>
        <w:gridCol w:w="2355"/>
      </w:tblGrid>
      <w:tr w:rsidR="00C420E7" w:rsidRPr="003D070E" w14:paraId="59EDD2CB" w14:textId="77777777" w:rsidTr="000A4588">
        <w:trPr>
          <w:trHeight w:val="342"/>
        </w:trPr>
        <w:tc>
          <w:tcPr>
            <w:tcW w:w="4890" w:type="dxa"/>
            <w:shd w:val="clear" w:color="auto" w:fill="5B9BD4"/>
          </w:tcPr>
          <w:p w14:paraId="4FC36E71" w14:textId="77777777" w:rsidR="00C420E7" w:rsidRPr="003D070E" w:rsidRDefault="00C420E7" w:rsidP="00D4678F">
            <w:pPr>
              <w:spacing w:before="172"/>
              <w:ind w:left="775" w:right="-182"/>
              <w:jc w:val="center"/>
              <w:rPr>
                <w:rFonts w:asciiTheme="majorHAnsi" w:eastAsia="Calibri" w:hAnsiTheme="majorHAnsi" w:cstheme="majorHAnsi"/>
                <w:b/>
                <w:sz w:val="18"/>
                <w:szCs w:val="18"/>
              </w:rPr>
            </w:pPr>
            <w:r w:rsidRPr="003D070E">
              <w:rPr>
                <w:rFonts w:asciiTheme="majorHAnsi" w:eastAsia="Calibri" w:hAnsiTheme="majorHAnsi" w:cstheme="majorHAnsi"/>
                <w:b/>
                <w:color w:val="FFFFFF"/>
                <w:sz w:val="18"/>
                <w:szCs w:val="18"/>
              </w:rPr>
              <w:t>PRODUCTO</w:t>
            </w:r>
          </w:p>
        </w:tc>
        <w:tc>
          <w:tcPr>
            <w:tcW w:w="2355" w:type="dxa"/>
            <w:shd w:val="clear" w:color="auto" w:fill="5B9BD4"/>
          </w:tcPr>
          <w:p w14:paraId="1770B574" w14:textId="77777777" w:rsidR="00C420E7" w:rsidRPr="003D070E" w:rsidRDefault="00C420E7" w:rsidP="00D4678F">
            <w:pPr>
              <w:spacing w:before="172"/>
              <w:ind w:left="775" w:right="-182"/>
              <w:jc w:val="center"/>
              <w:rPr>
                <w:rFonts w:asciiTheme="majorHAnsi" w:eastAsia="Calibri" w:hAnsiTheme="majorHAnsi" w:cstheme="majorHAnsi"/>
                <w:b/>
                <w:sz w:val="18"/>
                <w:szCs w:val="18"/>
              </w:rPr>
            </w:pPr>
            <w:r w:rsidRPr="003D070E">
              <w:rPr>
                <w:rFonts w:asciiTheme="majorHAnsi" w:eastAsia="Calibri" w:hAnsiTheme="majorHAnsi" w:cstheme="majorHAnsi"/>
                <w:b/>
                <w:color w:val="FFFFFF"/>
                <w:sz w:val="18"/>
                <w:szCs w:val="18"/>
              </w:rPr>
              <w:t>RESULTADO</w:t>
            </w:r>
          </w:p>
        </w:tc>
      </w:tr>
      <w:tr w:rsidR="00C420E7" w:rsidRPr="003D070E" w14:paraId="0B83E259" w14:textId="77777777" w:rsidTr="000A4588">
        <w:trPr>
          <w:trHeight w:val="432"/>
        </w:trPr>
        <w:tc>
          <w:tcPr>
            <w:tcW w:w="4890" w:type="dxa"/>
          </w:tcPr>
          <w:p w14:paraId="13BCA3AB" w14:textId="77777777" w:rsidR="00C420E7" w:rsidRPr="003D070E" w:rsidRDefault="00C420E7" w:rsidP="000A4588">
            <w:pPr>
              <w:ind w:right="-182"/>
              <w:jc w:val="center"/>
              <w:rPr>
                <w:rFonts w:asciiTheme="majorHAnsi" w:eastAsia="Calibri" w:hAnsiTheme="majorHAnsi" w:cstheme="majorHAnsi"/>
                <w:sz w:val="18"/>
                <w:szCs w:val="18"/>
              </w:rPr>
            </w:pPr>
            <w:r w:rsidRPr="003D070E">
              <w:rPr>
                <w:rFonts w:asciiTheme="majorHAnsi" w:eastAsia="Calibri" w:hAnsiTheme="majorHAnsi" w:cstheme="majorHAnsi"/>
                <w:sz w:val="18"/>
                <w:szCs w:val="18"/>
              </w:rPr>
              <w:t>Licencias Ocupacionales de Seguridad Radiológica y Autorización de Oficial de Seguridad Radiológica</w:t>
            </w:r>
          </w:p>
        </w:tc>
        <w:tc>
          <w:tcPr>
            <w:tcW w:w="2355" w:type="dxa"/>
          </w:tcPr>
          <w:p w14:paraId="46DF9C81" w14:textId="77777777" w:rsidR="00C420E7" w:rsidRPr="003D070E" w:rsidRDefault="00C420E7" w:rsidP="000A4588">
            <w:pPr>
              <w:ind w:right="-182"/>
              <w:jc w:val="center"/>
              <w:rPr>
                <w:rFonts w:asciiTheme="majorHAnsi" w:eastAsia="Calibri" w:hAnsiTheme="majorHAnsi" w:cstheme="majorHAnsi"/>
                <w:sz w:val="18"/>
                <w:szCs w:val="18"/>
              </w:rPr>
            </w:pPr>
            <w:r w:rsidRPr="003D070E">
              <w:rPr>
                <w:rFonts w:asciiTheme="majorHAnsi" w:eastAsia="Calibri" w:hAnsiTheme="majorHAnsi" w:cstheme="majorHAnsi"/>
                <w:sz w:val="18"/>
                <w:szCs w:val="18"/>
              </w:rPr>
              <w:t>2.366</w:t>
            </w:r>
          </w:p>
        </w:tc>
      </w:tr>
      <w:tr w:rsidR="00C420E7" w:rsidRPr="003D070E" w14:paraId="156115CD" w14:textId="77777777" w:rsidTr="000A4588">
        <w:trPr>
          <w:trHeight w:val="366"/>
        </w:trPr>
        <w:tc>
          <w:tcPr>
            <w:tcW w:w="4890" w:type="dxa"/>
          </w:tcPr>
          <w:p w14:paraId="5D8F2FDF" w14:textId="77777777" w:rsidR="00C420E7" w:rsidRPr="003D070E" w:rsidRDefault="00C420E7" w:rsidP="000A4588">
            <w:pPr>
              <w:ind w:right="-182"/>
              <w:jc w:val="center"/>
              <w:rPr>
                <w:rFonts w:asciiTheme="majorHAnsi" w:eastAsia="Calibri" w:hAnsiTheme="majorHAnsi" w:cstheme="majorHAnsi"/>
                <w:sz w:val="18"/>
                <w:szCs w:val="18"/>
              </w:rPr>
            </w:pPr>
            <w:r w:rsidRPr="003D070E">
              <w:rPr>
                <w:rFonts w:asciiTheme="majorHAnsi" w:eastAsia="Calibri" w:hAnsiTheme="majorHAnsi" w:cstheme="majorHAnsi"/>
                <w:sz w:val="18"/>
                <w:szCs w:val="18"/>
              </w:rPr>
              <w:t>Licencias Institucionales de Operación y Licencias de importación</w:t>
            </w:r>
          </w:p>
        </w:tc>
        <w:tc>
          <w:tcPr>
            <w:tcW w:w="2355" w:type="dxa"/>
          </w:tcPr>
          <w:p w14:paraId="592C590C" w14:textId="77777777" w:rsidR="00C420E7" w:rsidRPr="003D070E" w:rsidRDefault="00C420E7" w:rsidP="000A4588">
            <w:pPr>
              <w:ind w:right="-182"/>
              <w:jc w:val="center"/>
              <w:rPr>
                <w:rFonts w:asciiTheme="majorHAnsi" w:eastAsia="Calibri" w:hAnsiTheme="majorHAnsi" w:cstheme="majorHAnsi"/>
                <w:sz w:val="18"/>
                <w:szCs w:val="18"/>
              </w:rPr>
            </w:pPr>
            <w:r w:rsidRPr="003D070E">
              <w:rPr>
                <w:rFonts w:asciiTheme="majorHAnsi" w:eastAsia="Calibri" w:hAnsiTheme="majorHAnsi" w:cstheme="majorHAnsi"/>
                <w:sz w:val="18"/>
                <w:szCs w:val="18"/>
              </w:rPr>
              <w:t>439</w:t>
            </w:r>
          </w:p>
        </w:tc>
      </w:tr>
      <w:tr w:rsidR="00C420E7" w:rsidRPr="003D070E" w14:paraId="072E3395" w14:textId="77777777" w:rsidTr="000A4588">
        <w:trPr>
          <w:trHeight w:val="191"/>
        </w:trPr>
        <w:tc>
          <w:tcPr>
            <w:tcW w:w="4890" w:type="dxa"/>
          </w:tcPr>
          <w:p w14:paraId="488E174A" w14:textId="77777777" w:rsidR="00C420E7" w:rsidRPr="003D070E" w:rsidRDefault="00C420E7" w:rsidP="000A4588">
            <w:pPr>
              <w:ind w:right="-182"/>
              <w:jc w:val="center"/>
              <w:rPr>
                <w:rFonts w:asciiTheme="majorHAnsi" w:eastAsia="Calibri" w:hAnsiTheme="majorHAnsi" w:cstheme="majorHAnsi"/>
                <w:sz w:val="18"/>
                <w:szCs w:val="18"/>
              </w:rPr>
            </w:pPr>
            <w:r w:rsidRPr="003D070E">
              <w:rPr>
                <w:rFonts w:asciiTheme="majorHAnsi" w:eastAsia="Calibri" w:hAnsiTheme="majorHAnsi" w:cstheme="majorHAnsi"/>
                <w:sz w:val="18"/>
                <w:szCs w:val="18"/>
              </w:rPr>
              <w:t>Equipos o fuentes inspeccionados</w:t>
            </w:r>
          </w:p>
        </w:tc>
        <w:tc>
          <w:tcPr>
            <w:tcW w:w="2355" w:type="dxa"/>
          </w:tcPr>
          <w:p w14:paraId="0E20461B" w14:textId="77777777" w:rsidR="00C420E7" w:rsidRPr="003D070E" w:rsidRDefault="00C420E7" w:rsidP="000A4588">
            <w:pPr>
              <w:ind w:right="-182"/>
              <w:jc w:val="center"/>
              <w:rPr>
                <w:rFonts w:asciiTheme="majorHAnsi" w:eastAsia="Calibri" w:hAnsiTheme="majorHAnsi" w:cstheme="majorHAnsi"/>
                <w:sz w:val="18"/>
                <w:szCs w:val="18"/>
              </w:rPr>
            </w:pPr>
            <w:r w:rsidRPr="003D070E">
              <w:rPr>
                <w:rFonts w:asciiTheme="majorHAnsi" w:eastAsia="Calibri" w:hAnsiTheme="majorHAnsi" w:cstheme="majorHAnsi"/>
                <w:sz w:val="18"/>
                <w:szCs w:val="18"/>
              </w:rPr>
              <w:t>1.780</w:t>
            </w:r>
          </w:p>
        </w:tc>
      </w:tr>
      <w:tr w:rsidR="00C420E7" w:rsidRPr="003D070E" w14:paraId="61AA770E" w14:textId="77777777" w:rsidTr="000A4588">
        <w:trPr>
          <w:trHeight w:val="196"/>
        </w:trPr>
        <w:tc>
          <w:tcPr>
            <w:tcW w:w="4890" w:type="dxa"/>
          </w:tcPr>
          <w:p w14:paraId="127D9055" w14:textId="77777777" w:rsidR="00C420E7" w:rsidRPr="003D070E" w:rsidRDefault="00C420E7" w:rsidP="000A4588">
            <w:pPr>
              <w:ind w:right="-182"/>
              <w:jc w:val="center"/>
              <w:rPr>
                <w:rFonts w:asciiTheme="majorHAnsi" w:eastAsia="Calibri" w:hAnsiTheme="majorHAnsi" w:cstheme="majorHAnsi"/>
                <w:b/>
                <w:sz w:val="18"/>
                <w:szCs w:val="18"/>
              </w:rPr>
            </w:pPr>
            <w:r w:rsidRPr="003D070E">
              <w:rPr>
                <w:rFonts w:asciiTheme="majorHAnsi" w:eastAsia="Calibri" w:hAnsiTheme="majorHAnsi" w:cstheme="majorHAnsi"/>
                <w:b/>
                <w:sz w:val="18"/>
                <w:szCs w:val="18"/>
              </w:rPr>
              <w:t>TOTAL</w:t>
            </w:r>
          </w:p>
        </w:tc>
        <w:tc>
          <w:tcPr>
            <w:tcW w:w="2355" w:type="dxa"/>
          </w:tcPr>
          <w:p w14:paraId="7616BF01" w14:textId="77777777" w:rsidR="00C420E7" w:rsidRPr="003D070E" w:rsidRDefault="00C420E7" w:rsidP="000A4588">
            <w:pPr>
              <w:ind w:right="-182"/>
              <w:jc w:val="center"/>
              <w:rPr>
                <w:rFonts w:asciiTheme="majorHAnsi" w:eastAsia="Calibri" w:hAnsiTheme="majorHAnsi" w:cstheme="majorHAnsi"/>
                <w:b/>
                <w:sz w:val="18"/>
                <w:szCs w:val="18"/>
              </w:rPr>
            </w:pPr>
            <w:r w:rsidRPr="003D070E">
              <w:rPr>
                <w:rFonts w:asciiTheme="majorHAnsi" w:eastAsia="Calibri" w:hAnsiTheme="majorHAnsi" w:cstheme="majorHAnsi"/>
                <w:b/>
                <w:sz w:val="18"/>
                <w:szCs w:val="18"/>
              </w:rPr>
              <w:t>4.585</w:t>
            </w:r>
          </w:p>
        </w:tc>
      </w:tr>
    </w:tbl>
    <w:p w14:paraId="63A6514A" w14:textId="77777777" w:rsidR="00C420E7" w:rsidRPr="003D070E" w:rsidRDefault="00C420E7" w:rsidP="00C420E7">
      <w:pPr>
        <w:ind w:right="-182"/>
        <w:jc w:val="center"/>
        <w:rPr>
          <w:rFonts w:asciiTheme="majorHAnsi" w:eastAsia="Calibri" w:hAnsiTheme="majorHAnsi" w:cstheme="majorHAnsi"/>
          <w:color w:val="7F7F7F"/>
          <w:sz w:val="20"/>
          <w:szCs w:val="20"/>
        </w:rPr>
      </w:pPr>
    </w:p>
    <w:p w14:paraId="7E8971B9" w14:textId="77777777" w:rsidR="00C420E7" w:rsidRPr="003D070E" w:rsidRDefault="00C420E7" w:rsidP="00C420E7">
      <w:pPr>
        <w:ind w:right="-182"/>
        <w:jc w:val="center"/>
        <w:rPr>
          <w:rFonts w:asciiTheme="majorHAnsi" w:eastAsia="Calibri" w:hAnsiTheme="majorHAnsi" w:cstheme="majorHAnsi"/>
          <w:color w:val="7F7F7F"/>
          <w:sz w:val="20"/>
          <w:szCs w:val="20"/>
        </w:rPr>
      </w:pPr>
    </w:p>
    <w:p w14:paraId="79DCD158" w14:textId="77777777" w:rsidR="00C420E7" w:rsidRPr="003D070E" w:rsidRDefault="00C420E7" w:rsidP="00C420E7">
      <w:pPr>
        <w:ind w:right="-182"/>
        <w:jc w:val="center"/>
        <w:rPr>
          <w:rFonts w:asciiTheme="majorHAnsi" w:eastAsia="Calibri" w:hAnsiTheme="majorHAnsi" w:cstheme="majorHAnsi"/>
          <w:color w:val="7F7F7F"/>
          <w:sz w:val="20"/>
          <w:szCs w:val="20"/>
        </w:rPr>
      </w:pPr>
    </w:p>
    <w:p w14:paraId="27582903" w14:textId="77777777" w:rsidR="00C420E7" w:rsidRPr="003D070E" w:rsidRDefault="00C420E7" w:rsidP="00C420E7">
      <w:pPr>
        <w:ind w:right="-182"/>
        <w:jc w:val="center"/>
        <w:rPr>
          <w:rFonts w:asciiTheme="majorHAnsi" w:eastAsia="Calibri" w:hAnsiTheme="majorHAnsi" w:cstheme="majorHAnsi"/>
          <w:color w:val="7F7F7F"/>
          <w:sz w:val="20"/>
          <w:szCs w:val="20"/>
        </w:rPr>
      </w:pPr>
    </w:p>
    <w:p w14:paraId="7C2A1E4B" w14:textId="77777777" w:rsidR="00C420E7" w:rsidRPr="003D070E" w:rsidRDefault="00C420E7" w:rsidP="00C420E7">
      <w:pPr>
        <w:ind w:right="-182"/>
        <w:jc w:val="center"/>
        <w:rPr>
          <w:rFonts w:asciiTheme="majorHAnsi" w:eastAsia="Calibri" w:hAnsiTheme="majorHAnsi" w:cstheme="majorHAnsi"/>
          <w:color w:val="7F7F7F"/>
          <w:sz w:val="20"/>
          <w:szCs w:val="20"/>
        </w:rPr>
      </w:pPr>
    </w:p>
    <w:p w14:paraId="76D92B03" w14:textId="77777777" w:rsidR="00C420E7" w:rsidRPr="003D070E" w:rsidRDefault="00C420E7" w:rsidP="00C420E7">
      <w:pPr>
        <w:ind w:right="-182"/>
        <w:jc w:val="center"/>
        <w:rPr>
          <w:rFonts w:asciiTheme="majorHAnsi" w:eastAsia="Calibri" w:hAnsiTheme="majorHAnsi" w:cstheme="majorHAnsi"/>
          <w:color w:val="7F7F7F"/>
          <w:sz w:val="20"/>
          <w:szCs w:val="20"/>
        </w:rPr>
      </w:pPr>
    </w:p>
    <w:p w14:paraId="33B99CF3" w14:textId="77777777" w:rsidR="00941411" w:rsidRDefault="00941411" w:rsidP="00C420E7">
      <w:pPr>
        <w:ind w:right="-40"/>
        <w:jc w:val="center"/>
        <w:rPr>
          <w:rFonts w:asciiTheme="majorHAnsi" w:eastAsia="Calibri" w:hAnsiTheme="majorHAnsi" w:cstheme="majorHAnsi"/>
          <w:i/>
          <w:color w:val="7F7F7F"/>
          <w:sz w:val="20"/>
          <w:szCs w:val="20"/>
        </w:rPr>
      </w:pPr>
    </w:p>
    <w:p w14:paraId="35044933" w14:textId="2E4F4FEA" w:rsidR="00C420E7" w:rsidRPr="00D4678F" w:rsidRDefault="00D4678F" w:rsidP="00C420E7">
      <w:pPr>
        <w:ind w:right="-40"/>
        <w:jc w:val="center"/>
        <w:rPr>
          <w:rFonts w:asciiTheme="majorHAnsi" w:eastAsia="Calibri" w:hAnsiTheme="majorHAnsi" w:cstheme="majorHAnsi"/>
          <w:i/>
          <w:color w:val="7F7F7F"/>
          <w:sz w:val="20"/>
          <w:szCs w:val="20"/>
        </w:rPr>
      </w:pPr>
      <w:r>
        <w:rPr>
          <w:rFonts w:asciiTheme="majorHAnsi" w:eastAsia="Calibri" w:hAnsiTheme="majorHAnsi" w:cstheme="majorHAnsi"/>
          <w:i/>
          <w:color w:val="7F7F7F"/>
          <w:sz w:val="20"/>
          <w:szCs w:val="20"/>
        </w:rPr>
        <w:t xml:space="preserve">                        </w:t>
      </w:r>
      <w:r w:rsidR="00C420E7" w:rsidRPr="00D4678F">
        <w:rPr>
          <w:rFonts w:asciiTheme="majorHAnsi" w:eastAsia="Calibri" w:hAnsiTheme="majorHAnsi" w:cstheme="majorHAnsi"/>
          <w:i/>
          <w:color w:val="7F7F7F"/>
          <w:sz w:val="20"/>
          <w:szCs w:val="20"/>
        </w:rPr>
        <w:t>Fuente: Informes de Gestión Oficinas Técnicas de la Dirección de Licenciamiento y Protección Radiológica</w:t>
      </w:r>
    </w:p>
    <w:p w14:paraId="1D2B0965" w14:textId="72C6E10E" w:rsidR="004D1CC3" w:rsidRDefault="004D1CC3" w:rsidP="00C420E7"/>
    <w:p w14:paraId="52B4BA90" w14:textId="7A66167A" w:rsidR="00941411" w:rsidRDefault="00941411" w:rsidP="00C420E7"/>
    <w:p w14:paraId="3979434D" w14:textId="7C17B9E9" w:rsidR="00941411" w:rsidRDefault="00941411" w:rsidP="00C420E7"/>
    <w:p w14:paraId="354410CA" w14:textId="4AE03DDD" w:rsidR="00941411" w:rsidRDefault="00941411" w:rsidP="00C420E7"/>
    <w:p w14:paraId="17B22519" w14:textId="77777777" w:rsidR="00941411" w:rsidRDefault="00941411" w:rsidP="00C420E7"/>
    <w:p w14:paraId="3938F039" w14:textId="77777777" w:rsidR="00C420E7" w:rsidRPr="00941411" w:rsidRDefault="00C420E7" w:rsidP="00941411">
      <w:pPr>
        <w:pStyle w:val="Ttulo2"/>
        <w:rPr>
          <w:sz w:val="22"/>
          <w:szCs w:val="22"/>
        </w:rPr>
      </w:pPr>
      <w:bookmarkStart w:id="273" w:name="_Toc198110312"/>
      <w:bookmarkStart w:id="274" w:name="_Toc199759570"/>
      <w:r w:rsidRPr="00941411">
        <w:rPr>
          <w:sz w:val="22"/>
          <w:szCs w:val="22"/>
        </w:rPr>
        <w:lastRenderedPageBreak/>
        <w:t>Gestión de Aplicaciones Nucleares y Cooperación Técnica</w:t>
      </w:r>
      <w:bookmarkEnd w:id="273"/>
      <w:bookmarkEnd w:id="274"/>
    </w:p>
    <w:p w14:paraId="3A983612" w14:textId="77777777" w:rsidR="00132CFA" w:rsidRDefault="00132CFA" w:rsidP="00C420E7">
      <w:pPr>
        <w:jc w:val="both"/>
        <w:rPr>
          <w:rFonts w:asciiTheme="majorHAnsi" w:eastAsia="Calibri" w:hAnsiTheme="majorHAnsi" w:cstheme="majorHAnsi"/>
          <w:sz w:val="22"/>
          <w:szCs w:val="22"/>
        </w:rPr>
      </w:pPr>
    </w:p>
    <w:p w14:paraId="70FC5021" w14:textId="77777777" w:rsidR="00C420E7" w:rsidRPr="00140C67" w:rsidRDefault="00C420E7" w:rsidP="00C420E7">
      <w:pPr>
        <w:jc w:val="both"/>
        <w:rPr>
          <w:rFonts w:asciiTheme="majorHAnsi" w:eastAsia="Calibri" w:hAnsiTheme="majorHAnsi" w:cstheme="majorHAnsi"/>
          <w:sz w:val="22"/>
          <w:szCs w:val="22"/>
        </w:rPr>
      </w:pPr>
    </w:p>
    <w:p w14:paraId="1A9AFB99" w14:textId="77777777" w:rsidR="00C420E7" w:rsidRPr="00140C67" w:rsidRDefault="00C420E7" w:rsidP="00C420E7">
      <w:pPr>
        <w:rPr>
          <w:rFonts w:asciiTheme="majorHAnsi" w:eastAsia="Calibri" w:hAnsiTheme="majorHAnsi" w:cstheme="majorHAnsi"/>
          <w:b/>
          <w:sz w:val="22"/>
          <w:szCs w:val="22"/>
        </w:rPr>
      </w:pPr>
      <w:r w:rsidRPr="00140C67">
        <w:rPr>
          <w:rFonts w:asciiTheme="majorHAnsi" w:eastAsia="Calibri" w:hAnsiTheme="majorHAnsi" w:cstheme="majorHAnsi"/>
          <w:b/>
          <w:sz w:val="22"/>
          <w:szCs w:val="22"/>
        </w:rPr>
        <w:t xml:space="preserve">2. Cooperación Técnica Internacional </w:t>
      </w:r>
    </w:p>
    <w:p w14:paraId="4937AAFA" w14:textId="77777777" w:rsidR="00192E54" w:rsidRDefault="00192E54" w:rsidP="00C420E7">
      <w:pPr>
        <w:pStyle w:val="Descripcin"/>
        <w:rPr>
          <w:rFonts w:asciiTheme="majorHAnsi" w:hAnsiTheme="majorHAnsi"/>
        </w:rPr>
      </w:pPr>
      <w:bookmarkStart w:id="275" w:name="_Toc198110367"/>
    </w:p>
    <w:p w14:paraId="1E798FED" w14:textId="5644DBDF" w:rsidR="00C420E7" w:rsidRPr="00F81B20" w:rsidRDefault="00C420E7" w:rsidP="00C420E7">
      <w:pPr>
        <w:pStyle w:val="Descripcin"/>
        <w:rPr>
          <w:rFonts w:asciiTheme="majorHAnsi" w:hAnsiTheme="majorHAnsi"/>
        </w:rPr>
      </w:pPr>
      <w:bookmarkStart w:id="276" w:name="_Toc199759692"/>
      <w:r w:rsidRPr="00F81B20">
        <w:rPr>
          <w:rFonts w:asciiTheme="majorHAnsi" w:hAnsiTheme="majorHAnsi"/>
        </w:rPr>
        <w:t xml:space="preserve">Tabla </w:t>
      </w:r>
      <w:r w:rsidR="003A269C" w:rsidRPr="00F81B20">
        <w:rPr>
          <w:rFonts w:asciiTheme="majorHAnsi" w:hAnsiTheme="majorHAnsi"/>
        </w:rPr>
        <w:fldChar w:fldCharType="begin"/>
      </w:r>
      <w:r w:rsidR="003A269C" w:rsidRPr="00F81B20">
        <w:rPr>
          <w:rFonts w:asciiTheme="majorHAnsi" w:hAnsiTheme="majorHAnsi"/>
        </w:rPr>
        <w:instrText xml:space="preserve"> SEQ Tabla \* ARABIC </w:instrText>
      </w:r>
      <w:r w:rsidR="003A269C" w:rsidRPr="00F81B20">
        <w:rPr>
          <w:rFonts w:asciiTheme="majorHAnsi" w:hAnsiTheme="majorHAnsi"/>
        </w:rPr>
        <w:fldChar w:fldCharType="separate"/>
      </w:r>
      <w:r w:rsidR="00CF0AD2">
        <w:rPr>
          <w:rFonts w:asciiTheme="majorHAnsi" w:hAnsiTheme="majorHAnsi"/>
          <w:noProof/>
        </w:rPr>
        <w:t>22</w:t>
      </w:r>
      <w:r w:rsidR="003A269C" w:rsidRPr="00F81B20">
        <w:rPr>
          <w:rFonts w:asciiTheme="majorHAnsi" w:hAnsiTheme="majorHAnsi"/>
          <w:noProof/>
        </w:rPr>
        <w:fldChar w:fldCharType="end"/>
      </w:r>
      <w:r w:rsidR="0016337C">
        <w:rPr>
          <w:rFonts w:asciiTheme="majorHAnsi" w:hAnsiTheme="majorHAnsi"/>
        </w:rPr>
        <w:t>:</w:t>
      </w:r>
      <w:r w:rsidRPr="00F81B20">
        <w:rPr>
          <w:rFonts w:asciiTheme="majorHAnsi" w:hAnsiTheme="majorHAnsi"/>
        </w:rPr>
        <w:t xml:space="preserve"> Productos Alcanzados 2024 - DANCT</w:t>
      </w:r>
      <w:bookmarkEnd w:id="275"/>
      <w:bookmarkEnd w:id="276"/>
    </w:p>
    <w:tbl>
      <w:tblPr>
        <w:tblW w:w="62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2328"/>
      </w:tblGrid>
      <w:tr w:rsidR="00C420E7" w:rsidRPr="00140C67" w14:paraId="4113B342" w14:textId="77777777" w:rsidTr="000A4588">
        <w:trPr>
          <w:trHeight w:val="360"/>
          <w:jc w:val="center"/>
        </w:trPr>
        <w:tc>
          <w:tcPr>
            <w:tcW w:w="3969" w:type="dxa"/>
            <w:shd w:val="clear" w:color="auto" w:fill="5B9BD4"/>
          </w:tcPr>
          <w:p w14:paraId="38934087" w14:textId="77777777" w:rsidR="00C420E7" w:rsidRPr="00140C67" w:rsidRDefault="00C420E7" w:rsidP="000A4588">
            <w:pPr>
              <w:spacing w:before="172"/>
              <w:jc w:val="center"/>
              <w:rPr>
                <w:rFonts w:asciiTheme="majorHAnsi" w:eastAsia="Calibri" w:hAnsiTheme="majorHAnsi" w:cstheme="majorHAnsi"/>
                <w:b/>
                <w:sz w:val="18"/>
                <w:szCs w:val="18"/>
              </w:rPr>
            </w:pPr>
            <w:r w:rsidRPr="00140C67">
              <w:rPr>
                <w:rFonts w:asciiTheme="majorHAnsi" w:eastAsia="Calibri" w:hAnsiTheme="majorHAnsi" w:cstheme="majorHAnsi"/>
                <w:b/>
                <w:color w:val="FFFFFF"/>
                <w:sz w:val="18"/>
                <w:szCs w:val="18"/>
              </w:rPr>
              <w:t>Indicador</w:t>
            </w:r>
          </w:p>
        </w:tc>
        <w:tc>
          <w:tcPr>
            <w:tcW w:w="2328" w:type="dxa"/>
            <w:shd w:val="clear" w:color="auto" w:fill="5B9BD4"/>
          </w:tcPr>
          <w:p w14:paraId="041F5530" w14:textId="77777777" w:rsidR="00C420E7" w:rsidRPr="00140C67" w:rsidRDefault="00C420E7" w:rsidP="000A4588">
            <w:pPr>
              <w:spacing w:before="172"/>
              <w:jc w:val="center"/>
              <w:rPr>
                <w:rFonts w:asciiTheme="majorHAnsi" w:eastAsia="Calibri" w:hAnsiTheme="majorHAnsi" w:cstheme="majorHAnsi"/>
                <w:b/>
                <w:sz w:val="18"/>
                <w:szCs w:val="18"/>
              </w:rPr>
            </w:pPr>
            <w:r w:rsidRPr="00140C67">
              <w:rPr>
                <w:rFonts w:asciiTheme="majorHAnsi" w:eastAsia="Calibri" w:hAnsiTheme="majorHAnsi" w:cstheme="majorHAnsi"/>
                <w:b/>
                <w:color w:val="FFFFFF"/>
                <w:sz w:val="18"/>
                <w:szCs w:val="18"/>
              </w:rPr>
              <w:t>Resultado</w:t>
            </w:r>
          </w:p>
        </w:tc>
      </w:tr>
      <w:tr w:rsidR="00C420E7" w:rsidRPr="00140C67" w14:paraId="70D2E6AE" w14:textId="77777777" w:rsidTr="000A4588">
        <w:trPr>
          <w:trHeight w:val="164"/>
          <w:jc w:val="center"/>
        </w:trPr>
        <w:tc>
          <w:tcPr>
            <w:tcW w:w="3969" w:type="dxa"/>
          </w:tcPr>
          <w:p w14:paraId="2BD0B3E2" w14:textId="77777777" w:rsidR="00C420E7" w:rsidRPr="00140C67" w:rsidRDefault="00C420E7" w:rsidP="000A4588">
            <w:pPr>
              <w:rPr>
                <w:rFonts w:asciiTheme="majorHAnsi" w:eastAsia="Calibri" w:hAnsiTheme="majorHAnsi" w:cstheme="majorHAnsi"/>
                <w:sz w:val="18"/>
                <w:szCs w:val="18"/>
              </w:rPr>
            </w:pPr>
            <w:r w:rsidRPr="00140C67">
              <w:rPr>
                <w:rFonts w:asciiTheme="majorHAnsi" w:eastAsia="Calibri" w:hAnsiTheme="majorHAnsi" w:cstheme="majorHAnsi"/>
                <w:sz w:val="18"/>
                <w:szCs w:val="18"/>
              </w:rPr>
              <w:t>Calibraciones Dosimétricas</w:t>
            </w:r>
          </w:p>
        </w:tc>
        <w:tc>
          <w:tcPr>
            <w:tcW w:w="2328" w:type="dxa"/>
          </w:tcPr>
          <w:p w14:paraId="0091B4D4" w14:textId="77777777" w:rsidR="00C420E7" w:rsidRPr="00140C67" w:rsidRDefault="00C420E7" w:rsidP="000A4588">
            <w:pPr>
              <w:jc w:val="right"/>
              <w:rPr>
                <w:rFonts w:asciiTheme="majorHAnsi" w:eastAsia="Calibri" w:hAnsiTheme="majorHAnsi" w:cstheme="majorHAnsi"/>
                <w:sz w:val="18"/>
                <w:szCs w:val="18"/>
              </w:rPr>
            </w:pPr>
            <w:r w:rsidRPr="00140C67">
              <w:rPr>
                <w:rFonts w:asciiTheme="majorHAnsi" w:eastAsia="Calibri" w:hAnsiTheme="majorHAnsi" w:cstheme="majorHAnsi"/>
                <w:sz w:val="18"/>
                <w:szCs w:val="18"/>
              </w:rPr>
              <w:t>424</w:t>
            </w:r>
          </w:p>
        </w:tc>
      </w:tr>
      <w:tr w:rsidR="00C420E7" w:rsidRPr="00140C67" w14:paraId="2CAD41B9" w14:textId="77777777" w:rsidTr="000A4588">
        <w:trPr>
          <w:trHeight w:val="164"/>
          <w:jc w:val="center"/>
        </w:trPr>
        <w:tc>
          <w:tcPr>
            <w:tcW w:w="3969" w:type="dxa"/>
          </w:tcPr>
          <w:p w14:paraId="65E88DDB" w14:textId="77777777" w:rsidR="00C420E7" w:rsidRPr="00140C67" w:rsidRDefault="00C420E7" w:rsidP="000A4588">
            <w:pPr>
              <w:rPr>
                <w:rFonts w:asciiTheme="majorHAnsi" w:eastAsia="Calibri" w:hAnsiTheme="majorHAnsi" w:cstheme="majorHAnsi"/>
                <w:sz w:val="18"/>
                <w:szCs w:val="18"/>
              </w:rPr>
            </w:pPr>
            <w:r w:rsidRPr="00140C67">
              <w:rPr>
                <w:rFonts w:asciiTheme="majorHAnsi" w:eastAsia="Calibri" w:hAnsiTheme="majorHAnsi" w:cstheme="majorHAnsi"/>
                <w:sz w:val="18"/>
                <w:szCs w:val="18"/>
              </w:rPr>
              <w:t>Análisis de Radiactividad</w:t>
            </w:r>
          </w:p>
        </w:tc>
        <w:tc>
          <w:tcPr>
            <w:tcW w:w="2328" w:type="dxa"/>
          </w:tcPr>
          <w:p w14:paraId="2596FE79" w14:textId="77777777" w:rsidR="00C420E7" w:rsidRPr="00140C67" w:rsidRDefault="00C420E7" w:rsidP="000A4588">
            <w:pPr>
              <w:jc w:val="right"/>
              <w:rPr>
                <w:rFonts w:asciiTheme="majorHAnsi" w:eastAsia="Calibri" w:hAnsiTheme="majorHAnsi" w:cstheme="majorHAnsi"/>
                <w:sz w:val="18"/>
                <w:szCs w:val="18"/>
              </w:rPr>
            </w:pPr>
            <w:r w:rsidRPr="00140C67">
              <w:rPr>
                <w:rFonts w:asciiTheme="majorHAnsi" w:eastAsia="Calibri" w:hAnsiTheme="majorHAnsi" w:cstheme="majorHAnsi"/>
                <w:sz w:val="18"/>
                <w:szCs w:val="18"/>
              </w:rPr>
              <w:t xml:space="preserve">                                       381</w:t>
            </w:r>
          </w:p>
        </w:tc>
      </w:tr>
      <w:tr w:rsidR="00C420E7" w:rsidRPr="00140C67" w14:paraId="58CE9461" w14:textId="77777777" w:rsidTr="000A4588">
        <w:trPr>
          <w:trHeight w:val="191"/>
          <w:jc w:val="center"/>
        </w:trPr>
        <w:tc>
          <w:tcPr>
            <w:tcW w:w="3969" w:type="dxa"/>
          </w:tcPr>
          <w:p w14:paraId="0DBF20EA" w14:textId="77777777" w:rsidR="00C420E7" w:rsidRPr="00140C67" w:rsidRDefault="00C420E7" w:rsidP="000A4588">
            <w:pPr>
              <w:rPr>
                <w:rFonts w:asciiTheme="majorHAnsi" w:eastAsia="Calibri" w:hAnsiTheme="majorHAnsi" w:cstheme="majorHAnsi"/>
                <w:sz w:val="18"/>
                <w:szCs w:val="18"/>
              </w:rPr>
            </w:pPr>
            <w:r w:rsidRPr="00140C67">
              <w:rPr>
                <w:rFonts w:asciiTheme="majorHAnsi" w:eastAsia="Calibri" w:hAnsiTheme="majorHAnsi" w:cstheme="majorHAnsi"/>
                <w:sz w:val="18"/>
                <w:szCs w:val="18"/>
              </w:rPr>
              <w:t>Dosimetría Personal</w:t>
            </w:r>
          </w:p>
        </w:tc>
        <w:tc>
          <w:tcPr>
            <w:tcW w:w="2328" w:type="dxa"/>
          </w:tcPr>
          <w:p w14:paraId="785E6827" w14:textId="77777777" w:rsidR="00C420E7" w:rsidRPr="00140C67" w:rsidRDefault="00C420E7" w:rsidP="000A4588">
            <w:pPr>
              <w:jc w:val="right"/>
              <w:rPr>
                <w:rFonts w:asciiTheme="majorHAnsi" w:eastAsia="Calibri" w:hAnsiTheme="majorHAnsi" w:cstheme="majorHAnsi"/>
                <w:sz w:val="18"/>
                <w:szCs w:val="18"/>
              </w:rPr>
            </w:pPr>
            <w:r w:rsidRPr="00140C67">
              <w:rPr>
                <w:rFonts w:asciiTheme="majorHAnsi" w:eastAsia="Calibri" w:hAnsiTheme="majorHAnsi" w:cstheme="majorHAnsi"/>
                <w:sz w:val="18"/>
                <w:szCs w:val="18"/>
              </w:rPr>
              <w:t>7.748</w:t>
            </w:r>
          </w:p>
        </w:tc>
      </w:tr>
      <w:tr w:rsidR="00C420E7" w:rsidRPr="00140C67" w14:paraId="0061DEE8" w14:textId="77777777" w:rsidTr="000A4588">
        <w:trPr>
          <w:trHeight w:val="191"/>
          <w:jc w:val="center"/>
        </w:trPr>
        <w:tc>
          <w:tcPr>
            <w:tcW w:w="3969" w:type="dxa"/>
          </w:tcPr>
          <w:p w14:paraId="081F42F4" w14:textId="77777777" w:rsidR="00C420E7" w:rsidRPr="00140C67" w:rsidRDefault="00C420E7" w:rsidP="000A4588">
            <w:pPr>
              <w:rPr>
                <w:rFonts w:asciiTheme="majorHAnsi" w:eastAsia="Calibri" w:hAnsiTheme="majorHAnsi" w:cstheme="majorHAnsi"/>
                <w:b/>
                <w:sz w:val="18"/>
                <w:szCs w:val="18"/>
              </w:rPr>
            </w:pPr>
            <w:r w:rsidRPr="00140C67">
              <w:rPr>
                <w:rFonts w:asciiTheme="majorHAnsi" w:eastAsia="Calibri" w:hAnsiTheme="majorHAnsi" w:cstheme="majorHAnsi"/>
                <w:b/>
                <w:sz w:val="18"/>
                <w:szCs w:val="18"/>
              </w:rPr>
              <w:t xml:space="preserve">TOTAL </w:t>
            </w:r>
          </w:p>
        </w:tc>
        <w:tc>
          <w:tcPr>
            <w:tcW w:w="2328" w:type="dxa"/>
          </w:tcPr>
          <w:p w14:paraId="32584BD4" w14:textId="77777777" w:rsidR="00C420E7" w:rsidRPr="00140C67" w:rsidRDefault="00C420E7" w:rsidP="000A4588">
            <w:pPr>
              <w:jc w:val="right"/>
              <w:rPr>
                <w:rFonts w:asciiTheme="majorHAnsi" w:eastAsia="Calibri" w:hAnsiTheme="majorHAnsi" w:cstheme="majorHAnsi"/>
                <w:b/>
                <w:sz w:val="18"/>
                <w:szCs w:val="18"/>
              </w:rPr>
            </w:pPr>
            <w:r w:rsidRPr="00140C67">
              <w:rPr>
                <w:rFonts w:asciiTheme="majorHAnsi" w:eastAsia="Calibri" w:hAnsiTheme="majorHAnsi" w:cstheme="majorHAnsi"/>
                <w:b/>
                <w:sz w:val="18"/>
                <w:szCs w:val="18"/>
              </w:rPr>
              <w:t>8.553</w:t>
            </w:r>
          </w:p>
        </w:tc>
      </w:tr>
    </w:tbl>
    <w:p w14:paraId="38B5374B" w14:textId="77D61D2D" w:rsidR="00C420E7" w:rsidRPr="00192E54" w:rsidRDefault="00C420E7" w:rsidP="00192E54">
      <w:pPr>
        <w:ind w:right="794"/>
        <w:jc w:val="center"/>
        <w:rPr>
          <w:rFonts w:asciiTheme="majorHAnsi" w:eastAsia="Calibri" w:hAnsiTheme="majorHAnsi" w:cstheme="majorHAnsi"/>
          <w:i/>
          <w:color w:val="7F7F7F"/>
          <w:sz w:val="16"/>
          <w:szCs w:val="16"/>
        </w:rPr>
      </w:pPr>
      <w:r w:rsidRPr="00192E54">
        <w:rPr>
          <w:rFonts w:asciiTheme="majorHAnsi" w:eastAsia="Calibri" w:hAnsiTheme="majorHAnsi" w:cstheme="majorHAnsi"/>
          <w:i/>
          <w:color w:val="7F7F7F"/>
          <w:sz w:val="16"/>
          <w:szCs w:val="16"/>
        </w:rPr>
        <w:t>Fuente: GPR – Gobierno por Resultados</w:t>
      </w:r>
    </w:p>
    <w:p w14:paraId="604A94BB" w14:textId="77777777" w:rsidR="005817CB" w:rsidRPr="002D757D" w:rsidRDefault="005817CB" w:rsidP="00C420E7"/>
    <w:p w14:paraId="67DE368C" w14:textId="3C2523AB" w:rsidR="00C420E7" w:rsidRPr="00941411" w:rsidRDefault="00C420E7" w:rsidP="00941411">
      <w:pPr>
        <w:pStyle w:val="Ttulo4"/>
        <w:rPr>
          <w:i w:val="0"/>
        </w:rPr>
      </w:pPr>
      <w:bookmarkStart w:id="277" w:name="_Toc196494494"/>
      <w:bookmarkStart w:id="278" w:name="_Toc198110314"/>
      <w:r w:rsidRPr="00941411">
        <w:rPr>
          <w:i w:val="0"/>
        </w:rPr>
        <w:t xml:space="preserve">Planificación de la expansión del </w:t>
      </w:r>
      <w:r w:rsidR="00192E54" w:rsidRPr="00941411">
        <w:rPr>
          <w:i w:val="0"/>
        </w:rPr>
        <w:t>S</w:t>
      </w:r>
      <w:r w:rsidRPr="00941411">
        <w:rPr>
          <w:i w:val="0"/>
        </w:rPr>
        <w:t xml:space="preserve">ector </w:t>
      </w:r>
      <w:r w:rsidR="00192E54" w:rsidRPr="00941411">
        <w:rPr>
          <w:i w:val="0"/>
        </w:rPr>
        <w:t>E</w:t>
      </w:r>
      <w:r w:rsidRPr="00941411">
        <w:rPr>
          <w:i w:val="0"/>
        </w:rPr>
        <w:t>léctrico</w:t>
      </w:r>
      <w:bookmarkEnd w:id="277"/>
      <w:bookmarkEnd w:id="278"/>
    </w:p>
    <w:p w14:paraId="52DF82F5" w14:textId="77777777" w:rsidR="00C420E7" w:rsidRPr="00FF13B0" w:rsidRDefault="00C420E7" w:rsidP="00C420E7">
      <w:pPr>
        <w:pBdr>
          <w:top w:val="nil"/>
          <w:left w:val="nil"/>
          <w:bottom w:val="nil"/>
          <w:right w:val="nil"/>
          <w:between w:val="nil"/>
        </w:pBdr>
        <w:tabs>
          <w:tab w:val="left" w:pos="769"/>
          <w:tab w:val="left" w:pos="769"/>
        </w:tabs>
        <w:ind w:left="792"/>
        <w:rPr>
          <w:rFonts w:ascii="Calibri Light" w:hAnsi="Calibri Light" w:cs="Calibri Light"/>
          <w:b/>
          <w:i/>
          <w:color w:val="1F3762"/>
          <w:sz w:val="22"/>
          <w:szCs w:val="22"/>
        </w:rPr>
      </w:pPr>
      <w:bookmarkStart w:id="279" w:name="_heading=h.7sxisj8lhq8g" w:colFirst="0" w:colLast="0"/>
      <w:bookmarkEnd w:id="279"/>
    </w:p>
    <w:p w14:paraId="63AFD2A2" w14:textId="77777777" w:rsidR="00C420E7" w:rsidRPr="00FF13B0" w:rsidRDefault="00C420E7" w:rsidP="00C420E7">
      <w:pPr>
        <w:autoSpaceDE w:val="0"/>
        <w:autoSpaceDN w:val="0"/>
        <w:adjustRightInd w:val="0"/>
        <w:jc w:val="both"/>
        <w:rPr>
          <w:rFonts w:ascii="Calibri Light" w:hAnsi="Calibri Light" w:cs="Calibri Light"/>
          <w:sz w:val="22"/>
          <w:szCs w:val="22"/>
        </w:rPr>
      </w:pPr>
      <w:r w:rsidRPr="003D7BA4">
        <w:rPr>
          <w:rFonts w:asciiTheme="majorHAnsi" w:hAnsiTheme="majorHAnsi" w:cstheme="majorHAnsi"/>
          <w:b/>
          <w:sz w:val="22"/>
        </w:rPr>
        <w:t>Aprobación del Plan Maestro de Electricidad 2023-2032</w:t>
      </w:r>
      <w:r>
        <w:rPr>
          <w:rFonts w:asciiTheme="majorHAnsi" w:hAnsiTheme="majorHAnsi" w:cstheme="majorHAnsi"/>
          <w:b/>
          <w:sz w:val="22"/>
        </w:rPr>
        <w:t>:</w:t>
      </w:r>
      <w:bookmarkStart w:id="280" w:name="_heading=h.p4hma1vgtgdx" w:colFirst="0" w:colLast="0"/>
      <w:bookmarkEnd w:id="280"/>
      <w:r>
        <w:rPr>
          <w:rFonts w:asciiTheme="majorHAnsi" w:hAnsiTheme="majorHAnsi" w:cstheme="majorHAnsi"/>
          <w:b/>
          <w:sz w:val="22"/>
        </w:rPr>
        <w:t xml:space="preserve"> </w:t>
      </w:r>
      <w:r w:rsidRPr="00FF13B0">
        <w:rPr>
          <w:rFonts w:ascii="Calibri Light" w:hAnsi="Calibri Light" w:cs="Calibri Light"/>
          <w:sz w:val="22"/>
          <w:szCs w:val="22"/>
        </w:rPr>
        <w:t xml:space="preserve">La DAPE presentó al Viceministro de Electricidad y Energía Renovable, </w:t>
      </w:r>
      <w:r>
        <w:rPr>
          <w:rFonts w:ascii="Calibri Light" w:hAnsi="Calibri Light" w:cs="Calibri Light"/>
          <w:sz w:val="22"/>
          <w:szCs w:val="22"/>
        </w:rPr>
        <w:t>la propuesta d</w:t>
      </w:r>
      <w:r w:rsidRPr="00FF13B0">
        <w:rPr>
          <w:rFonts w:ascii="Calibri Light" w:hAnsi="Calibri Light" w:cs="Calibri Light"/>
          <w:sz w:val="22"/>
          <w:szCs w:val="22"/>
        </w:rPr>
        <w:t xml:space="preserve">el Plan Maestro de Electricidad - PME, para el período 2023 </w:t>
      </w:r>
      <w:r>
        <w:rPr>
          <w:rFonts w:ascii="Calibri Light" w:hAnsi="Calibri Light" w:cs="Calibri Light"/>
          <w:sz w:val="22"/>
          <w:szCs w:val="22"/>
        </w:rPr>
        <w:t>–</w:t>
      </w:r>
      <w:r w:rsidRPr="00FF13B0">
        <w:rPr>
          <w:rFonts w:ascii="Calibri Light" w:hAnsi="Calibri Light" w:cs="Calibri Light"/>
          <w:sz w:val="22"/>
          <w:szCs w:val="22"/>
        </w:rPr>
        <w:t xml:space="preserve"> 203</w:t>
      </w:r>
      <w:r>
        <w:rPr>
          <w:rFonts w:ascii="Calibri Light" w:hAnsi="Calibri Light" w:cs="Calibri Light"/>
          <w:sz w:val="22"/>
          <w:szCs w:val="22"/>
        </w:rPr>
        <w:t xml:space="preserve">2. </w:t>
      </w:r>
      <w:r w:rsidRPr="00FF13B0">
        <w:rPr>
          <w:rFonts w:ascii="Calibri Light" w:hAnsi="Calibri Light" w:cs="Calibri Light"/>
          <w:sz w:val="22"/>
          <w:szCs w:val="22"/>
        </w:rPr>
        <w:t>Mediante Acuerdo Ministerial Nro. MEM-MEM-2024-0017-AM, de 30 de junio de 2024, el Señor Ministro de Energía y Minas</w:t>
      </w:r>
      <w:r>
        <w:rPr>
          <w:rFonts w:ascii="Calibri Light" w:hAnsi="Calibri Light" w:cs="Calibri Light"/>
          <w:sz w:val="22"/>
          <w:szCs w:val="22"/>
        </w:rPr>
        <w:t xml:space="preserve"> </w:t>
      </w:r>
      <w:r w:rsidRPr="00FF13B0">
        <w:rPr>
          <w:rFonts w:ascii="Calibri Light" w:hAnsi="Calibri Light" w:cs="Calibri Light"/>
          <w:sz w:val="22"/>
          <w:szCs w:val="22"/>
        </w:rPr>
        <w:t>aprobó el Plan Maestro de Electricidad (PME) 2023-2032.</w:t>
      </w:r>
    </w:p>
    <w:p w14:paraId="6B3084B0" w14:textId="77777777" w:rsidR="00C420E7" w:rsidRPr="00FF13B0" w:rsidRDefault="00C420E7" w:rsidP="00C420E7">
      <w:pPr>
        <w:jc w:val="both"/>
        <w:rPr>
          <w:rFonts w:ascii="Calibri Light" w:hAnsi="Calibri Light" w:cs="Calibri Light"/>
          <w:sz w:val="22"/>
          <w:szCs w:val="22"/>
        </w:rPr>
      </w:pPr>
    </w:p>
    <w:p w14:paraId="4EB2F722" w14:textId="0C07C1E6" w:rsidR="00C420E7" w:rsidRPr="00DB40CC" w:rsidRDefault="00C420E7" w:rsidP="00DB40CC">
      <w:pPr>
        <w:autoSpaceDE w:val="0"/>
        <w:autoSpaceDN w:val="0"/>
        <w:adjustRightInd w:val="0"/>
        <w:jc w:val="both"/>
        <w:rPr>
          <w:rFonts w:ascii="Calibri Light" w:hAnsi="Calibri Light" w:cs="Calibri Light"/>
          <w:sz w:val="22"/>
          <w:szCs w:val="22"/>
        </w:rPr>
      </w:pPr>
      <w:bookmarkStart w:id="281" w:name="_heading=h.17dp8vu" w:colFirst="0" w:colLast="0"/>
      <w:bookmarkEnd w:id="281"/>
      <w:r w:rsidRPr="003D7BA4">
        <w:rPr>
          <w:rFonts w:asciiTheme="majorHAnsi" w:hAnsiTheme="majorHAnsi" w:cstheme="majorHAnsi"/>
          <w:b/>
          <w:sz w:val="22"/>
        </w:rPr>
        <w:t>Ajuste al Plan Maestro de Electricidad con horizonte al 2034</w:t>
      </w:r>
      <w:r>
        <w:rPr>
          <w:rFonts w:asciiTheme="majorHAnsi" w:hAnsiTheme="majorHAnsi" w:cstheme="majorHAnsi"/>
          <w:b/>
          <w:sz w:val="22"/>
        </w:rPr>
        <w:t xml:space="preserve">: </w:t>
      </w:r>
      <w:r w:rsidRPr="00FF13B0">
        <w:rPr>
          <w:rFonts w:ascii="Calibri Light" w:hAnsi="Calibri Light" w:cs="Calibri Light"/>
          <w:sz w:val="22"/>
          <w:szCs w:val="22"/>
        </w:rPr>
        <w:t>En el Artículo 2 del Acuerdo Ministerial Nro. MEM-MEM-2024-0017-AM, dispone a la Dirección de Análisis y Prospectiva Eléctrica (DAPE), realice un ajuste al Plan Maestro de Electricidad, PME 2023-2032</w:t>
      </w:r>
      <w:r>
        <w:rPr>
          <w:rFonts w:ascii="Calibri Light" w:hAnsi="Calibri Light" w:cs="Calibri Light"/>
          <w:sz w:val="22"/>
          <w:szCs w:val="22"/>
        </w:rPr>
        <w:t xml:space="preserve">. </w:t>
      </w:r>
      <w:r w:rsidRPr="00FF13B0">
        <w:rPr>
          <w:rFonts w:ascii="Calibri Light" w:hAnsi="Calibri Light" w:cs="Calibri Light"/>
          <w:sz w:val="22"/>
          <w:szCs w:val="22"/>
        </w:rPr>
        <w:t>Se estima que, a diciembre del 2024, el ajuste al Plan Maestro de Electricidad 2023-2032 cuenta con un avance del 29%.</w:t>
      </w:r>
      <w:bookmarkStart w:id="282" w:name="_heading=h.3rdcrjn" w:colFirst="0" w:colLast="0"/>
      <w:bookmarkEnd w:id="282"/>
    </w:p>
    <w:p w14:paraId="242DAC0C" w14:textId="77777777" w:rsidR="00213F2B" w:rsidRDefault="00213F2B" w:rsidP="00C420E7">
      <w:pPr>
        <w:pBdr>
          <w:top w:val="nil"/>
          <w:left w:val="nil"/>
          <w:bottom w:val="nil"/>
          <w:right w:val="nil"/>
          <w:between w:val="nil"/>
        </w:pBdr>
        <w:tabs>
          <w:tab w:val="left" w:pos="921"/>
          <w:tab w:val="left" w:pos="922"/>
        </w:tabs>
        <w:spacing w:before="1"/>
        <w:jc w:val="both"/>
        <w:rPr>
          <w:rFonts w:ascii="Calibri Light" w:eastAsia="Calibri" w:hAnsi="Calibri Light" w:cs="Calibri Light"/>
          <w:b/>
          <w:color w:val="000000"/>
          <w:sz w:val="22"/>
          <w:szCs w:val="22"/>
        </w:rPr>
      </w:pPr>
    </w:p>
    <w:p w14:paraId="42BFB7AE" w14:textId="66E2C1B2" w:rsidR="00C420E7" w:rsidRPr="00FF13B0" w:rsidRDefault="00C420E7" w:rsidP="00C420E7">
      <w:pPr>
        <w:pBdr>
          <w:top w:val="nil"/>
          <w:left w:val="nil"/>
          <w:bottom w:val="nil"/>
          <w:right w:val="nil"/>
          <w:between w:val="nil"/>
        </w:pBdr>
        <w:tabs>
          <w:tab w:val="left" w:pos="921"/>
          <w:tab w:val="left" w:pos="922"/>
        </w:tabs>
        <w:spacing w:before="1"/>
        <w:jc w:val="both"/>
        <w:rPr>
          <w:rFonts w:ascii="Calibri Light" w:eastAsia="Calibri" w:hAnsi="Calibri Light" w:cs="Calibri Light"/>
          <w:color w:val="000000"/>
          <w:sz w:val="22"/>
          <w:szCs w:val="22"/>
        </w:rPr>
      </w:pPr>
      <w:r w:rsidRPr="00FF13B0">
        <w:rPr>
          <w:rFonts w:ascii="Calibri Light" w:eastAsia="Calibri" w:hAnsi="Calibri Light" w:cs="Calibri Light"/>
          <w:b/>
          <w:color w:val="000000"/>
          <w:sz w:val="22"/>
          <w:szCs w:val="22"/>
        </w:rPr>
        <w:t xml:space="preserve">Aprobación de la “Hoja de Ruta del Hidrógeno Verde en Ecuador”: </w:t>
      </w:r>
      <w:r>
        <w:rPr>
          <w:rFonts w:ascii="Calibri Light" w:eastAsia="Calibri" w:hAnsi="Calibri Light" w:cs="Calibri Light"/>
          <w:color w:val="000000"/>
          <w:sz w:val="22"/>
          <w:szCs w:val="22"/>
        </w:rPr>
        <w:t xml:space="preserve">Coordinó la expedición del </w:t>
      </w:r>
      <w:r w:rsidRPr="00FF13B0">
        <w:rPr>
          <w:rFonts w:ascii="Calibri Light" w:eastAsia="Calibri" w:hAnsi="Calibri Light" w:cs="Calibri Light"/>
          <w:color w:val="000000"/>
          <w:sz w:val="22"/>
          <w:szCs w:val="22"/>
        </w:rPr>
        <w:t>acuerdo Ministerial Nro. MEM-MEM-2024-0018-AM</w:t>
      </w:r>
      <w:r>
        <w:rPr>
          <w:rFonts w:ascii="Calibri Light" w:eastAsia="Calibri" w:hAnsi="Calibri Light" w:cs="Calibri Light"/>
          <w:color w:val="000000"/>
          <w:sz w:val="22"/>
          <w:szCs w:val="22"/>
        </w:rPr>
        <w:t xml:space="preserve">, en el cual, se </w:t>
      </w:r>
      <w:r w:rsidRPr="00FF13B0">
        <w:rPr>
          <w:rFonts w:ascii="Calibri Light" w:eastAsia="Calibri" w:hAnsi="Calibri Light" w:cs="Calibri Light"/>
          <w:color w:val="000000"/>
          <w:sz w:val="22"/>
          <w:szCs w:val="22"/>
        </w:rPr>
        <w:t xml:space="preserve">reconoció al hidrógeno como vector energético clave para alcanzar los compromisos de descarbonización y transición energética justa adquiridos por Ecuador. Además, </w:t>
      </w:r>
      <w:r>
        <w:rPr>
          <w:rFonts w:ascii="Calibri Light" w:eastAsia="Calibri" w:hAnsi="Calibri Light" w:cs="Calibri Light"/>
          <w:color w:val="000000"/>
          <w:sz w:val="22"/>
          <w:szCs w:val="22"/>
        </w:rPr>
        <w:t xml:space="preserve">de la aprobación de la </w:t>
      </w:r>
      <w:r w:rsidRPr="00FF13B0">
        <w:rPr>
          <w:rFonts w:ascii="Calibri Light" w:eastAsia="Calibri" w:hAnsi="Calibri Light" w:cs="Calibri Light"/>
          <w:color w:val="000000"/>
          <w:sz w:val="22"/>
          <w:szCs w:val="22"/>
        </w:rPr>
        <w:t>“Hoja de Ruta del Hidrógeno Verde en Ecuador”, con el objeto de asegurar el despliegue seguro y la penetración exitosa del hidrógeno verde en los diferentes sectores.</w:t>
      </w:r>
    </w:p>
    <w:p w14:paraId="4FF6705E" w14:textId="77777777" w:rsidR="00C420E7" w:rsidRPr="00FF13B0" w:rsidRDefault="00C420E7" w:rsidP="00C420E7">
      <w:pPr>
        <w:pBdr>
          <w:top w:val="nil"/>
          <w:left w:val="nil"/>
          <w:bottom w:val="nil"/>
          <w:right w:val="nil"/>
          <w:between w:val="nil"/>
        </w:pBdr>
        <w:spacing w:before="4"/>
        <w:rPr>
          <w:rFonts w:ascii="Calibri Light" w:eastAsia="Calibri" w:hAnsi="Calibri Light" w:cs="Calibri Light"/>
          <w:color w:val="000000"/>
          <w:sz w:val="22"/>
          <w:szCs w:val="22"/>
        </w:rPr>
      </w:pPr>
    </w:p>
    <w:p w14:paraId="3C419E0A" w14:textId="77777777" w:rsidR="00C420E7" w:rsidRPr="00FF13B0" w:rsidRDefault="00C420E7" w:rsidP="00C420E7">
      <w:pPr>
        <w:pBdr>
          <w:top w:val="nil"/>
          <w:left w:val="nil"/>
          <w:bottom w:val="nil"/>
          <w:right w:val="nil"/>
          <w:between w:val="nil"/>
        </w:pBdr>
        <w:spacing w:before="1"/>
        <w:jc w:val="both"/>
        <w:rPr>
          <w:rFonts w:ascii="Calibri Light" w:eastAsia="Calibri" w:hAnsi="Calibri Light" w:cs="Calibri Light"/>
          <w:color w:val="000000"/>
          <w:sz w:val="22"/>
          <w:szCs w:val="22"/>
        </w:rPr>
      </w:pPr>
      <w:r w:rsidRPr="00FF13B0">
        <w:rPr>
          <w:rFonts w:ascii="Calibri Light" w:eastAsia="Calibri" w:hAnsi="Calibri Light" w:cs="Calibri Light"/>
          <w:b/>
          <w:color w:val="000000"/>
          <w:sz w:val="22"/>
          <w:szCs w:val="22"/>
        </w:rPr>
        <w:t>Proyecto</w:t>
      </w:r>
      <w:r>
        <w:rPr>
          <w:rFonts w:ascii="Calibri Light" w:eastAsia="Calibri" w:hAnsi="Calibri Light" w:cs="Calibri Light"/>
          <w:b/>
          <w:color w:val="000000"/>
          <w:sz w:val="22"/>
          <w:szCs w:val="22"/>
        </w:rPr>
        <w:t xml:space="preserve"> </w:t>
      </w:r>
      <w:r w:rsidRPr="00706AAA">
        <w:rPr>
          <w:rFonts w:ascii="Calibri Light" w:eastAsia="Calibri" w:hAnsi="Calibri Light" w:cs="Calibri Light"/>
          <w:b/>
          <w:color w:val="000000"/>
          <w:sz w:val="22"/>
          <w:szCs w:val="22"/>
        </w:rPr>
        <w:t xml:space="preserve">certificación para el hidrógeno limpio y/o de bajas emisiones y sus derivados para Latinoamérica y el Caribe </w:t>
      </w:r>
      <w:proofErr w:type="spellStart"/>
      <w:r w:rsidRPr="00706AAA">
        <w:rPr>
          <w:rFonts w:ascii="Calibri Light" w:eastAsia="Calibri" w:hAnsi="Calibri Light" w:cs="Calibri Light"/>
          <w:b/>
          <w:color w:val="000000"/>
          <w:sz w:val="22"/>
          <w:szCs w:val="22"/>
        </w:rPr>
        <w:t>CertHILAC</w:t>
      </w:r>
      <w:proofErr w:type="spellEnd"/>
      <w:r w:rsidRPr="00FF13B0">
        <w:rPr>
          <w:rFonts w:ascii="Calibri Light" w:eastAsia="Calibri" w:hAnsi="Calibri Light" w:cs="Calibri Light"/>
          <w:b/>
          <w:color w:val="000000"/>
          <w:sz w:val="22"/>
          <w:szCs w:val="22"/>
        </w:rPr>
        <w:t xml:space="preserve"> – OLADE</w:t>
      </w:r>
      <w:r w:rsidRPr="00FF13B0">
        <w:rPr>
          <w:rFonts w:ascii="Calibri Light" w:eastAsia="Calibri" w:hAnsi="Calibri Light" w:cs="Calibri Light"/>
          <w:color w:val="000000"/>
          <w:sz w:val="22"/>
          <w:szCs w:val="22"/>
        </w:rPr>
        <w:t xml:space="preserve">: </w:t>
      </w:r>
      <w:r>
        <w:rPr>
          <w:rFonts w:ascii="Calibri Light" w:eastAsia="Calibri" w:hAnsi="Calibri Light" w:cs="Calibri Light"/>
          <w:color w:val="000000"/>
          <w:sz w:val="22"/>
          <w:szCs w:val="22"/>
        </w:rPr>
        <w:t xml:space="preserve">la DAPE </w:t>
      </w:r>
      <w:r w:rsidRPr="00FF13B0">
        <w:rPr>
          <w:rFonts w:ascii="Calibri Light" w:eastAsia="Calibri" w:hAnsi="Calibri Light" w:cs="Calibri Light"/>
          <w:color w:val="000000"/>
          <w:sz w:val="22"/>
          <w:szCs w:val="22"/>
        </w:rPr>
        <w:t>participó en 2 talleres virtuales conjuntamente con OLADE y los representantes de los países</w:t>
      </w:r>
      <w:r>
        <w:rPr>
          <w:rFonts w:ascii="Calibri Light" w:eastAsia="Calibri" w:hAnsi="Calibri Light" w:cs="Calibri Light"/>
          <w:color w:val="000000"/>
          <w:sz w:val="22"/>
          <w:szCs w:val="22"/>
        </w:rPr>
        <w:t xml:space="preserve">, </w:t>
      </w:r>
      <w:r w:rsidRPr="00FF13B0">
        <w:rPr>
          <w:rFonts w:ascii="Calibri Light" w:eastAsia="Calibri" w:hAnsi="Calibri Light" w:cs="Calibri Light"/>
          <w:color w:val="000000"/>
          <w:sz w:val="22"/>
          <w:szCs w:val="22"/>
        </w:rPr>
        <w:t>para tratar temas como: la estructura de Gobernanza regional para las etapas de desarrollo e implementación, el Reglamento General, presentación de los roles y responsabilidades de los actores dentro de la Gobernanza.</w:t>
      </w:r>
    </w:p>
    <w:p w14:paraId="3C58C1F2" w14:textId="77777777" w:rsidR="00C420E7" w:rsidRPr="00FF13B0" w:rsidRDefault="00C420E7" w:rsidP="00C420E7">
      <w:pPr>
        <w:pBdr>
          <w:top w:val="nil"/>
          <w:left w:val="nil"/>
          <w:bottom w:val="nil"/>
          <w:right w:val="nil"/>
          <w:between w:val="nil"/>
        </w:pBdr>
        <w:rPr>
          <w:rFonts w:ascii="Calibri Light" w:eastAsia="Calibri" w:hAnsi="Calibri Light" w:cs="Calibri Light"/>
          <w:color w:val="000000"/>
          <w:sz w:val="22"/>
          <w:szCs w:val="22"/>
        </w:rPr>
      </w:pPr>
    </w:p>
    <w:p w14:paraId="3415325D" w14:textId="77777777" w:rsidR="00C420E7" w:rsidRPr="00FF13B0" w:rsidRDefault="00C420E7" w:rsidP="00C420E7">
      <w:pPr>
        <w:pBdr>
          <w:top w:val="nil"/>
          <w:left w:val="nil"/>
          <w:bottom w:val="nil"/>
          <w:right w:val="nil"/>
          <w:between w:val="nil"/>
        </w:pBdr>
        <w:tabs>
          <w:tab w:val="left" w:pos="7655"/>
        </w:tabs>
        <w:spacing w:before="1"/>
        <w:jc w:val="both"/>
        <w:rPr>
          <w:rFonts w:ascii="Calibri Light" w:eastAsia="Calibri" w:hAnsi="Calibri Light" w:cs="Calibri Light"/>
          <w:color w:val="000000"/>
          <w:sz w:val="22"/>
          <w:szCs w:val="22"/>
        </w:rPr>
      </w:pPr>
      <w:r w:rsidRPr="00FF13B0">
        <w:rPr>
          <w:rFonts w:ascii="Calibri Light" w:eastAsia="Calibri" w:hAnsi="Calibri Light" w:cs="Calibri Light"/>
          <w:b/>
          <w:color w:val="000000"/>
          <w:sz w:val="22"/>
          <w:szCs w:val="22"/>
        </w:rPr>
        <w:t>Análisis e Informes adicionales solicitados a la DAPE de nuevos proyectos de generación:</w:t>
      </w:r>
      <w:r w:rsidRPr="00FF13B0">
        <w:rPr>
          <w:rFonts w:ascii="Calibri Light" w:eastAsia="Calibri" w:hAnsi="Calibri Light" w:cs="Calibri Light"/>
          <w:color w:val="000000"/>
          <w:sz w:val="22"/>
          <w:szCs w:val="22"/>
        </w:rPr>
        <w:t xml:space="preserve"> La DAPE en lo referente a nuevos proyectos de generación, ha elaborado los siguientes documentos:</w:t>
      </w:r>
    </w:p>
    <w:p w14:paraId="2C39DE45" w14:textId="77777777" w:rsidR="00C420E7" w:rsidRPr="00FF13B0" w:rsidRDefault="00C420E7" w:rsidP="00C420E7">
      <w:pPr>
        <w:pBdr>
          <w:top w:val="nil"/>
          <w:left w:val="nil"/>
          <w:bottom w:val="nil"/>
          <w:right w:val="nil"/>
          <w:between w:val="nil"/>
        </w:pBdr>
        <w:spacing w:before="6"/>
        <w:rPr>
          <w:rFonts w:ascii="Calibri Light" w:eastAsia="Calibri" w:hAnsi="Calibri Light" w:cs="Calibri Light"/>
          <w:color w:val="000000"/>
          <w:sz w:val="22"/>
          <w:szCs w:val="22"/>
        </w:rPr>
      </w:pPr>
    </w:p>
    <w:p w14:paraId="4310D7A8" w14:textId="77777777" w:rsidR="00C420E7" w:rsidRPr="00FF13B0" w:rsidRDefault="00C420E7" w:rsidP="00C420E7">
      <w:pPr>
        <w:widowControl w:val="0"/>
        <w:numPr>
          <w:ilvl w:val="0"/>
          <w:numId w:val="180"/>
        </w:numPr>
        <w:pBdr>
          <w:top w:val="nil"/>
          <w:left w:val="nil"/>
          <w:bottom w:val="nil"/>
          <w:right w:val="nil"/>
          <w:between w:val="nil"/>
        </w:pBdr>
        <w:tabs>
          <w:tab w:val="left" w:pos="486"/>
        </w:tabs>
        <w:ind w:left="284"/>
        <w:jc w:val="both"/>
        <w:rPr>
          <w:rFonts w:ascii="Calibri Light" w:eastAsia="Calibri" w:hAnsi="Calibri Light" w:cs="Calibri Light"/>
          <w:color w:val="000000"/>
          <w:sz w:val="22"/>
          <w:szCs w:val="22"/>
        </w:rPr>
      </w:pPr>
      <w:r w:rsidRPr="00FF13B0">
        <w:rPr>
          <w:rFonts w:ascii="Calibri Light" w:eastAsia="Calibri" w:hAnsi="Calibri Light" w:cs="Calibri Light"/>
          <w:color w:val="000000"/>
          <w:sz w:val="22"/>
          <w:szCs w:val="22"/>
        </w:rPr>
        <w:t>Participación en el Taller de Elegibilidad de los Proyectos Hidroeléctricos Santiago (2.400 MW) y Cardenillo (596 MW), con la Secretaría de Inversiones Público – Privadas.</w:t>
      </w:r>
    </w:p>
    <w:p w14:paraId="782E12A8" w14:textId="77777777" w:rsidR="00C420E7" w:rsidRPr="00FF13B0" w:rsidRDefault="00C420E7" w:rsidP="00C420E7">
      <w:pPr>
        <w:widowControl w:val="0"/>
        <w:numPr>
          <w:ilvl w:val="0"/>
          <w:numId w:val="180"/>
        </w:numPr>
        <w:pBdr>
          <w:top w:val="nil"/>
          <w:left w:val="nil"/>
          <w:bottom w:val="nil"/>
          <w:right w:val="nil"/>
          <w:between w:val="nil"/>
        </w:pBdr>
        <w:tabs>
          <w:tab w:val="left" w:pos="486"/>
        </w:tabs>
        <w:spacing w:before="1"/>
        <w:ind w:left="284"/>
        <w:jc w:val="both"/>
        <w:rPr>
          <w:rFonts w:ascii="Calibri Light" w:eastAsia="Calibri" w:hAnsi="Calibri Light" w:cs="Calibri Light"/>
          <w:color w:val="000000"/>
          <w:sz w:val="22"/>
          <w:szCs w:val="22"/>
        </w:rPr>
      </w:pPr>
      <w:r w:rsidRPr="00FF13B0">
        <w:rPr>
          <w:rFonts w:ascii="Calibri Light" w:eastAsia="Calibri" w:hAnsi="Calibri Light" w:cs="Calibri Light"/>
          <w:color w:val="000000"/>
          <w:sz w:val="22"/>
          <w:szCs w:val="22"/>
        </w:rPr>
        <w:t>Participación con USAID en el Proyecto ESE (Energía Sostenible para Ecuador), en las reuniones de trabajo y revisión del documento: “Estudio de Factibilidad Técnica y Económica para la Implementación de Sistemas de Almacenamiento de Energía con Baterías en el Sistema Nacional Interconectado de Ecuador”.</w:t>
      </w:r>
    </w:p>
    <w:p w14:paraId="1A8EB3F0" w14:textId="77777777" w:rsidR="00C420E7" w:rsidRPr="00FF13B0" w:rsidRDefault="00C420E7" w:rsidP="00C420E7">
      <w:pPr>
        <w:widowControl w:val="0"/>
        <w:numPr>
          <w:ilvl w:val="0"/>
          <w:numId w:val="180"/>
        </w:numPr>
        <w:tabs>
          <w:tab w:val="left" w:pos="486"/>
        </w:tabs>
        <w:ind w:left="284"/>
        <w:jc w:val="both"/>
        <w:rPr>
          <w:rFonts w:ascii="Calibri Light" w:eastAsia="Calibri" w:hAnsi="Calibri Light" w:cs="Calibri Light"/>
          <w:color w:val="000000"/>
          <w:sz w:val="22"/>
          <w:szCs w:val="22"/>
        </w:rPr>
      </w:pPr>
      <w:r w:rsidRPr="00FF13B0">
        <w:rPr>
          <w:rFonts w:ascii="Calibri Light" w:eastAsia="Calibri" w:hAnsi="Calibri Light" w:cs="Calibri Light"/>
          <w:color w:val="000000"/>
          <w:sz w:val="22"/>
          <w:szCs w:val="22"/>
        </w:rPr>
        <w:t>Pronunciamiento técnico sobre el retiro de la Central Térmica El Descanso (17,2 MW)</w:t>
      </w:r>
    </w:p>
    <w:p w14:paraId="6F99D03B" w14:textId="77777777" w:rsidR="00C420E7" w:rsidRPr="00FF13B0" w:rsidRDefault="00C420E7" w:rsidP="00C420E7">
      <w:pPr>
        <w:widowControl w:val="0"/>
        <w:numPr>
          <w:ilvl w:val="0"/>
          <w:numId w:val="180"/>
        </w:numPr>
        <w:tabs>
          <w:tab w:val="left" w:pos="486"/>
        </w:tabs>
        <w:ind w:left="284"/>
        <w:jc w:val="both"/>
        <w:rPr>
          <w:rFonts w:ascii="Calibri Light" w:eastAsia="Calibri" w:hAnsi="Calibri Light" w:cs="Calibri Light"/>
          <w:color w:val="000000"/>
          <w:sz w:val="22"/>
          <w:szCs w:val="22"/>
        </w:rPr>
      </w:pPr>
      <w:r w:rsidRPr="00FF13B0">
        <w:rPr>
          <w:rFonts w:ascii="Calibri Light" w:eastAsia="Calibri" w:hAnsi="Calibri Light" w:cs="Calibri Light"/>
          <w:color w:val="000000"/>
          <w:sz w:val="22"/>
          <w:szCs w:val="22"/>
        </w:rPr>
        <w:t>Pronunciamiento Técnico sobre los siguientes proyectos de generación:</w:t>
      </w:r>
    </w:p>
    <w:p w14:paraId="7AD663A9" w14:textId="77777777" w:rsidR="00C420E7" w:rsidRDefault="00C420E7" w:rsidP="00C420E7">
      <w:pPr>
        <w:widowControl w:val="0"/>
        <w:pBdr>
          <w:top w:val="nil"/>
          <w:left w:val="nil"/>
          <w:bottom w:val="nil"/>
          <w:right w:val="nil"/>
          <w:between w:val="nil"/>
        </w:pBdr>
        <w:jc w:val="both"/>
        <w:rPr>
          <w:rFonts w:ascii="Calibri Light" w:eastAsia="Calibri" w:hAnsi="Calibri Light" w:cs="Calibri Light"/>
          <w:color w:val="000000"/>
          <w:sz w:val="22"/>
          <w:szCs w:val="22"/>
        </w:rPr>
      </w:pPr>
    </w:p>
    <w:p w14:paraId="0DBA50E5" w14:textId="77777777" w:rsidR="00C420E7" w:rsidRPr="00377DED"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377DED">
        <w:rPr>
          <w:rFonts w:ascii="Calibri Light" w:eastAsia="Calibri" w:hAnsi="Calibri Light" w:cs="Calibri Light"/>
          <w:color w:val="000000"/>
          <w:sz w:val="22"/>
          <w:szCs w:val="22"/>
        </w:rPr>
        <w:t xml:space="preserve">Proyecto Fotovoltaico de 100 MW, de la empresa Guangzhou </w:t>
      </w:r>
      <w:proofErr w:type="spellStart"/>
      <w:r w:rsidRPr="00377DED">
        <w:rPr>
          <w:rFonts w:ascii="Calibri Light" w:eastAsia="Calibri" w:hAnsi="Calibri Light" w:cs="Calibri Light"/>
          <w:color w:val="000000"/>
          <w:sz w:val="22"/>
          <w:szCs w:val="22"/>
        </w:rPr>
        <w:t>Jianli</w:t>
      </w:r>
      <w:proofErr w:type="spellEnd"/>
      <w:r w:rsidRPr="00377DED">
        <w:rPr>
          <w:rFonts w:ascii="Calibri Light" w:eastAsia="Calibri" w:hAnsi="Calibri Light" w:cs="Calibri Light"/>
          <w:color w:val="000000"/>
          <w:sz w:val="22"/>
          <w:szCs w:val="22"/>
        </w:rPr>
        <w:t xml:space="preserve"> Industrial Cía. Ltda. </w:t>
      </w:r>
    </w:p>
    <w:p w14:paraId="3FBE1677" w14:textId="77777777" w:rsidR="00C420E7" w:rsidRPr="00207E2B"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hAnsi="Calibri Light" w:cs="Calibri Light"/>
          <w:sz w:val="22"/>
          <w:szCs w:val="22"/>
        </w:rPr>
        <w:t xml:space="preserve">Proyecto Hidroeléctrico </w:t>
      </w:r>
      <w:proofErr w:type="spellStart"/>
      <w:r w:rsidRPr="00207E2B">
        <w:rPr>
          <w:rFonts w:ascii="Calibri Light" w:hAnsi="Calibri Light" w:cs="Calibri Light"/>
          <w:sz w:val="22"/>
          <w:szCs w:val="22"/>
        </w:rPr>
        <w:t>Hidrosofía</w:t>
      </w:r>
      <w:proofErr w:type="spellEnd"/>
      <w:r w:rsidRPr="00207E2B">
        <w:rPr>
          <w:rFonts w:ascii="Calibri Light" w:hAnsi="Calibri Light" w:cs="Calibri Light"/>
          <w:sz w:val="22"/>
          <w:szCs w:val="22"/>
        </w:rPr>
        <w:t>, de 61,50 MW</w:t>
      </w:r>
    </w:p>
    <w:p w14:paraId="7A70B2B0" w14:textId="77777777" w:rsidR="00C420E7" w:rsidRPr="00207E2B"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eastAsia="Calibri" w:hAnsi="Calibri Light" w:cs="Calibri Light"/>
          <w:color w:val="000000"/>
          <w:sz w:val="22"/>
          <w:szCs w:val="22"/>
        </w:rPr>
        <w:t xml:space="preserve">Proyecto Hidroeléctrico Lagunas, de 49,99 MW </w:t>
      </w:r>
    </w:p>
    <w:p w14:paraId="5083F383" w14:textId="77777777" w:rsidR="00C420E7" w:rsidRPr="00207E2B"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hAnsi="Calibri Light" w:cs="Calibri Light"/>
          <w:sz w:val="22"/>
          <w:szCs w:val="22"/>
        </w:rPr>
        <w:t>Proyecto Hidroeléctrico Las Peñas II, de 49,99 MW</w:t>
      </w:r>
    </w:p>
    <w:p w14:paraId="7121BFE1" w14:textId="77777777" w:rsidR="00C420E7" w:rsidRPr="00207E2B"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hAnsi="Calibri Light" w:cs="Calibri Light"/>
          <w:sz w:val="22"/>
          <w:szCs w:val="22"/>
        </w:rPr>
        <w:t xml:space="preserve">Proyecto Hidroeléctrico </w:t>
      </w:r>
      <w:proofErr w:type="spellStart"/>
      <w:r w:rsidRPr="00207E2B">
        <w:rPr>
          <w:rFonts w:ascii="Calibri Light" w:hAnsi="Calibri Light" w:cs="Calibri Light"/>
          <w:sz w:val="22"/>
          <w:szCs w:val="22"/>
        </w:rPr>
        <w:t>Amaluza</w:t>
      </w:r>
      <w:proofErr w:type="spellEnd"/>
      <w:r w:rsidRPr="00207E2B">
        <w:rPr>
          <w:rFonts w:ascii="Calibri Light" w:hAnsi="Calibri Light" w:cs="Calibri Light"/>
          <w:sz w:val="22"/>
          <w:szCs w:val="22"/>
        </w:rPr>
        <w:t xml:space="preserve"> 1, de 49,98 MW</w:t>
      </w:r>
    </w:p>
    <w:p w14:paraId="36CB0C08" w14:textId="77777777" w:rsidR="00C420E7" w:rsidRPr="00207E2B"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hAnsi="Calibri Light" w:cs="Calibri Light"/>
          <w:sz w:val="22"/>
          <w:szCs w:val="22"/>
        </w:rPr>
        <w:t xml:space="preserve">Proyecto Hidroeléctrico </w:t>
      </w:r>
      <w:proofErr w:type="spellStart"/>
      <w:r w:rsidRPr="00207E2B">
        <w:rPr>
          <w:rFonts w:ascii="Calibri Light" w:hAnsi="Calibri Light" w:cs="Calibri Light"/>
          <w:sz w:val="22"/>
          <w:szCs w:val="22"/>
        </w:rPr>
        <w:t>Amaluza</w:t>
      </w:r>
      <w:proofErr w:type="spellEnd"/>
      <w:r w:rsidRPr="00207E2B">
        <w:rPr>
          <w:rFonts w:ascii="Calibri Light" w:hAnsi="Calibri Light" w:cs="Calibri Light"/>
          <w:sz w:val="22"/>
          <w:szCs w:val="22"/>
        </w:rPr>
        <w:t xml:space="preserve"> 2, de 49,98 MW</w:t>
      </w:r>
    </w:p>
    <w:p w14:paraId="26995AF6" w14:textId="77777777" w:rsidR="00C420E7" w:rsidRPr="00207E2B"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hAnsi="Calibri Light" w:cs="Calibri Light"/>
          <w:sz w:val="22"/>
          <w:szCs w:val="22"/>
        </w:rPr>
        <w:t xml:space="preserve">Proyecto Hidroeléctrico </w:t>
      </w:r>
      <w:proofErr w:type="spellStart"/>
      <w:r w:rsidRPr="00207E2B">
        <w:rPr>
          <w:rFonts w:ascii="Calibri Light" w:hAnsi="Calibri Light" w:cs="Calibri Light"/>
          <w:sz w:val="22"/>
          <w:szCs w:val="22"/>
        </w:rPr>
        <w:t>Amaluza</w:t>
      </w:r>
      <w:proofErr w:type="spellEnd"/>
      <w:r w:rsidRPr="00207E2B">
        <w:rPr>
          <w:rFonts w:ascii="Calibri Light" w:hAnsi="Calibri Light" w:cs="Calibri Light"/>
          <w:sz w:val="22"/>
          <w:szCs w:val="22"/>
        </w:rPr>
        <w:t xml:space="preserve"> 3, de 49,98 MW</w:t>
      </w:r>
    </w:p>
    <w:p w14:paraId="644350DA" w14:textId="77777777" w:rsidR="00C420E7" w:rsidRPr="00207E2B"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hAnsi="Calibri Light" w:cs="Calibri Light"/>
          <w:sz w:val="22"/>
          <w:szCs w:val="22"/>
        </w:rPr>
        <w:t xml:space="preserve">Proyecto Hidroeléctrico Nasca, de 46,20 MW. </w:t>
      </w:r>
    </w:p>
    <w:p w14:paraId="0581B1F6" w14:textId="77777777" w:rsidR="00C420E7" w:rsidRPr="00207E2B"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hAnsi="Calibri Light" w:cs="Calibri Light"/>
          <w:sz w:val="22"/>
          <w:szCs w:val="22"/>
        </w:rPr>
        <w:t xml:space="preserve">Proyecto Hidroeléctrico </w:t>
      </w:r>
      <w:proofErr w:type="spellStart"/>
      <w:r w:rsidRPr="00207E2B">
        <w:rPr>
          <w:rFonts w:ascii="Calibri Light" w:hAnsi="Calibri Light" w:cs="Calibri Light"/>
          <w:sz w:val="22"/>
          <w:szCs w:val="22"/>
        </w:rPr>
        <w:t>Hidroquest</w:t>
      </w:r>
      <w:proofErr w:type="spellEnd"/>
      <w:r w:rsidRPr="00207E2B">
        <w:rPr>
          <w:rFonts w:ascii="Calibri Light" w:hAnsi="Calibri Light" w:cs="Calibri Light"/>
          <w:sz w:val="22"/>
          <w:szCs w:val="22"/>
        </w:rPr>
        <w:t>, de 45 MW</w:t>
      </w:r>
    </w:p>
    <w:p w14:paraId="5B94DA05" w14:textId="77777777" w:rsidR="00C420E7" w:rsidRPr="00207E2B"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hAnsi="Calibri Light" w:cs="Calibri Light"/>
          <w:sz w:val="22"/>
          <w:szCs w:val="22"/>
        </w:rPr>
        <w:t>Proyecto Hidroeléctrico Gala, de 23,40 MW</w:t>
      </w:r>
    </w:p>
    <w:p w14:paraId="787CDFBC" w14:textId="77777777" w:rsidR="00C420E7" w:rsidRPr="00207E2B"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hAnsi="Calibri Light" w:cs="Calibri Light"/>
          <w:sz w:val="22"/>
          <w:szCs w:val="22"/>
        </w:rPr>
        <w:t>Proyecto Hidroeléctrico Amarillo, de 20 MW</w:t>
      </w:r>
    </w:p>
    <w:p w14:paraId="69A01B0B" w14:textId="77777777" w:rsidR="00C420E7" w:rsidRPr="00207E2B"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hAnsi="Calibri Light" w:cs="Calibri Light"/>
          <w:sz w:val="22"/>
          <w:szCs w:val="22"/>
        </w:rPr>
        <w:t xml:space="preserve">Proyecto Hidroeléctrico </w:t>
      </w:r>
      <w:proofErr w:type="spellStart"/>
      <w:proofErr w:type="gramStart"/>
      <w:r w:rsidRPr="00207E2B">
        <w:rPr>
          <w:rFonts w:ascii="Calibri Light" w:hAnsi="Calibri Light" w:cs="Calibri Light"/>
          <w:sz w:val="22"/>
          <w:szCs w:val="22"/>
        </w:rPr>
        <w:t>Hidrovillaflora</w:t>
      </w:r>
      <w:proofErr w:type="spellEnd"/>
      <w:r w:rsidRPr="00207E2B">
        <w:rPr>
          <w:rFonts w:ascii="Calibri Light" w:hAnsi="Calibri Light" w:cs="Calibri Light"/>
          <w:sz w:val="22"/>
          <w:szCs w:val="22"/>
        </w:rPr>
        <w:t xml:space="preserve"> ,</w:t>
      </w:r>
      <w:proofErr w:type="gramEnd"/>
      <w:r w:rsidRPr="00207E2B">
        <w:rPr>
          <w:rFonts w:ascii="Calibri Light" w:hAnsi="Calibri Light" w:cs="Calibri Light"/>
          <w:sz w:val="22"/>
          <w:szCs w:val="22"/>
        </w:rPr>
        <w:t xml:space="preserve"> de 20 MW</w:t>
      </w:r>
    </w:p>
    <w:p w14:paraId="3E3A56A1" w14:textId="77777777" w:rsidR="00C420E7" w:rsidRPr="00207E2B"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hAnsi="Calibri Light" w:cs="Calibri Light"/>
          <w:sz w:val="22"/>
          <w:szCs w:val="22"/>
        </w:rPr>
        <w:t>Proyecto Hidroeléctrico Hidro Omega, de 14,99 MW</w:t>
      </w:r>
    </w:p>
    <w:p w14:paraId="5F1A2BF6" w14:textId="77777777" w:rsidR="00C420E7" w:rsidRPr="00207E2B"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eastAsia="Calibri" w:hAnsi="Calibri Light" w:cs="Calibri Light"/>
          <w:color w:val="000000"/>
          <w:sz w:val="22"/>
          <w:szCs w:val="22"/>
        </w:rPr>
        <w:t xml:space="preserve">Proyecto Hidroeléctrico </w:t>
      </w:r>
      <w:proofErr w:type="spellStart"/>
      <w:r w:rsidRPr="00207E2B">
        <w:rPr>
          <w:rFonts w:ascii="Calibri Light" w:eastAsia="Calibri" w:hAnsi="Calibri Light" w:cs="Calibri Light"/>
          <w:color w:val="000000"/>
          <w:sz w:val="22"/>
          <w:szCs w:val="22"/>
        </w:rPr>
        <w:t>Hidroespejo</w:t>
      </w:r>
      <w:proofErr w:type="spellEnd"/>
      <w:r w:rsidRPr="00207E2B">
        <w:rPr>
          <w:rFonts w:ascii="Calibri Light" w:eastAsia="Calibri" w:hAnsi="Calibri Light" w:cs="Calibri Light"/>
          <w:color w:val="000000"/>
          <w:sz w:val="22"/>
          <w:szCs w:val="22"/>
        </w:rPr>
        <w:t>, de 10 MW</w:t>
      </w:r>
    </w:p>
    <w:p w14:paraId="0A157588" w14:textId="77777777" w:rsidR="00C420E7" w:rsidRPr="00207E2B"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eastAsia="Calibri" w:hAnsi="Calibri Light" w:cs="Calibri Light"/>
          <w:color w:val="000000"/>
          <w:sz w:val="22"/>
          <w:szCs w:val="22"/>
        </w:rPr>
        <w:t>Proyecto Hidroeléctrico San Jerónimo, de 6,3 MW</w:t>
      </w:r>
    </w:p>
    <w:p w14:paraId="744A8ADD" w14:textId="77777777" w:rsidR="00C420E7" w:rsidRPr="00207E2B"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eastAsia="Calibri" w:hAnsi="Calibri Light" w:cs="Calibri Light"/>
          <w:color w:val="000000"/>
          <w:sz w:val="22"/>
          <w:szCs w:val="22"/>
        </w:rPr>
        <w:t xml:space="preserve">Proyecto Hidroeléctrico </w:t>
      </w:r>
      <w:proofErr w:type="spellStart"/>
      <w:r w:rsidRPr="00207E2B">
        <w:rPr>
          <w:rFonts w:ascii="Calibri Light" w:eastAsia="Calibri" w:hAnsi="Calibri Light" w:cs="Calibri Light"/>
          <w:color w:val="000000"/>
          <w:sz w:val="22"/>
          <w:szCs w:val="22"/>
        </w:rPr>
        <w:t>Tandayapa</w:t>
      </w:r>
      <w:proofErr w:type="spellEnd"/>
      <w:r w:rsidRPr="00207E2B">
        <w:rPr>
          <w:rFonts w:ascii="Calibri Light" w:eastAsia="Calibri" w:hAnsi="Calibri Light" w:cs="Calibri Light"/>
          <w:color w:val="000000"/>
          <w:sz w:val="22"/>
          <w:szCs w:val="22"/>
        </w:rPr>
        <w:t xml:space="preserve">, de 4 MW </w:t>
      </w:r>
    </w:p>
    <w:p w14:paraId="6ABE43C8" w14:textId="77777777" w:rsidR="00C420E7" w:rsidRPr="00207E2B" w:rsidRDefault="00C420E7" w:rsidP="00C420E7">
      <w:pPr>
        <w:pStyle w:val="Prrafodelista"/>
        <w:widowControl w:val="0"/>
        <w:numPr>
          <w:ilvl w:val="0"/>
          <w:numId w:val="198"/>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eastAsia="Calibri" w:hAnsi="Calibri Light" w:cs="Calibri Light"/>
          <w:color w:val="000000"/>
          <w:sz w:val="22"/>
          <w:szCs w:val="22"/>
        </w:rPr>
        <w:t>Proyecto Hidroeléctrico San Juan Grande, de 3,1 MW.</w:t>
      </w:r>
    </w:p>
    <w:p w14:paraId="429F9A14" w14:textId="77777777" w:rsidR="00213F2B" w:rsidRDefault="00213F2B" w:rsidP="005817CB">
      <w:pPr>
        <w:widowControl w:val="0"/>
        <w:pBdr>
          <w:top w:val="nil"/>
          <w:left w:val="nil"/>
          <w:bottom w:val="nil"/>
          <w:right w:val="nil"/>
          <w:between w:val="nil"/>
        </w:pBdr>
        <w:tabs>
          <w:tab w:val="left" w:pos="2338"/>
          <w:tab w:val="left" w:pos="2339"/>
          <w:tab w:val="left" w:pos="2338"/>
          <w:tab w:val="left" w:pos="2339"/>
        </w:tabs>
        <w:jc w:val="both"/>
        <w:rPr>
          <w:rFonts w:ascii="Calibri Light" w:eastAsia="Calibri" w:hAnsi="Calibri Light" w:cs="Calibri Light"/>
          <w:b/>
          <w:color w:val="000000"/>
          <w:sz w:val="22"/>
          <w:szCs w:val="22"/>
        </w:rPr>
      </w:pPr>
      <w:bookmarkStart w:id="283" w:name="_heading=h.26in1rg" w:colFirst="0" w:colLast="0"/>
      <w:bookmarkEnd w:id="283"/>
    </w:p>
    <w:p w14:paraId="0EAF26BE" w14:textId="7A1CEC3B" w:rsidR="0016337C" w:rsidRDefault="00C420E7" w:rsidP="005817CB">
      <w:pPr>
        <w:widowControl w:val="0"/>
        <w:pBdr>
          <w:top w:val="nil"/>
          <w:left w:val="nil"/>
          <w:bottom w:val="nil"/>
          <w:right w:val="nil"/>
          <w:between w:val="nil"/>
        </w:pBdr>
        <w:tabs>
          <w:tab w:val="left" w:pos="2338"/>
          <w:tab w:val="left" w:pos="2339"/>
          <w:tab w:val="left" w:pos="2338"/>
          <w:tab w:val="left" w:pos="2339"/>
        </w:tabs>
        <w:jc w:val="both"/>
        <w:rPr>
          <w:rFonts w:ascii="Calibri Light" w:eastAsia="Calibri" w:hAnsi="Calibri Light" w:cs="Calibri Light"/>
          <w:color w:val="000000"/>
          <w:sz w:val="22"/>
          <w:szCs w:val="22"/>
        </w:rPr>
      </w:pPr>
      <w:r w:rsidRPr="003D7BA4">
        <w:rPr>
          <w:rFonts w:ascii="Calibri Light" w:eastAsia="Calibri" w:hAnsi="Calibri Light" w:cs="Calibri Light"/>
          <w:b/>
          <w:color w:val="000000"/>
          <w:sz w:val="22"/>
          <w:szCs w:val="22"/>
        </w:rPr>
        <w:t>Proyecto Regional RLA 2018 “</w:t>
      </w:r>
      <w:proofErr w:type="spellStart"/>
      <w:r w:rsidRPr="003D7BA4">
        <w:rPr>
          <w:rFonts w:ascii="Calibri Light" w:eastAsia="Calibri" w:hAnsi="Calibri Light" w:cs="Calibri Light"/>
          <w:b/>
          <w:color w:val="000000"/>
          <w:sz w:val="22"/>
          <w:szCs w:val="22"/>
        </w:rPr>
        <w:t>Supporting</w:t>
      </w:r>
      <w:proofErr w:type="spellEnd"/>
      <w:r w:rsidRPr="003D7BA4">
        <w:rPr>
          <w:rFonts w:ascii="Calibri Light" w:eastAsia="Calibri" w:hAnsi="Calibri Light" w:cs="Calibri Light"/>
          <w:b/>
          <w:color w:val="000000"/>
          <w:sz w:val="22"/>
          <w:szCs w:val="22"/>
        </w:rPr>
        <w:t xml:space="preserve"> </w:t>
      </w:r>
      <w:proofErr w:type="spellStart"/>
      <w:r w:rsidRPr="003D7BA4">
        <w:rPr>
          <w:rFonts w:ascii="Calibri Light" w:eastAsia="Calibri" w:hAnsi="Calibri Light" w:cs="Calibri Light"/>
          <w:b/>
          <w:color w:val="000000"/>
          <w:sz w:val="22"/>
          <w:szCs w:val="22"/>
        </w:rPr>
        <w:t>the</w:t>
      </w:r>
      <w:proofErr w:type="spellEnd"/>
      <w:r w:rsidRPr="003D7BA4">
        <w:rPr>
          <w:rFonts w:ascii="Calibri Light" w:eastAsia="Calibri" w:hAnsi="Calibri Light" w:cs="Calibri Light"/>
          <w:b/>
          <w:color w:val="000000"/>
          <w:sz w:val="22"/>
          <w:szCs w:val="22"/>
        </w:rPr>
        <w:t xml:space="preserve"> </w:t>
      </w:r>
      <w:proofErr w:type="spellStart"/>
      <w:r w:rsidRPr="003D7BA4">
        <w:rPr>
          <w:rFonts w:ascii="Calibri Light" w:eastAsia="Calibri" w:hAnsi="Calibri Light" w:cs="Calibri Light"/>
          <w:b/>
          <w:color w:val="000000"/>
          <w:sz w:val="22"/>
          <w:szCs w:val="22"/>
        </w:rPr>
        <w:t>Development</w:t>
      </w:r>
      <w:proofErr w:type="spellEnd"/>
      <w:r w:rsidRPr="003D7BA4">
        <w:rPr>
          <w:rFonts w:ascii="Calibri Light" w:eastAsia="Calibri" w:hAnsi="Calibri Light" w:cs="Calibri Light"/>
          <w:b/>
          <w:color w:val="000000"/>
          <w:sz w:val="22"/>
          <w:szCs w:val="22"/>
        </w:rPr>
        <w:t xml:space="preserve"> </w:t>
      </w:r>
      <w:proofErr w:type="spellStart"/>
      <w:r w:rsidRPr="003D7BA4">
        <w:rPr>
          <w:rFonts w:ascii="Calibri Light" w:eastAsia="Calibri" w:hAnsi="Calibri Light" w:cs="Calibri Light"/>
          <w:b/>
          <w:color w:val="000000"/>
          <w:sz w:val="22"/>
          <w:szCs w:val="22"/>
        </w:rPr>
        <w:t>of</w:t>
      </w:r>
      <w:proofErr w:type="spellEnd"/>
      <w:r w:rsidRPr="003D7BA4">
        <w:rPr>
          <w:rFonts w:ascii="Calibri Light" w:eastAsia="Calibri" w:hAnsi="Calibri Light" w:cs="Calibri Light"/>
          <w:b/>
          <w:color w:val="000000"/>
          <w:sz w:val="22"/>
          <w:szCs w:val="22"/>
        </w:rPr>
        <w:t xml:space="preserve"> </w:t>
      </w:r>
      <w:proofErr w:type="spellStart"/>
      <w:r w:rsidRPr="003D7BA4">
        <w:rPr>
          <w:rFonts w:ascii="Calibri Light" w:eastAsia="Calibri" w:hAnsi="Calibri Light" w:cs="Calibri Light"/>
          <w:b/>
          <w:color w:val="000000"/>
          <w:sz w:val="22"/>
          <w:szCs w:val="22"/>
        </w:rPr>
        <w:t>Comprehensive</w:t>
      </w:r>
      <w:proofErr w:type="spellEnd"/>
      <w:r w:rsidRPr="003D7BA4">
        <w:rPr>
          <w:rFonts w:ascii="Calibri Light" w:eastAsia="Calibri" w:hAnsi="Calibri Light" w:cs="Calibri Light"/>
          <w:b/>
          <w:color w:val="000000"/>
          <w:sz w:val="22"/>
          <w:szCs w:val="22"/>
        </w:rPr>
        <w:t xml:space="preserve"> Energy </w:t>
      </w:r>
      <w:proofErr w:type="spellStart"/>
      <w:r w:rsidRPr="003D7BA4">
        <w:rPr>
          <w:rFonts w:ascii="Calibri Light" w:eastAsia="Calibri" w:hAnsi="Calibri Light" w:cs="Calibri Light"/>
          <w:b/>
          <w:color w:val="000000"/>
          <w:sz w:val="22"/>
          <w:szCs w:val="22"/>
        </w:rPr>
        <w:t>Plans</w:t>
      </w:r>
      <w:proofErr w:type="spellEnd"/>
      <w:r w:rsidRPr="003D7BA4">
        <w:rPr>
          <w:rFonts w:ascii="Calibri Light" w:eastAsia="Calibri" w:hAnsi="Calibri Light" w:cs="Calibri Light"/>
          <w:b/>
          <w:color w:val="000000"/>
          <w:sz w:val="22"/>
          <w:szCs w:val="22"/>
        </w:rPr>
        <w:t xml:space="preserve"> </w:t>
      </w:r>
      <w:proofErr w:type="spellStart"/>
      <w:r w:rsidRPr="003D7BA4">
        <w:rPr>
          <w:rFonts w:ascii="Calibri Light" w:eastAsia="Calibri" w:hAnsi="Calibri Light" w:cs="Calibri Light"/>
          <w:b/>
          <w:color w:val="000000"/>
          <w:sz w:val="22"/>
          <w:szCs w:val="22"/>
        </w:rPr>
        <w:t>Considering</w:t>
      </w:r>
      <w:proofErr w:type="spellEnd"/>
      <w:r w:rsidRPr="003D7BA4">
        <w:rPr>
          <w:rFonts w:ascii="Calibri Light" w:eastAsia="Calibri" w:hAnsi="Calibri Light" w:cs="Calibri Light"/>
          <w:b/>
          <w:color w:val="000000"/>
          <w:sz w:val="22"/>
          <w:szCs w:val="22"/>
        </w:rPr>
        <w:t xml:space="preserve"> </w:t>
      </w:r>
      <w:proofErr w:type="spellStart"/>
      <w:r w:rsidRPr="003D7BA4">
        <w:rPr>
          <w:rFonts w:ascii="Calibri Light" w:eastAsia="Calibri" w:hAnsi="Calibri Light" w:cs="Calibri Light"/>
          <w:b/>
          <w:color w:val="000000"/>
          <w:sz w:val="22"/>
          <w:szCs w:val="22"/>
        </w:rPr>
        <w:t>the</w:t>
      </w:r>
      <w:proofErr w:type="spellEnd"/>
      <w:r w:rsidRPr="003D7BA4">
        <w:rPr>
          <w:rFonts w:ascii="Calibri Light" w:eastAsia="Calibri" w:hAnsi="Calibri Light" w:cs="Calibri Light"/>
          <w:b/>
          <w:color w:val="000000"/>
          <w:sz w:val="22"/>
          <w:szCs w:val="22"/>
        </w:rPr>
        <w:t xml:space="preserve"> </w:t>
      </w:r>
      <w:proofErr w:type="spellStart"/>
      <w:r w:rsidRPr="003D7BA4">
        <w:rPr>
          <w:rFonts w:ascii="Calibri Light" w:eastAsia="Calibri" w:hAnsi="Calibri Light" w:cs="Calibri Light"/>
          <w:b/>
          <w:color w:val="000000"/>
          <w:sz w:val="22"/>
          <w:szCs w:val="22"/>
        </w:rPr>
        <w:t>Climate</w:t>
      </w:r>
      <w:proofErr w:type="spellEnd"/>
      <w:r w:rsidRPr="003D7BA4">
        <w:rPr>
          <w:rFonts w:ascii="Calibri Light" w:eastAsia="Calibri" w:hAnsi="Calibri Light" w:cs="Calibri Light"/>
          <w:b/>
          <w:color w:val="000000"/>
          <w:sz w:val="22"/>
          <w:szCs w:val="22"/>
        </w:rPr>
        <w:t xml:space="preserve">, </w:t>
      </w:r>
      <w:proofErr w:type="spellStart"/>
      <w:r w:rsidRPr="003D7BA4">
        <w:rPr>
          <w:rFonts w:ascii="Calibri Light" w:eastAsia="Calibri" w:hAnsi="Calibri Light" w:cs="Calibri Light"/>
          <w:b/>
          <w:color w:val="000000"/>
          <w:sz w:val="22"/>
          <w:szCs w:val="22"/>
        </w:rPr>
        <w:t>Land</w:t>
      </w:r>
      <w:proofErr w:type="spellEnd"/>
      <w:r w:rsidRPr="003D7BA4">
        <w:rPr>
          <w:rFonts w:ascii="Calibri Light" w:eastAsia="Calibri" w:hAnsi="Calibri Light" w:cs="Calibri Light"/>
          <w:b/>
          <w:color w:val="000000"/>
          <w:sz w:val="22"/>
          <w:szCs w:val="22"/>
        </w:rPr>
        <w:t xml:space="preserve">, Energy and </w:t>
      </w:r>
      <w:proofErr w:type="spellStart"/>
      <w:r w:rsidRPr="003D7BA4">
        <w:rPr>
          <w:rFonts w:ascii="Calibri Light" w:eastAsia="Calibri" w:hAnsi="Calibri Light" w:cs="Calibri Light"/>
          <w:b/>
          <w:color w:val="000000"/>
          <w:sz w:val="22"/>
          <w:szCs w:val="22"/>
        </w:rPr>
        <w:t>Water</w:t>
      </w:r>
      <w:proofErr w:type="spellEnd"/>
      <w:r w:rsidRPr="003D7BA4">
        <w:rPr>
          <w:rFonts w:ascii="Calibri Light" w:eastAsia="Calibri" w:hAnsi="Calibri Light" w:cs="Calibri Light"/>
          <w:b/>
          <w:color w:val="000000"/>
          <w:sz w:val="22"/>
          <w:szCs w:val="22"/>
        </w:rPr>
        <w:t xml:space="preserve"> in </w:t>
      </w:r>
      <w:proofErr w:type="spellStart"/>
      <w:r w:rsidRPr="003D7BA4">
        <w:rPr>
          <w:rFonts w:ascii="Calibri Light" w:eastAsia="Calibri" w:hAnsi="Calibri Light" w:cs="Calibri Light"/>
          <w:b/>
          <w:color w:val="000000"/>
          <w:sz w:val="22"/>
          <w:szCs w:val="22"/>
        </w:rPr>
        <w:t>Latin</w:t>
      </w:r>
      <w:proofErr w:type="spellEnd"/>
      <w:r w:rsidRPr="003D7BA4">
        <w:rPr>
          <w:rFonts w:ascii="Calibri Light" w:eastAsia="Calibri" w:hAnsi="Calibri Light" w:cs="Calibri Light"/>
          <w:b/>
          <w:color w:val="000000"/>
          <w:sz w:val="22"/>
          <w:szCs w:val="22"/>
        </w:rPr>
        <w:t xml:space="preserve"> </w:t>
      </w:r>
      <w:proofErr w:type="spellStart"/>
      <w:r w:rsidRPr="003D7BA4">
        <w:rPr>
          <w:rFonts w:ascii="Calibri Light" w:eastAsia="Calibri" w:hAnsi="Calibri Light" w:cs="Calibri Light"/>
          <w:b/>
          <w:color w:val="000000"/>
          <w:sz w:val="22"/>
          <w:szCs w:val="22"/>
        </w:rPr>
        <w:t>America</w:t>
      </w:r>
      <w:proofErr w:type="spellEnd"/>
      <w:r w:rsidRPr="003D7BA4">
        <w:rPr>
          <w:rFonts w:ascii="Calibri Light" w:eastAsia="Calibri" w:hAnsi="Calibri Light" w:cs="Calibri Light"/>
          <w:b/>
          <w:color w:val="000000"/>
          <w:sz w:val="22"/>
          <w:szCs w:val="22"/>
        </w:rPr>
        <w:t xml:space="preserve"> and </w:t>
      </w:r>
      <w:proofErr w:type="spellStart"/>
      <w:r w:rsidRPr="003D7BA4">
        <w:rPr>
          <w:rFonts w:ascii="Calibri Light" w:eastAsia="Calibri" w:hAnsi="Calibri Light" w:cs="Calibri Light"/>
          <w:b/>
          <w:color w:val="000000"/>
          <w:sz w:val="22"/>
          <w:szCs w:val="22"/>
        </w:rPr>
        <w:t>the</w:t>
      </w:r>
      <w:proofErr w:type="spellEnd"/>
      <w:r w:rsidRPr="003D7BA4">
        <w:rPr>
          <w:rFonts w:ascii="Calibri Light" w:eastAsia="Calibri" w:hAnsi="Calibri Light" w:cs="Calibri Light"/>
          <w:b/>
          <w:color w:val="000000"/>
          <w:sz w:val="22"/>
          <w:szCs w:val="22"/>
        </w:rPr>
        <w:t xml:space="preserve"> </w:t>
      </w:r>
      <w:proofErr w:type="spellStart"/>
      <w:r w:rsidRPr="003D7BA4">
        <w:rPr>
          <w:rFonts w:ascii="Calibri Light" w:eastAsia="Calibri" w:hAnsi="Calibri Light" w:cs="Calibri Light"/>
          <w:b/>
          <w:color w:val="000000"/>
          <w:sz w:val="22"/>
          <w:szCs w:val="22"/>
        </w:rPr>
        <w:t>Caribbean</w:t>
      </w:r>
      <w:proofErr w:type="spellEnd"/>
      <w:r w:rsidRPr="003D7BA4">
        <w:rPr>
          <w:rFonts w:ascii="Calibri Light" w:eastAsia="Calibri" w:hAnsi="Calibri Light" w:cs="Calibri Light"/>
          <w:b/>
          <w:color w:val="000000"/>
          <w:sz w:val="22"/>
          <w:szCs w:val="22"/>
        </w:rPr>
        <w:t xml:space="preserve"> (ARCAL CXC)”</w:t>
      </w:r>
      <w:r>
        <w:rPr>
          <w:rFonts w:ascii="Calibri Light" w:eastAsia="Calibri" w:hAnsi="Calibri Light" w:cs="Calibri Light"/>
          <w:b/>
          <w:color w:val="000000"/>
          <w:sz w:val="22"/>
          <w:szCs w:val="22"/>
        </w:rPr>
        <w:t xml:space="preserve">: </w:t>
      </w:r>
      <w:r w:rsidRPr="00FF13B0">
        <w:rPr>
          <w:rFonts w:ascii="Calibri Light" w:eastAsia="Calibri" w:hAnsi="Calibri Light" w:cs="Calibri Light"/>
          <w:color w:val="000000"/>
          <w:sz w:val="22"/>
          <w:szCs w:val="22"/>
        </w:rPr>
        <w:t>En el marco del Proyecto la DAPE ha realizado las siguientes actividades en 2024:</w:t>
      </w:r>
    </w:p>
    <w:p w14:paraId="456C5AF7" w14:textId="68EA9AF5" w:rsidR="0016337C" w:rsidRDefault="0016337C" w:rsidP="00C420E7">
      <w:pPr>
        <w:pBdr>
          <w:top w:val="nil"/>
          <w:left w:val="nil"/>
          <w:bottom w:val="nil"/>
          <w:right w:val="nil"/>
          <w:between w:val="nil"/>
        </w:pBdr>
        <w:rPr>
          <w:rFonts w:ascii="Calibri Light" w:eastAsia="Calibri" w:hAnsi="Calibri Light" w:cs="Calibri Light"/>
          <w:color w:val="000000"/>
          <w:sz w:val="22"/>
          <w:szCs w:val="22"/>
        </w:rPr>
      </w:pPr>
    </w:p>
    <w:p w14:paraId="0B47920F" w14:textId="77777777" w:rsidR="0016337C" w:rsidRPr="00FF13B0" w:rsidRDefault="0016337C" w:rsidP="00C420E7">
      <w:pPr>
        <w:pBdr>
          <w:top w:val="nil"/>
          <w:left w:val="nil"/>
          <w:bottom w:val="nil"/>
          <w:right w:val="nil"/>
          <w:between w:val="nil"/>
        </w:pBdr>
        <w:rPr>
          <w:rFonts w:ascii="Calibri Light" w:eastAsia="Calibri" w:hAnsi="Calibri Light" w:cs="Calibri Light"/>
          <w:color w:val="000000"/>
          <w:sz w:val="22"/>
          <w:szCs w:val="22"/>
        </w:rPr>
      </w:pPr>
    </w:p>
    <w:p w14:paraId="7EAA942F" w14:textId="77777777" w:rsidR="00C420E7" w:rsidRDefault="00C420E7" w:rsidP="00C420E7">
      <w:pPr>
        <w:pStyle w:val="Prrafodelista"/>
        <w:widowControl w:val="0"/>
        <w:numPr>
          <w:ilvl w:val="0"/>
          <w:numId w:val="199"/>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eastAsia="Calibri" w:hAnsi="Calibri Light" w:cs="Calibri Light"/>
          <w:color w:val="000000"/>
          <w:sz w:val="22"/>
          <w:szCs w:val="22"/>
        </w:rPr>
        <w:t>Particip</w:t>
      </w:r>
      <w:r>
        <w:rPr>
          <w:rFonts w:ascii="Calibri Light" w:eastAsia="Calibri" w:hAnsi="Calibri Light" w:cs="Calibri Light"/>
          <w:color w:val="000000"/>
          <w:sz w:val="22"/>
          <w:szCs w:val="22"/>
        </w:rPr>
        <w:t>ación</w:t>
      </w:r>
      <w:r w:rsidRPr="00207E2B">
        <w:rPr>
          <w:rFonts w:ascii="Calibri Light" w:eastAsia="Calibri" w:hAnsi="Calibri Light" w:cs="Calibri Light"/>
          <w:color w:val="000000"/>
          <w:sz w:val="22"/>
          <w:szCs w:val="22"/>
        </w:rPr>
        <w:t xml:space="preserve"> en la reunión Regional de Coordinación sobre el Análisis Integrado del Clima, la Tierra, la Energía y el Uso del Agua (CLEW). Esta reunión se realizó en abril en Uruguay; con la cual, se dio inicio al proyecto, aprobando además el cronograma de actividades.</w:t>
      </w:r>
    </w:p>
    <w:p w14:paraId="7103CBFA" w14:textId="77777777" w:rsidR="00C420E7" w:rsidRDefault="00C420E7" w:rsidP="00C420E7">
      <w:pPr>
        <w:pStyle w:val="Prrafodelista"/>
        <w:widowControl w:val="0"/>
        <w:numPr>
          <w:ilvl w:val="0"/>
          <w:numId w:val="199"/>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eastAsia="Calibri" w:hAnsi="Calibri Light" w:cs="Calibri Light"/>
          <w:color w:val="000000"/>
          <w:sz w:val="22"/>
          <w:szCs w:val="22"/>
        </w:rPr>
        <w:t>Partici</w:t>
      </w:r>
      <w:r>
        <w:rPr>
          <w:rFonts w:ascii="Calibri Light" w:eastAsia="Calibri" w:hAnsi="Calibri Light" w:cs="Calibri Light"/>
          <w:color w:val="000000"/>
          <w:sz w:val="22"/>
          <w:szCs w:val="22"/>
        </w:rPr>
        <w:t>pación</w:t>
      </w:r>
      <w:r w:rsidRPr="00207E2B">
        <w:rPr>
          <w:rFonts w:ascii="Calibri Light" w:eastAsia="Calibri" w:hAnsi="Calibri Light" w:cs="Calibri Light"/>
          <w:color w:val="000000"/>
          <w:sz w:val="22"/>
          <w:szCs w:val="22"/>
        </w:rPr>
        <w:t xml:space="preserve"> en el Taller subregional para presentar y coordinar los estudios y modelos nacionales para el análisis de los sistemas de energía, agua, uso de la tierra y clima. Esta actividad fue realizada en septiembre en Uruguay. </w:t>
      </w:r>
    </w:p>
    <w:p w14:paraId="39B52E3B" w14:textId="77777777" w:rsidR="00C420E7" w:rsidRDefault="00C420E7" w:rsidP="00C420E7">
      <w:pPr>
        <w:pStyle w:val="Prrafodelista"/>
        <w:widowControl w:val="0"/>
        <w:numPr>
          <w:ilvl w:val="0"/>
          <w:numId w:val="199"/>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eastAsia="Calibri" w:hAnsi="Calibri Light" w:cs="Calibri Light"/>
          <w:color w:val="000000"/>
          <w:sz w:val="22"/>
          <w:szCs w:val="22"/>
        </w:rPr>
        <w:t>En octubre de 2024 se conformaron los equipos de trabajo MEM-MAATE para desarrollo de un estudio de planificación energética integral CLEW, a través de las plataformas MAED y MESSAGE del OIEA.</w:t>
      </w:r>
    </w:p>
    <w:p w14:paraId="76BB6360" w14:textId="77777777" w:rsidR="00C420E7" w:rsidRPr="00207E2B" w:rsidRDefault="00C420E7" w:rsidP="00C420E7">
      <w:pPr>
        <w:pStyle w:val="Prrafodelista"/>
        <w:widowControl w:val="0"/>
        <w:numPr>
          <w:ilvl w:val="0"/>
          <w:numId w:val="199"/>
        </w:numPr>
        <w:pBdr>
          <w:top w:val="nil"/>
          <w:left w:val="nil"/>
          <w:bottom w:val="nil"/>
          <w:right w:val="nil"/>
          <w:between w:val="nil"/>
        </w:pBdr>
        <w:jc w:val="both"/>
        <w:rPr>
          <w:rFonts w:ascii="Calibri Light" w:eastAsia="Calibri" w:hAnsi="Calibri Light" w:cs="Calibri Light"/>
          <w:color w:val="000000"/>
          <w:sz w:val="22"/>
          <w:szCs w:val="22"/>
        </w:rPr>
      </w:pPr>
      <w:r w:rsidRPr="00207E2B">
        <w:rPr>
          <w:rFonts w:ascii="Calibri Light" w:eastAsia="Calibri" w:hAnsi="Calibri Light" w:cs="Calibri Light"/>
          <w:color w:val="000000"/>
          <w:sz w:val="22"/>
          <w:szCs w:val="22"/>
        </w:rPr>
        <w:t>Entre noviembre y diciembre de 2024 se llevó adelante la capacitación virtual en la plataforma de modelamiento energético MESSAGE.</w:t>
      </w:r>
    </w:p>
    <w:p w14:paraId="0DE040D4" w14:textId="77777777" w:rsidR="00C420E7" w:rsidRPr="00FF13B0" w:rsidRDefault="00C420E7" w:rsidP="00C420E7">
      <w:pPr>
        <w:pBdr>
          <w:top w:val="nil"/>
          <w:left w:val="nil"/>
          <w:bottom w:val="nil"/>
          <w:right w:val="nil"/>
          <w:between w:val="nil"/>
        </w:pBdr>
        <w:spacing w:before="4"/>
        <w:rPr>
          <w:rFonts w:ascii="Calibri Light" w:eastAsia="Calibri" w:hAnsi="Calibri Light" w:cs="Calibri Light"/>
          <w:color w:val="000000"/>
          <w:sz w:val="22"/>
          <w:szCs w:val="22"/>
        </w:rPr>
      </w:pPr>
    </w:p>
    <w:p w14:paraId="6F23CEAB" w14:textId="0281462E" w:rsidR="00C420E7" w:rsidRPr="00941411" w:rsidRDefault="00C420E7" w:rsidP="00941411">
      <w:pPr>
        <w:pStyle w:val="Ttulo4"/>
        <w:rPr>
          <w:i w:val="0"/>
        </w:rPr>
      </w:pPr>
      <w:bookmarkStart w:id="284" w:name="_heading=h.tyjcwt" w:colFirst="0" w:colLast="0"/>
      <w:bookmarkStart w:id="285" w:name="_Toc196494495"/>
      <w:bookmarkStart w:id="286" w:name="_Toc198110315"/>
      <w:bookmarkEnd w:id="284"/>
      <w:r w:rsidRPr="00941411">
        <w:rPr>
          <w:i w:val="0"/>
        </w:rPr>
        <w:t xml:space="preserve">Planificación de la </w:t>
      </w:r>
      <w:r w:rsidR="00192E54" w:rsidRPr="00941411">
        <w:rPr>
          <w:i w:val="0"/>
        </w:rPr>
        <w:t>E</w:t>
      </w:r>
      <w:r w:rsidRPr="00941411">
        <w:rPr>
          <w:i w:val="0"/>
        </w:rPr>
        <w:t xml:space="preserve">ficiencia </w:t>
      </w:r>
      <w:r w:rsidR="00192E54" w:rsidRPr="00941411">
        <w:rPr>
          <w:i w:val="0"/>
        </w:rPr>
        <w:t>E</w:t>
      </w:r>
      <w:r w:rsidRPr="00941411">
        <w:rPr>
          <w:i w:val="0"/>
        </w:rPr>
        <w:t>nergética</w:t>
      </w:r>
      <w:bookmarkEnd w:id="285"/>
      <w:r w:rsidRPr="00941411">
        <w:rPr>
          <w:i w:val="0"/>
        </w:rPr>
        <w:t>.</w:t>
      </w:r>
      <w:bookmarkEnd w:id="286"/>
    </w:p>
    <w:p w14:paraId="0A5F51FB" w14:textId="77777777" w:rsidR="00C420E7" w:rsidRPr="00FF13B0" w:rsidRDefault="00C420E7" w:rsidP="00C420E7">
      <w:pPr>
        <w:pBdr>
          <w:top w:val="nil"/>
          <w:left w:val="nil"/>
          <w:bottom w:val="nil"/>
          <w:right w:val="nil"/>
          <w:between w:val="nil"/>
        </w:pBdr>
        <w:spacing w:before="11"/>
        <w:rPr>
          <w:rFonts w:ascii="Calibri Light" w:eastAsia="Calibri" w:hAnsi="Calibri Light" w:cs="Calibri Light"/>
          <w:color w:val="000000"/>
          <w:sz w:val="22"/>
          <w:szCs w:val="22"/>
        </w:rPr>
      </w:pPr>
      <w:bookmarkStart w:id="287" w:name="_heading=h.lnxbz9" w:colFirst="0" w:colLast="0"/>
      <w:bookmarkEnd w:id="287"/>
    </w:p>
    <w:p w14:paraId="05D8CF92" w14:textId="77777777" w:rsidR="00C420E7" w:rsidRDefault="00C420E7" w:rsidP="00C420E7">
      <w:pPr>
        <w:jc w:val="both"/>
        <w:rPr>
          <w:rFonts w:ascii="Calibri Light" w:eastAsia="Calibri" w:hAnsi="Calibri Light" w:cs="Calibri Light"/>
          <w:color w:val="000000"/>
          <w:sz w:val="22"/>
          <w:szCs w:val="22"/>
        </w:rPr>
      </w:pPr>
      <w:r w:rsidRPr="00FF13B0">
        <w:rPr>
          <w:rFonts w:ascii="Calibri Light" w:hAnsi="Calibri Light" w:cs="Calibri Light"/>
          <w:b/>
          <w:sz w:val="22"/>
          <w:szCs w:val="22"/>
        </w:rPr>
        <w:t>Desarrollo de la Prospectiva y de la Planificación Energética en Ecuador</w:t>
      </w:r>
      <w:r>
        <w:rPr>
          <w:rFonts w:ascii="Calibri Light" w:hAnsi="Calibri Light" w:cs="Calibri Light"/>
          <w:b/>
          <w:sz w:val="22"/>
          <w:szCs w:val="22"/>
        </w:rPr>
        <w:t xml:space="preserve">: </w:t>
      </w:r>
      <w:r w:rsidRPr="00FF13B0">
        <w:rPr>
          <w:rFonts w:ascii="Calibri Light" w:eastAsia="Calibri" w:hAnsi="Calibri Light" w:cs="Calibri Light"/>
          <w:color w:val="000000"/>
          <w:sz w:val="22"/>
          <w:szCs w:val="22"/>
        </w:rPr>
        <w:t>Durante el año 2024, la DAPE ha coordinado con la COGPGE la actualización del dictamen de prioridad del proyecto: “Desarrollo de la Prospectiva y de la Planificación Energética en Ecuador" con CUP 144190000.0000.384144</w:t>
      </w:r>
      <w:r>
        <w:rPr>
          <w:rFonts w:ascii="Calibri Light" w:eastAsia="Calibri" w:hAnsi="Calibri Light" w:cs="Calibri Light"/>
          <w:color w:val="000000"/>
          <w:sz w:val="22"/>
          <w:szCs w:val="22"/>
        </w:rPr>
        <w:t>”,</w:t>
      </w:r>
      <w:r w:rsidRPr="00FF13B0">
        <w:rPr>
          <w:rFonts w:ascii="Calibri Light" w:eastAsia="Calibri" w:hAnsi="Calibri Light" w:cs="Calibri Light"/>
          <w:color w:val="000000"/>
          <w:sz w:val="22"/>
          <w:szCs w:val="22"/>
        </w:rPr>
        <w:t xml:space="preserve"> por la alineación al Plan de Desarrollo del Gobierno vigente. </w:t>
      </w:r>
    </w:p>
    <w:p w14:paraId="699FCF28" w14:textId="77777777" w:rsidR="00C420E7" w:rsidRPr="00FF13B0" w:rsidRDefault="00C420E7" w:rsidP="00C420E7">
      <w:pPr>
        <w:pBdr>
          <w:top w:val="nil"/>
          <w:left w:val="nil"/>
          <w:bottom w:val="nil"/>
          <w:right w:val="nil"/>
          <w:between w:val="nil"/>
        </w:pBdr>
        <w:jc w:val="both"/>
        <w:rPr>
          <w:rFonts w:ascii="Calibri Light" w:eastAsia="Calibri" w:hAnsi="Calibri Light" w:cs="Calibri Light"/>
          <w:color w:val="000000"/>
          <w:sz w:val="22"/>
          <w:szCs w:val="22"/>
        </w:rPr>
      </w:pPr>
    </w:p>
    <w:p w14:paraId="32DB176F" w14:textId="77777777" w:rsidR="00C420E7" w:rsidRPr="00FF13B0" w:rsidRDefault="00C420E7" w:rsidP="00C420E7">
      <w:pPr>
        <w:jc w:val="both"/>
        <w:rPr>
          <w:rFonts w:ascii="Calibri Light" w:eastAsia="Calibri" w:hAnsi="Calibri Light" w:cs="Calibri Light"/>
          <w:color w:val="000000"/>
          <w:sz w:val="22"/>
          <w:szCs w:val="22"/>
        </w:rPr>
      </w:pPr>
      <w:r>
        <w:rPr>
          <w:rFonts w:ascii="Calibri Light" w:hAnsi="Calibri Light" w:cs="Calibri Light"/>
          <w:b/>
          <w:sz w:val="22"/>
          <w:szCs w:val="22"/>
        </w:rPr>
        <w:t xml:space="preserve">Plan Energético Minero 2050: </w:t>
      </w:r>
      <w:r w:rsidRPr="00FF13B0">
        <w:rPr>
          <w:rFonts w:ascii="Calibri Light" w:eastAsia="Calibri" w:hAnsi="Calibri Light" w:cs="Calibri Light"/>
          <w:color w:val="010101"/>
          <w:sz w:val="22"/>
          <w:szCs w:val="22"/>
        </w:rPr>
        <w:t xml:space="preserve">En el marco del "Programa de Gestión Sostenible de Recursos del Subsuelo e Infraestructura Asociada", </w:t>
      </w:r>
      <w:r>
        <w:rPr>
          <w:rFonts w:ascii="Calibri Light" w:eastAsia="Calibri" w:hAnsi="Calibri Light" w:cs="Calibri Light"/>
          <w:color w:val="010101"/>
          <w:sz w:val="22"/>
          <w:szCs w:val="22"/>
        </w:rPr>
        <w:t>la DAPE coordinó</w:t>
      </w:r>
      <w:r w:rsidRPr="00FF13B0">
        <w:rPr>
          <w:rFonts w:ascii="Calibri Light" w:eastAsia="Calibri" w:hAnsi="Calibri Light" w:cs="Calibri Light"/>
          <w:color w:val="010101"/>
          <w:sz w:val="22"/>
          <w:szCs w:val="22"/>
        </w:rPr>
        <w:t xml:space="preserve"> el Desarrollo del Plan Energético Minero Nacional 2050, planes sectoriales y Plan Nacional de Eficiencia Energética.</w:t>
      </w:r>
      <w:r>
        <w:rPr>
          <w:rFonts w:ascii="Calibri Light" w:eastAsia="Calibri" w:hAnsi="Calibri Light" w:cs="Calibri Light"/>
          <w:color w:val="010101"/>
          <w:sz w:val="22"/>
          <w:szCs w:val="22"/>
        </w:rPr>
        <w:t xml:space="preserve"> En ese sentido, el consultor e</w:t>
      </w:r>
      <w:r w:rsidRPr="009B40B3">
        <w:rPr>
          <w:rFonts w:ascii="Calibri Light" w:eastAsia="Calibri" w:hAnsi="Calibri Light" w:cs="Calibri Light"/>
          <w:color w:val="010101"/>
          <w:sz w:val="22"/>
          <w:szCs w:val="22"/>
        </w:rPr>
        <w:t xml:space="preserve">n conjunto con los Viceministerio de </w:t>
      </w:r>
      <w:r>
        <w:rPr>
          <w:rFonts w:ascii="Calibri Light" w:eastAsia="Calibri" w:hAnsi="Calibri Light" w:cs="Calibri Light"/>
          <w:color w:val="010101"/>
          <w:sz w:val="22"/>
          <w:szCs w:val="22"/>
        </w:rPr>
        <w:t>E</w:t>
      </w:r>
      <w:r w:rsidRPr="009B40B3">
        <w:rPr>
          <w:rFonts w:ascii="Calibri Light" w:eastAsia="Calibri" w:hAnsi="Calibri Light" w:cs="Calibri Light"/>
          <w:color w:val="010101"/>
          <w:sz w:val="22"/>
          <w:szCs w:val="22"/>
        </w:rPr>
        <w:t xml:space="preserve">lectricidad, </w:t>
      </w:r>
      <w:r>
        <w:rPr>
          <w:rFonts w:ascii="Calibri Light" w:eastAsia="Calibri" w:hAnsi="Calibri Light" w:cs="Calibri Light"/>
          <w:color w:val="010101"/>
          <w:sz w:val="22"/>
          <w:szCs w:val="22"/>
        </w:rPr>
        <w:t>H</w:t>
      </w:r>
      <w:r w:rsidRPr="009B40B3">
        <w:rPr>
          <w:rFonts w:ascii="Calibri Light" w:eastAsia="Calibri" w:hAnsi="Calibri Light" w:cs="Calibri Light"/>
          <w:color w:val="010101"/>
          <w:sz w:val="22"/>
          <w:szCs w:val="22"/>
        </w:rPr>
        <w:t xml:space="preserve">idrocarburos y </w:t>
      </w:r>
      <w:r>
        <w:rPr>
          <w:rFonts w:ascii="Calibri Light" w:eastAsia="Calibri" w:hAnsi="Calibri Light" w:cs="Calibri Light"/>
          <w:color w:val="010101"/>
          <w:sz w:val="22"/>
          <w:szCs w:val="22"/>
        </w:rPr>
        <w:t>M</w:t>
      </w:r>
      <w:r w:rsidRPr="009B40B3">
        <w:rPr>
          <w:rFonts w:ascii="Calibri Light" w:eastAsia="Calibri" w:hAnsi="Calibri Light" w:cs="Calibri Light"/>
          <w:color w:val="010101"/>
          <w:sz w:val="22"/>
          <w:szCs w:val="22"/>
        </w:rPr>
        <w:t xml:space="preserve">inas se revisaron los productos de los siguientes entregables: Entregable 1.- Gobernanza de la etapa de ejecución </w:t>
      </w:r>
      <w:r w:rsidRPr="009B40B3">
        <w:rPr>
          <w:rFonts w:ascii="Calibri Light" w:eastAsia="Calibri" w:hAnsi="Calibri Light" w:cs="Calibri Light"/>
          <w:color w:val="010101"/>
          <w:sz w:val="22"/>
          <w:szCs w:val="22"/>
        </w:rPr>
        <w:lastRenderedPageBreak/>
        <w:t>de</w:t>
      </w:r>
      <w:r w:rsidRPr="00FF13B0">
        <w:rPr>
          <w:rFonts w:ascii="Calibri Light" w:eastAsia="Calibri" w:hAnsi="Calibri Light" w:cs="Calibri Light"/>
          <w:color w:val="010101"/>
          <w:sz w:val="22"/>
          <w:szCs w:val="22"/>
        </w:rPr>
        <w:t xml:space="preserve"> la planificación energética minera del Ecuador al 2050. Entregable 2.- Documentos reparatorios para las consultorías de la planificación energética minera del Ecuador al 2050.</w:t>
      </w:r>
    </w:p>
    <w:p w14:paraId="1A1ED85D" w14:textId="77777777" w:rsidR="00C420E7" w:rsidRPr="00FF13B0" w:rsidRDefault="00C420E7" w:rsidP="00C420E7">
      <w:pPr>
        <w:pBdr>
          <w:top w:val="nil"/>
          <w:left w:val="nil"/>
          <w:bottom w:val="nil"/>
          <w:right w:val="nil"/>
          <w:between w:val="nil"/>
        </w:pBdr>
        <w:jc w:val="both"/>
        <w:rPr>
          <w:rFonts w:ascii="Calibri Light" w:eastAsia="Calibri" w:hAnsi="Calibri Light" w:cs="Calibri Light"/>
          <w:color w:val="000000"/>
          <w:sz w:val="22"/>
          <w:szCs w:val="22"/>
        </w:rPr>
      </w:pPr>
    </w:p>
    <w:p w14:paraId="2C5F35DD" w14:textId="77777777" w:rsidR="00C420E7" w:rsidRPr="00FF13B0" w:rsidRDefault="00356067" w:rsidP="00C420E7">
      <w:pPr>
        <w:widowControl w:val="0"/>
        <w:pBdr>
          <w:top w:val="nil"/>
          <w:left w:val="nil"/>
          <w:bottom w:val="nil"/>
          <w:right w:val="nil"/>
          <w:between w:val="nil"/>
        </w:pBdr>
        <w:jc w:val="both"/>
        <w:rPr>
          <w:rFonts w:ascii="Calibri Light" w:hAnsi="Calibri Light" w:cs="Calibri Light"/>
          <w:sz w:val="22"/>
          <w:szCs w:val="22"/>
        </w:rPr>
      </w:pPr>
      <w:sdt>
        <w:sdtPr>
          <w:rPr>
            <w:rFonts w:ascii="Calibri Light" w:hAnsi="Calibri Light" w:cs="Calibri Light"/>
            <w:sz w:val="22"/>
            <w:szCs w:val="22"/>
          </w:rPr>
          <w:tag w:val="goog_rdk_2"/>
          <w:id w:val="2096819909"/>
        </w:sdtPr>
        <w:sdtContent/>
      </w:sdt>
      <w:r w:rsidR="00C420E7" w:rsidRPr="00FF13B0">
        <w:rPr>
          <w:rFonts w:ascii="Calibri Light" w:eastAsia="Calibri" w:hAnsi="Calibri Light" w:cs="Calibri Light"/>
          <w:b/>
          <w:color w:val="000000"/>
          <w:sz w:val="22"/>
          <w:szCs w:val="22"/>
        </w:rPr>
        <w:t>Propuesta de Plan Nacional de Eficiencia Energética</w:t>
      </w:r>
      <w:r w:rsidR="00C420E7">
        <w:rPr>
          <w:rFonts w:ascii="Calibri Light" w:eastAsia="Calibri" w:hAnsi="Calibri Light" w:cs="Calibri Light"/>
          <w:b/>
          <w:color w:val="000000"/>
          <w:sz w:val="22"/>
          <w:szCs w:val="22"/>
        </w:rPr>
        <w:t xml:space="preserve"> </w:t>
      </w:r>
      <w:r w:rsidR="00C420E7" w:rsidRPr="00FF13B0">
        <w:rPr>
          <w:rFonts w:ascii="Calibri Light" w:hAnsi="Calibri Light" w:cs="Calibri Light"/>
          <w:sz w:val="22"/>
          <w:szCs w:val="22"/>
        </w:rPr>
        <w:t xml:space="preserve">El 20 de octubre de 2023, el Ministerio de Energía y Minas firmó el contrato con el consultor Internacional, con el objetivo de contar con los insumos preparatorios para la actualización del plan nacional de eficiencia energética, </w:t>
      </w:r>
      <w:r w:rsidR="00C420E7">
        <w:rPr>
          <w:rFonts w:ascii="Calibri Light" w:hAnsi="Calibri Light" w:cs="Calibri Light"/>
          <w:sz w:val="22"/>
          <w:szCs w:val="22"/>
        </w:rPr>
        <w:t>la DAPE revisó la</w:t>
      </w:r>
      <w:r w:rsidR="00C420E7" w:rsidRPr="00FF13B0">
        <w:rPr>
          <w:rFonts w:ascii="Calibri Light" w:hAnsi="Calibri Light" w:cs="Calibri Light"/>
          <w:sz w:val="22"/>
          <w:szCs w:val="22"/>
        </w:rPr>
        <w:t xml:space="preserve"> propuesta del informe de necesidad</w:t>
      </w:r>
      <w:r w:rsidR="00C420E7">
        <w:rPr>
          <w:rFonts w:ascii="Calibri Light" w:hAnsi="Calibri Light" w:cs="Calibri Light"/>
          <w:sz w:val="22"/>
          <w:szCs w:val="22"/>
        </w:rPr>
        <w:t xml:space="preserve"> elaborada por el consultor.</w:t>
      </w:r>
    </w:p>
    <w:p w14:paraId="5BA21D1A" w14:textId="77777777" w:rsidR="00C420E7" w:rsidRPr="00FF13B0" w:rsidRDefault="00C420E7" w:rsidP="00C420E7">
      <w:pPr>
        <w:jc w:val="both"/>
        <w:rPr>
          <w:rFonts w:ascii="Calibri Light" w:hAnsi="Calibri Light" w:cs="Calibri Light"/>
          <w:sz w:val="22"/>
          <w:szCs w:val="22"/>
        </w:rPr>
      </w:pPr>
    </w:p>
    <w:p w14:paraId="754342A9" w14:textId="77777777" w:rsidR="00C420E7" w:rsidRPr="00FF13B0" w:rsidRDefault="00C420E7" w:rsidP="00C420E7">
      <w:pPr>
        <w:jc w:val="both"/>
        <w:rPr>
          <w:rFonts w:ascii="Calibri Light" w:eastAsia="Calibri" w:hAnsi="Calibri Light" w:cs="Calibri Light"/>
          <w:color w:val="000000"/>
          <w:sz w:val="22"/>
          <w:szCs w:val="22"/>
        </w:rPr>
      </w:pPr>
      <w:bookmarkStart w:id="288" w:name="_heading=h.44sinio" w:colFirst="0" w:colLast="0"/>
      <w:bookmarkEnd w:id="288"/>
      <w:r w:rsidRPr="00FF13B0">
        <w:rPr>
          <w:rFonts w:ascii="Calibri Light" w:hAnsi="Calibri Light" w:cs="Calibri Light"/>
          <w:b/>
          <w:sz w:val="22"/>
          <w:szCs w:val="22"/>
        </w:rPr>
        <w:t>Comisión Técnica de Determinación de Factores de Emisión (CTFE)</w:t>
      </w:r>
      <w:r>
        <w:rPr>
          <w:rFonts w:ascii="Calibri Light" w:hAnsi="Calibri Light" w:cs="Calibri Light"/>
          <w:b/>
          <w:sz w:val="22"/>
          <w:szCs w:val="22"/>
        </w:rPr>
        <w:t xml:space="preserve">: </w:t>
      </w:r>
      <w:r w:rsidRPr="00FF13B0">
        <w:rPr>
          <w:rFonts w:ascii="Calibri Light" w:eastAsia="Calibri" w:hAnsi="Calibri Light" w:cs="Calibri Light"/>
          <w:color w:val="000000"/>
          <w:sz w:val="22"/>
          <w:szCs w:val="22"/>
        </w:rPr>
        <w:t xml:space="preserve">La DAPE en 2024 tuvo la responsabilidad de ejercer la Secretaría de la CTFE; misma </w:t>
      </w:r>
      <w:r w:rsidRPr="00FF13B0">
        <w:rPr>
          <w:rFonts w:ascii="Calibri Light" w:hAnsi="Calibri Light" w:cs="Calibri Light"/>
          <w:sz w:val="22"/>
          <w:szCs w:val="22"/>
        </w:rPr>
        <w:t xml:space="preserve">que concluyó el </w:t>
      </w:r>
      <w:r w:rsidRPr="00FF13B0">
        <w:rPr>
          <w:rFonts w:ascii="Calibri Light" w:eastAsia="Calibri" w:hAnsi="Calibri Light" w:cs="Calibri Light"/>
          <w:color w:val="000000"/>
          <w:sz w:val="22"/>
          <w:szCs w:val="22"/>
        </w:rPr>
        <w:t xml:space="preserve">26 de diciembre con la entrega del informe de gestión y traslado de la Secretaría al CENACE. </w:t>
      </w:r>
      <w:r>
        <w:rPr>
          <w:rFonts w:ascii="Calibri Light" w:eastAsia="Calibri" w:hAnsi="Calibri Light" w:cs="Calibri Light"/>
          <w:color w:val="000000"/>
          <w:sz w:val="22"/>
          <w:szCs w:val="22"/>
        </w:rPr>
        <w:t>En el 2024, c</w:t>
      </w:r>
      <w:r w:rsidRPr="00FF13B0">
        <w:rPr>
          <w:rFonts w:ascii="Calibri Light" w:eastAsia="Calibri" w:hAnsi="Calibri Light" w:cs="Calibri Light"/>
          <w:color w:val="000000"/>
          <w:sz w:val="22"/>
          <w:szCs w:val="22"/>
        </w:rPr>
        <w:t xml:space="preserve">oordinó </w:t>
      </w:r>
      <w:r>
        <w:rPr>
          <w:rFonts w:ascii="Calibri Light" w:eastAsia="Calibri" w:hAnsi="Calibri Light" w:cs="Calibri Light"/>
          <w:color w:val="000000"/>
          <w:sz w:val="22"/>
          <w:szCs w:val="22"/>
        </w:rPr>
        <w:t xml:space="preserve">el desarrollo, </w:t>
      </w:r>
      <w:r w:rsidRPr="00FF13B0">
        <w:rPr>
          <w:rFonts w:ascii="Calibri Light" w:eastAsia="Calibri" w:hAnsi="Calibri Light" w:cs="Calibri Light"/>
          <w:color w:val="000000"/>
          <w:sz w:val="22"/>
          <w:szCs w:val="22"/>
        </w:rPr>
        <w:t>presentación, aprobación y publicación de</w:t>
      </w:r>
      <w:r>
        <w:rPr>
          <w:rFonts w:ascii="Calibri Light" w:eastAsia="Calibri" w:hAnsi="Calibri Light" w:cs="Calibri Light"/>
          <w:color w:val="000000"/>
          <w:sz w:val="22"/>
          <w:szCs w:val="22"/>
        </w:rPr>
        <w:t>l documento:</w:t>
      </w:r>
      <w:r w:rsidRPr="00FF13B0">
        <w:rPr>
          <w:rFonts w:ascii="Calibri Light" w:eastAsia="Calibri" w:hAnsi="Calibri Light" w:cs="Calibri Light"/>
          <w:color w:val="000000"/>
          <w:sz w:val="22"/>
          <w:szCs w:val="22"/>
        </w:rPr>
        <w:t xml:space="preserve"> “Factor de emisión de CO2 del Sistema Nacional Interconectado de Ecuador - Informe 2022. El 22 de agosto de 2024 se realizó la publicación a la ciudadanía.</w:t>
      </w:r>
    </w:p>
    <w:p w14:paraId="27E5DD46" w14:textId="77777777" w:rsidR="00AF69B3" w:rsidRPr="00FF13B0" w:rsidRDefault="00AF69B3" w:rsidP="00C420E7">
      <w:pPr>
        <w:rPr>
          <w:rFonts w:ascii="Calibri Light" w:hAnsi="Calibri Light" w:cs="Calibri Light"/>
          <w:sz w:val="22"/>
          <w:szCs w:val="22"/>
        </w:rPr>
      </w:pPr>
    </w:p>
    <w:p w14:paraId="20DC2D78" w14:textId="77777777" w:rsidR="00C420E7" w:rsidRPr="00FF13B0" w:rsidRDefault="00C420E7" w:rsidP="00C420E7">
      <w:pPr>
        <w:widowControl w:val="0"/>
        <w:pBdr>
          <w:top w:val="nil"/>
          <w:left w:val="nil"/>
          <w:bottom w:val="nil"/>
          <w:right w:val="nil"/>
          <w:between w:val="nil"/>
        </w:pBdr>
        <w:jc w:val="both"/>
        <w:rPr>
          <w:rFonts w:ascii="Calibri Light" w:eastAsia="Calibri" w:hAnsi="Calibri Light" w:cs="Calibri Light"/>
          <w:sz w:val="22"/>
          <w:szCs w:val="22"/>
        </w:rPr>
      </w:pPr>
      <w:r w:rsidRPr="00FF13B0">
        <w:rPr>
          <w:rFonts w:ascii="Calibri Light" w:eastAsia="Calibri" w:hAnsi="Calibri Light" w:cs="Calibri Light"/>
          <w:b/>
          <w:color w:val="000000"/>
          <w:sz w:val="22"/>
          <w:szCs w:val="22"/>
        </w:rPr>
        <w:t>Informe de evaluación del cumplimiento de las políticas de eficiencia energética</w:t>
      </w:r>
      <w:r>
        <w:rPr>
          <w:rFonts w:ascii="Calibri Light" w:eastAsia="Calibri" w:hAnsi="Calibri Light" w:cs="Calibri Light"/>
          <w:b/>
          <w:color w:val="000000"/>
          <w:sz w:val="22"/>
          <w:szCs w:val="22"/>
        </w:rPr>
        <w:t xml:space="preserve">: </w:t>
      </w:r>
      <w:r w:rsidRPr="00FF13B0">
        <w:rPr>
          <w:rFonts w:ascii="Calibri Light" w:eastAsia="Calibri" w:hAnsi="Calibri Light" w:cs="Calibri Light"/>
          <w:sz w:val="22"/>
          <w:szCs w:val="22"/>
        </w:rPr>
        <w:t>La DAPE realiz</w:t>
      </w:r>
      <w:r>
        <w:rPr>
          <w:rFonts w:ascii="Calibri Light" w:eastAsia="Calibri" w:hAnsi="Calibri Light" w:cs="Calibri Light"/>
          <w:sz w:val="22"/>
          <w:szCs w:val="22"/>
        </w:rPr>
        <w:t>ó</w:t>
      </w:r>
      <w:r w:rsidRPr="00FF13B0">
        <w:rPr>
          <w:rFonts w:ascii="Calibri Light" w:eastAsia="Calibri" w:hAnsi="Calibri Light" w:cs="Calibri Light"/>
          <w:sz w:val="22"/>
          <w:szCs w:val="22"/>
        </w:rPr>
        <w:t xml:space="preserve"> el seguimiento al cumplimiento de las resoluciones alcanzadas en e</w:t>
      </w:r>
      <w:r>
        <w:rPr>
          <w:rFonts w:ascii="Calibri Light" w:eastAsia="Calibri" w:hAnsi="Calibri Light" w:cs="Calibri Light"/>
          <w:sz w:val="22"/>
          <w:szCs w:val="22"/>
        </w:rPr>
        <w:t>l</w:t>
      </w:r>
      <w:r w:rsidRPr="00FF13B0">
        <w:rPr>
          <w:rFonts w:ascii="Calibri Light" w:eastAsia="Calibri" w:hAnsi="Calibri Light" w:cs="Calibri Light"/>
          <w:sz w:val="22"/>
          <w:szCs w:val="22"/>
        </w:rPr>
        <w:t xml:space="preserve"> pleno del CNEE</w:t>
      </w:r>
      <w:r>
        <w:rPr>
          <w:rFonts w:ascii="Calibri Light" w:eastAsia="Calibri" w:hAnsi="Calibri Light" w:cs="Calibri Light"/>
          <w:sz w:val="22"/>
          <w:szCs w:val="22"/>
        </w:rPr>
        <w:t xml:space="preserve"> durante la reunión del CNEE en marzo de 2024. </w:t>
      </w:r>
    </w:p>
    <w:p w14:paraId="39C90DB1" w14:textId="77777777" w:rsidR="00C420E7" w:rsidRPr="00FF13B0" w:rsidRDefault="00C420E7" w:rsidP="00C420E7">
      <w:pPr>
        <w:jc w:val="both"/>
        <w:rPr>
          <w:rFonts w:ascii="Calibri Light" w:eastAsia="Calibri" w:hAnsi="Calibri Light" w:cs="Calibri Light"/>
          <w:sz w:val="22"/>
          <w:szCs w:val="22"/>
        </w:rPr>
      </w:pPr>
    </w:p>
    <w:p w14:paraId="711F0282" w14:textId="77777777" w:rsidR="00C420E7" w:rsidRPr="00FF13B0" w:rsidRDefault="00C420E7" w:rsidP="00C420E7">
      <w:pPr>
        <w:widowControl w:val="0"/>
        <w:pBdr>
          <w:top w:val="nil"/>
          <w:left w:val="nil"/>
          <w:bottom w:val="nil"/>
          <w:right w:val="nil"/>
          <w:between w:val="nil"/>
        </w:pBdr>
        <w:jc w:val="both"/>
        <w:rPr>
          <w:rFonts w:ascii="Calibri Light" w:eastAsia="Calibri" w:hAnsi="Calibri Light" w:cs="Calibri Light"/>
          <w:sz w:val="22"/>
          <w:szCs w:val="22"/>
        </w:rPr>
      </w:pPr>
      <w:r w:rsidRPr="00FF13B0">
        <w:rPr>
          <w:rFonts w:ascii="Calibri Light" w:eastAsia="Calibri" w:hAnsi="Calibri Light" w:cs="Calibri Light"/>
          <w:b/>
          <w:color w:val="000000"/>
          <w:sz w:val="22"/>
          <w:szCs w:val="22"/>
        </w:rPr>
        <w:t>Informes de seguimiento del Plan Nacional de Eficiencia Energética</w:t>
      </w:r>
      <w:r>
        <w:rPr>
          <w:rFonts w:ascii="Calibri Light" w:eastAsia="Calibri" w:hAnsi="Calibri Light" w:cs="Calibri Light"/>
          <w:b/>
          <w:color w:val="000000"/>
          <w:sz w:val="22"/>
          <w:szCs w:val="22"/>
        </w:rPr>
        <w:t xml:space="preserve">: </w:t>
      </w:r>
      <w:r w:rsidRPr="00FF13B0">
        <w:rPr>
          <w:rFonts w:ascii="Calibri Light" w:eastAsia="Calibri" w:hAnsi="Calibri Light" w:cs="Calibri Light"/>
          <w:sz w:val="22"/>
          <w:szCs w:val="22"/>
        </w:rPr>
        <w:t>La DAPE</w:t>
      </w:r>
      <w:r>
        <w:rPr>
          <w:rFonts w:ascii="Calibri Light" w:eastAsia="Calibri" w:hAnsi="Calibri Light" w:cs="Calibri Light"/>
          <w:sz w:val="22"/>
          <w:szCs w:val="22"/>
        </w:rPr>
        <w:t xml:space="preserve"> </w:t>
      </w:r>
      <w:r w:rsidRPr="00FF13B0">
        <w:rPr>
          <w:rFonts w:ascii="Calibri Light" w:eastAsia="Calibri" w:hAnsi="Calibri Light" w:cs="Calibri Light"/>
          <w:sz w:val="22"/>
          <w:szCs w:val="22"/>
        </w:rPr>
        <w:t>realiz</w:t>
      </w:r>
      <w:r>
        <w:rPr>
          <w:rFonts w:ascii="Calibri Light" w:eastAsia="Calibri" w:hAnsi="Calibri Light" w:cs="Calibri Light"/>
          <w:sz w:val="22"/>
          <w:szCs w:val="22"/>
        </w:rPr>
        <w:t>ó</w:t>
      </w:r>
      <w:r w:rsidRPr="00FF13B0">
        <w:rPr>
          <w:rFonts w:ascii="Calibri Light" w:eastAsia="Calibri" w:hAnsi="Calibri Light" w:cs="Calibri Light"/>
          <w:sz w:val="22"/>
          <w:szCs w:val="22"/>
        </w:rPr>
        <w:t xml:space="preserve"> el reporte semestral de las gestiones emprendidas en cumplimiento al Plan Nacional de Eficiencia Energética (PLANEE). </w:t>
      </w:r>
    </w:p>
    <w:p w14:paraId="4DB032CE" w14:textId="77777777" w:rsidR="00C420E7" w:rsidRPr="00FF13B0" w:rsidRDefault="00C420E7" w:rsidP="00C420E7">
      <w:pPr>
        <w:jc w:val="both"/>
        <w:rPr>
          <w:rFonts w:ascii="Calibri Light" w:eastAsia="Calibri" w:hAnsi="Calibri Light" w:cs="Calibri Light"/>
          <w:sz w:val="22"/>
          <w:szCs w:val="22"/>
        </w:rPr>
      </w:pPr>
    </w:p>
    <w:p w14:paraId="7B99F328" w14:textId="77777777" w:rsidR="00C420E7" w:rsidRPr="00FF13B0" w:rsidRDefault="00C420E7" w:rsidP="00C420E7">
      <w:pPr>
        <w:jc w:val="both"/>
        <w:rPr>
          <w:rFonts w:ascii="Calibri Light" w:eastAsia="Calibri" w:hAnsi="Calibri Light" w:cs="Calibri Light"/>
          <w:b/>
          <w:color w:val="000000"/>
          <w:sz w:val="22"/>
          <w:szCs w:val="22"/>
        </w:rPr>
      </w:pPr>
      <w:r w:rsidRPr="00FF13B0">
        <w:rPr>
          <w:rFonts w:ascii="Calibri Light" w:hAnsi="Calibri Light" w:cs="Calibri Light"/>
          <w:b/>
          <w:sz w:val="22"/>
          <w:szCs w:val="22"/>
        </w:rPr>
        <w:t>Sistema Nacional Estadístico sobre Eficiencia Energética (SNEEE)</w:t>
      </w:r>
      <w:r>
        <w:rPr>
          <w:rFonts w:ascii="Calibri Light" w:hAnsi="Calibri Light" w:cs="Calibri Light"/>
          <w:b/>
          <w:sz w:val="22"/>
          <w:szCs w:val="22"/>
        </w:rPr>
        <w:t xml:space="preserve">: </w:t>
      </w:r>
      <w:r w:rsidRPr="00FF13B0">
        <w:rPr>
          <w:rFonts w:ascii="Calibri Light" w:eastAsia="Calibri" w:hAnsi="Calibri Light" w:cs="Calibri Light"/>
          <w:color w:val="000000"/>
          <w:sz w:val="22"/>
          <w:szCs w:val="22"/>
        </w:rPr>
        <w:t>El artículo 6 de la LOEE establece que el Ministerio de Energía y Minas es la entidad competente para llevar el Sistema Nacional Estadístico sobre Eficiencia Energética (SNEEE); Vale indicar que, en el Reglamento a la LOEE se dicta como disposición transitoria que el MEM publicará el SNEEE en su página web.</w:t>
      </w:r>
      <w:r>
        <w:rPr>
          <w:rFonts w:ascii="Calibri Light" w:eastAsia="Calibri" w:hAnsi="Calibri Light" w:cs="Calibri Light"/>
          <w:color w:val="000000"/>
          <w:sz w:val="22"/>
          <w:szCs w:val="22"/>
        </w:rPr>
        <w:t xml:space="preserve"> </w:t>
      </w:r>
      <w:r w:rsidRPr="00FF13B0">
        <w:rPr>
          <w:rFonts w:ascii="Calibri Light" w:eastAsia="Calibri" w:hAnsi="Calibri Light" w:cs="Calibri Light"/>
          <w:color w:val="000000"/>
          <w:sz w:val="22"/>
          <w:szCs w:val="22"/>
        </w:rPr>
        <w:t xml:space="preserve">Con el propósito de alimentar el SNEEE, entre la DAPE y DGPPEE </w:t>
      </w:r>
      <w:r>
        <w:rPr>
          <w:rFonts w:ascii="Calibri Light" w:eastAsia="Calibri" w:hAnsi="Calibri Light" w:cs="Calibri Light"/>
          <w:color w:val="000000"/>
          <w:sz w:val="22"/>
          <w:szCs w:val="22"/>
        </w:rPr>
        <w:t>desarrolló</w:t>
      </w:r>
      <w:r w:rsidRPr="00FF13B0">
        <w:rPr>
          <w:rFonts w:ascii="Calibri Light" w:eastAsia="Calibri" w:hAnsi="Calibri Light" w:cs="Calibri Light"/>
          <w:color w:val="000000"/>
          <w:sz w:val="22"/>
          <w:szCs w:val="22"/>
        </w:rPr>
        <w:t xml:space="preserve"> una </w:t>
      </w:r>
      <w:r>
        <w:rPr>
          <w:rFonts w:ascii="Calibri Light" w:eastAsia="Calibri" w:hAnsi="Calibri Light" w:cs="Calibri Light"/>
          <w:color w:val="000000"/>
          <w:sz w:val="22"/>
          <w:szCs w:val="22"/>
        </w:rPr>
        <w:t>matriz</w:t>
      </w:r>
      <w:r w:rsidRPr="00FF13B0">
        <w:rPr>
          <w:rFonts w:ascii="Calibri Light" w:eastAsia="Calibri" w:hAnsi="Calibri Light" w:cs="Calibri Light"/>
          <w:color w:val="000000"/>
          <w:sz w:val="22"/>
          <w:szCs w:val="22"/>
        </w:rPr>
        <w:t xml:space="preserve"> en la que se mapean los requerimientos de la LOEE y su Reglamento, que podrían ser considerados e incluidos por el SNEEE. </w:t>
      </w:r>
    </w:p>
    <w:p w14:paraId="437DC3BE" w14:textId="77777777" w:rsidR="00C420E7" w:rsidRPr="00FF13B0" w:rsidRDefault="00C420E7" w:rsidP="00C420E7">
      <w:pPr>
        <w:pBdr>
          <w:top w:val="nil"/>
          <w:left w:val="nil"/>
          <w:bottom w:val="nil"/>
          <w:right w:val="nil"/>
          <w:between w:val="nil"/>
        </w:pBdr>
        <w:spacing w:before="3"/>
        <w:ind w:left="348"/>
        <w:rPr>
          <w:rFonts w:ascii="Calibri Light" w:eastAsia="Calibri" w:hAnsi="Calibri Light" w:cs="Calibri Light"/>
          <w:b/>
          <w:color w:val="000000"/>
          <w:sz w:val="22"/>
          <w:szCs w:val="22"/>
        </w:rPr>
      </w:pPr>
      <w:bookmarkStart w:id="289" w:name="_heading=h.2jxsxqh" w:colFirst="0" w:colLast="0"/>
      <w:bookmarkEnd w:id="289"/>
    </w:p>
    <w:p w14:paraId="4ACB181B" w14:textId="63E5D0F2" w:rsidR="00C420E7" w:rsidRPr="00941411" w:rsidRDefault="00C420E7" w:rsidP="00941411">
      <w:pPr>
        <w:pStyle w:val="Ttulo2"/>
        <w:rPr>
          <w:sz w:val="24"/>
          <w:szCs w:val="24"/>
        </w:rPr>
      </w:pPr>
      <w:bookmarkStart w:id="290" w:name="_heading=h.3dy6vkm" w:colFirst="0" w:colLast="0"/>
      <w:bookmarkStart w:id="291" w:name="_Toc196494496"/>
      <w:bookmarkStart w:id="292" w:name="_Toc198110316"/>
      <w:bookmarkStart w:id="293" w:name="_Toc199759571"/>
      <w:bookmarkEnd w:id="290"/>
      <w:r w:rsidRPr="00941411">
        <w:rPr>
          <w:sz w:val="24"/>
          <w:szCs w:val="24"/>
        </w:rPr>
        <w:t xml:space="preserve">Gestión de </w:t>
      </w:r>
      <w:r w:rsidR="0016337C" w:rsidRPr="00941411">
        <w:rPr>
          <w:sz w:val="24"/>
          <w:szCs w:val="24"/>
        </w:rPr>
        <w:t>I</w:t>
      </w:r>
      <w:r w:rsidRPr="00941411">
        <w:rPr>
          <w:sz w:val="24"/>
          <w:szCs w:val="24"/>
        </w:rPr>
        <w:t xml:space="preserve">nformación </w:t>
      </w:r>
      <w:r w:rsidR="0016337C" w:rsidRPr="00941411">
        <w:rPr>
          <w:sz w:val="24"/>
          <w:szCs w:val="24"/>
        </w:rPr>
        <w:t>E</w:t>
      </w:r>
      <w:r w:rsidRPr="00941411">
        <w:rPr>
          <w:sz w:val="24"/>
          <w:szCs w:val="24"/>
        </w:rPr>
        <w:t>nergética</w:t>
      </w:r>
      <w:bookmarkEnd w:id="291"/>
      <w:bookmarkEnd w:id="292"/>
      <w:bookmarkEnd w:id="293"/>
    </w:p>
    <w:p w14:paraId="6C68939B" w14:textId="77777777" w:rsidR="00C420E7" w:rsidRPr="00FF13B0" w:rsidRDefault="00C420E7" w:rsidP="00C420E7">
      <w:pPr>
        <w:rPr>
          <w:rFonts w:ascii="Calibri Light" w:hAnsi="Calibri Light" w:cs="Calibri Light"/>
          <w:sz w:val="22"/>
          <w:szCs w:val="22"/>
        </w:rPr>
      </w:pPr>
    </w:p>
    <w:p w14:paraId="02F38C4F" w14:textId="77777777" w:rsidR="00C420E7" w:rsidRPr="00FF13B0" w:rsidRDefault="00C420E7" w:rsidP="00C420E7">
      <w:pPr>
        <w:widowControl w:val="0"/>
        <w:pBdr>
          <w:top w:val="nil"/>
          <w:left w:val="nil"/>
          <w:bottom w:val="nil"/>
          <w:right w:val="nil"/>
          <w:between w:val="nil"/>
        </w:pBdr>
        <w:tabs>
          <w:tab w:val="left" w:pos="2338"/>
          <w:tab w:val="left" w:pos="2339"/>
          <w:tab w:val="left" w:pos="2338"/>
          <w:tab w:val="left" w:pos="2339"/>
        </w:tabs>
        <w:jc w:val="both"/>
        <w:rPr>
          <w:rFonts w:ascii="Calibri Light" w:eastAsia="Calibri" w:hAnsi="Calibri Light" w:cs="Calibri Light"/>
          <w:color w:val="000000"/>
          <w:sz w:val="22"/>
          <w:szCs w:val="22"/>
        </w:rPr>
      </w:pPr>
      <w:bookmarkStart w:id="294" w:name="_heading=h.1y810tw" w:colFirst="0" w:colLast="0"/>
      <w:bookmarkEnd w:id="294"/>
      <w:r w:rsidRPr="00E00E0F">
        <w:rPr>
          <w:rFonts w:ascii="Calibri Light" w:eastAsia="Calibri" w:hAnsi="Calibri Light" w:cs="Calibri Light"/>
          <w:b/>
          <w:color w:val="000000"/>
          <w:sz w:val="22"/>
          <w:szCs w:val="22"/>
        </w:rPr>
        <w:t>Balance Energético Nacional – BEN 2023</w:t>
      </w:r>
      <w:r>
        <w:rPr>
          <w:rFonts w:ascii="Calibri Light" w:eastAsia="Calibri" w:hAnsi="Calibri Light" w:cs="Calibri Light"/>
          <w:b/>
          <w:color w:val="000000"/>
          <w:sz w:val="22"/>
          <w:szCs w:val="22"/>
        </w:rPr>
        <w:t xml:space="preserve">: </w:t>
      </w:r>
      <w:r>
        <w:rPr>
          <w:rFonts w:ascii="Calibri Light" w:eastAsia="Calibri" w:hAnsi="Calibri Light" w:cs="Calibri Light"/>
          <w:color w:val="000000"/>
          <w:sz w:val="22"/>
          <w:szCs w:val="22"/>
        </w:rPr>
        <w:t xml:space="preserve">La DAPE coordinó el desarrollo, aprobación, </w:t>
      </w:r>
      <w:r w:rsidRPr="00FF13B0">
        <w:rPr>
          <w:rFonts w:ascii="Calibri Light" w:eastAsia="Calibri" w:hAnsi="Calibri Light" w:cs="Calibri Light"/>
          <w:color w:val="000000"/>
          <w:sz w:val="22"/>
          <w:szCs w:val="22"/>
        </w:rPr>
        <w:t>socializa</w:t>
      </w:r>
      <w:r>
        <w:rPr>
          <w:rFonts w:ascii="Calibri Light" w:eastAsia="Calibri" w:hAnsi="Calibri Light" w:cs="Calibri Light"/>
          <w:color w:val="000000"/>
          <w:sz w:val="22"/>
          <w:szCs w:val="22"/>
        </w:rPr>
        <w:t>ción y</w:t>
      </w:r>
      <w:r w:rsidRPr="00FF13B0">
        <w:rPr>
          <w:rFonts w:ascii="Calibri Light" w:eastAsia="Calibri" w:hAnsi="Calibri Light" w:cs="Calibri Light"/>
          <w:color w:val="000000"/>
          <w:sz w:val="22"/>
          <w:szCs w:val="22"/>
        </w:rPr>
        <w:t xml:space="preserve"> publica</w:t>
      </w:r>
      <w:r>
        <w:rPr>
          <w:rFonts w:ascii="Calibri Light" w:eastAsia="Calibri" w:hAnsi="Calibri Light" w:cs="Calibri Light"/>
          <w:color w:val="000000"/>
          <w:sz w:val="22"/>
          <w:szCs w:val="22"/>
        </w:rPr>
        <w:t xml:space="preserve">ción del Balance Energético Nacional (BEN 2023). </w:t>
      </w:r>
      <w:r w:rsidRPr="00FF13B0">
        <w:rPr>
          <w:rFonts w:ascii="Calibri Light" w:eastAsia="Calibri" w:hAnsi="Calibri Light" w:cs="Calibri Light"/>
          <w:color w:val="000000"/>
          <w:sz w:val="22"/>
          <w:szCs w:val="22"/>
        </w:rPr>
        <w:t xml:space="preserve"> </w:t>
      </w:r>
      <w:r>
        <w:rPr>
          <w:rFonts w:ascii="Calibri Light" w:eastAsia="Calibri" w:hAnsi="Calibri Light" w:cs="Calibri Light"/>
          <w:color w:val="000000"/>
          <w:sz w:val="22"/>
          <w:szCs w:val="22"/>
        </w:rPr>
        <w:t xml:space="preserve">El documento fue presentado </w:t>
      </w:r>
      <w:r w:rsidRPr="00FF13B0">
        <w:rPr>
          <w:rFonts w:ascii="Calibri Light" w:eastAsia="Calibri" w:hAnsi="Calibri Light" w:cs="Calibri Light"/>
          <w:color w:val="000000"/>
          <w:sz w:val="22"/>
          <w:szCs w:val="22"/>
        </w:rPr>
        <w:t>el 22 de agosto de 2024</w:t>
      </w:r>
      <w:r>
        <w:rPr>
          <w:rFonts w:ascii="Calibri Light" w:eastAsia="Calibri" w:hAnsi="Calibri Light" w:cs="Calibri Light"/>
          <w:color w:val="000000"/>
          <w:sz w:val="22"/>
          <w:szCs w:val="22"/>
        </w:rPr>
        <w:t xml:space="preserve">. </w:t>
      </w:r>
      <w:r w:rsidRPr="00FF13B0">
        <w:rPr>
          <w:rFonts w:ascii="Calibri Light" w:eastAsia="Calibri" w:hAnsi="Calibri Light" w:cs="Calibri Light"/>
          <w:color w:val="000000"/>
          <w:sz w:val="22"/>
          <w:szCs w:val="22"/>
        </w:rPr>
        <w:t xml:space="preserve">Además, </w:t>
      </w:r>
      <w:r>
        <w:rPr>
          <w:rFonts w:ascii="Calibri Light" w:eastAsia="Calibri" w:hAnsi="Calibri Light" w:cs="Calibri Light"/>
          <w:color w:val="000000"/>
          <w:sz w:val="22"/>
          <w:szCs w:val="22"/>
        </w:rPr>
        <w:t>se</w:t>
      </w:r>
      <w:r w:rsidRPr="00FF13B0">
        <w:rPr>
          <w:rFonts w:ascii="Calibri Light" w:eastAsia="Calibri" w:hAnsi="Calibri Light" w:cs="Calibri Light"/>
          <w:color w:val="000000"/>
          <w:sz w:val="22"/>
          <w:szCs w:val="22"/>
        </w:rPr>
        <w:t xml:space="preserve"> gestionó las acciones preliminares para iniciar el Balance Energético Nacional – BEN 2024</w:t>
      </w:r>
      <w:r>
        <w:rPr>
          <w:rFonts w:ascii="Calibri Light" w:eastAsia="Calibri" w:hAnsi="Calibri Light" w:cs="Calibri Light"/>
          <w:color w:val="000000"/>
          <w:sz w:val="22"/>
          <w:szCs w:val="22"/>
        </w:rPr>
        <w:t xml:space="preserve"> y </w:t>
      </w:r>
      <w:r w:rsidRPr="00FF13B0">
        <w:rPr>
          <w:rFonts w:ascii="Calibri Light" w:eastAsia="Calibri" w:hAnsi="Calibri Light" w:cs="Calibri Light"/>
          <w:color w:val="000000"/>
          <w:sz w:val="22"/>
          <w:szCs w:val="22"/>
        </w:rPr>
        <w:t>emitió el cronograma de trabajo al Instituto de Investigación Geológico Energético (IIGE)</w:t>
      </w:r>
      <w:r>
        <w:rPr>
          <w:rFonts w:ascii="Calibri Light" w:eastAsia="Calibri" w:hAnsi="Calibri Light" w:cs="Calibri Light"/>
          <w:color w:val="000000"/>
          <w:sz w:val="22"/>
          <w:szCs w:val="22"/>
        </w:rPr>
        <w:t xml:space="preserve"> para conocimiento.</w:t>
      </w:r>
    </w:p>
    <w:p w14:paraId="545A74DC" w14:textId="77777777" w:rsidR="00C420E7" w:rsidRPr="00FF13B0" w:rsidRDefault="00C420E7" w:rsidP="00C420E7">
      <w:pPr>
        <w:pBdr>
          <w:top w:val="nil"/>
          <w:left w:val="nil"/>
          <w:bottom w:val="nil"/>
          <w:right w:val="nil"/>
          <w:between w:val="nil"/>
        </w:pBdr>
        <w:jc w:val="both"/>
        <w:rPr>
          <w:rFonts w:ascii="Calibri Light" w:eastAsia="Calibri" w:hAnsi="Calibri Light" w:cs="Calibri Light"/>
          <w:color w:val="000000"/>
          <w:sz w:val="22"/>
          <w:szCs w:val="22"/>
        </w:rPr>
      </w:pPr>
    </w:p>
    <w:p w14:paraId="2D4204AD" w14:textId="18DD6109" w:rsidR="00C420E7" w:rsidRDefault="00C420E7" w:rsidP="00C420E7">
      <w:pPr>
        <w:jc w:val="both"/>
        <w:rPr>
          <w:rFonts w:ascii="Calibri Light" w:hAnsi="Calibri Light" w:cs="Calibri Light"/>
          <w:sz w:val="22"/>
          <w:szCs w:val="22"/>
        </w:rPr>
      </w:pPr>
      <w:bookmarkStart w:id="295" w:name="_heading=h.2xcytpi" w:colFirst="0" w:colLast="0"/>
      <w:bookmarkStart w:id="296" w:name="_heading=h.1ci93xb" w:colFirst="0" w:colLast="0"/>
      <w:bookmarkEnd w:id="295"/>
      <w:bookmarkEnd w:id="296"/>
      <w:r w:rsidRPr="00E00E0F">
        <w:rPr>
          <w:rFonts w:ascii="Calibri Light" w:hAnsi="Calibri Light" w:cs="Calibri Light"/>
          <w:b/>
          <w:sz w:val="22"/>
          <w:szCs w:val="22"/>
        </w:rPr>
        <w:t>Balance de Energía en Términos de Energía Útil</w:t>
      </w:r>
      <w:r>
        <w:rPr>
          <w:rFonts w:ascii="Calibri Light" w:hAnsi="Calibri Light" w:cs="Calibri Light"/>
          <w:b/>
          <w:sz w:val="22"/>
          <w:szCs w:val="22"/>
        </w:rPr>
        <w:t xml:space="preserve">: </w:t>
      </w:r>
      <w:r w:rsidRPr="00FF13B0">
        <w:rPr>
          <w:rFonts w:ascii="Calibri Light" w:eastAsia="Calibri" w:hAnsi="Calibri Light" w:cs="Calibri Light"/>
          <w:color w:val="000000"/>
          <w:sz w:val="22"/>
          <w:szCs w:val="22"/>
        </w:rPr>
        <w:t>El 28 de junio de 2024</w:t>
      </w:r>
      <w:r>
        <w:rPr>
          <w:rFonts w:ascii="Calibri Light" w:eastAsia="Calibri" w:hAnsi="Calibri Light" w:cs="Calibri Light"/>
          <w:color w:val="000000"/>
          <w:sz w:val="22"/>
          <w:szCs w:val="22"/>
        </w:rPr>
        <w:t>, la DAPE elaboró</w:t>
      </w:r>
      <w:r w:rsidRPr="00FF13B0">
        <w:rPr>
          <w:rFonts w:ascii="Calibri Light" w:eastAsia="Calibri" w:hAnsi="Calibri Light" w:cs="Calibri Light"/>
          <w:color w:val="000000"/>
          <w:sz w:val="22"/>
          <w:szCs w:val="22"/>
        </w:rPr>
        <w:t xml:space="preserve"> el informe de conformidad del documento diagramado del B</w:t>
      </w:r>
      <w:r>
        <w:rPr>
          <w:rFonts w:ascii="Calibri Light" w:eastAsia="Calibri" w:hAnsi="Calibri Light" w:cs="Calibri Light"/>
          <w:color w:val="000000"/>
          <w:sz w:val="22"/>
          <w:szCs w:val="22"/>
        </w:rPr>
        <w:t xml:space="preserve">alance de </w:t>
      </w:r>
      <w:r w:rsidRPr="00FF13B0">
        <w:rPr>
          <w:rFonts w:ascii="Calibri Light" w:eastAsia="Calibri" w:hAnsi="Calibri Light" w:cs="Calibri Light"/>
          <w:color w:val="000000"/>
          <w:sz w:val="22"/>
          <w:szCs w:val="22"/>
        </w:rPr>
        <w:t>E</w:t>
      </w:r>
      <w:r>
        <w:rPr>
          <w:rFonts w:ascii="Calibri Light" w:eastAsia="Calibri" w:hAnsi="Calibri Light" w:cs="Calibri Light"/>
          <w:color w:val="000000"/>
          <w:sz w:val="22"/>
          <w:szCs w:val="22"/>
        </w:rPr>
        <w:t>nergía Útil (BEU)</w:t>
      </w:r>
      <w:r w:rsidRPr="00FF13B0">
        <w:rPr>
          <w:rFonts w:ascii="Calibri Light" w:eastAsia="Calibri" w:hAnsi="Calibri Light" w:cs="Calibri Light"/>
          <w:color w:val="000000"/>
          <w:sz w:val="22"/>
          <w:szCs w:val="22"/>
        </w:rPr>
        <w:t>; y, OLADE a través de comunicación SEJ-2024010021711 el 24 de julio de 2024, emite los documentos acordados de este producto.</w:t>
      </w:r>
      <w:r>
        <w:rPr>
          <w:rFonts w:ascii="Calibri Light" w:eastAsia="Calibri" w:hAnsi="Calibri Light" w:cs="Calibri Light"/>
          <w:color w:val="000000"/>
          <w:sz w:val="22"/>
          <w:szCs w:val="22"/>
        </w:rPr>
        <w:t xml:space="preserve"> </w:t>
      </w:r>
      <w:r>
        <w:rPr>
          <w:rFonts w:ascii="Calibri Light" w:hAnsi="Calibri Light" w:cs="Calibri Light"/>
          <w:sz w:val="22"/>
          <w:szCs w:val="22"/>
        </w:rPr>
        <w:t>Posteriormente, se gestionó la</w:t>
      </w:r>
      <w:r w:rsidRPr="00FF13B0">
        <w:rPr>
          <w:rFonts w:ascii="Calibri Light" w:hAnsi="Calibri Light" w:cs="Calibri Light"/>
          <w:sz w:val="22"/>
          <w:szCs w:val="22"/>
        </w:rPr>
        <w:t xml:space="preserve"> aprobación de la Señora ministra</w:t>
      </w:r>
      <w:r>
        <w:rPr>
          <w:rFonts w:ascii="Calibri Light" w:hAnsi="Calibri Light" w:cs="Calibri Light"/>
          <w:sz w:val="22"/>
          <w:szCs w:val="22"/>
        </w:rPr>
        <w:t xml:space="preserve"> y</w:t>
      </w:r>
      <w:r w:rsidRPr="00FF13B0">
        <w:rPr>
          <w:rFonts w:ascii="Calibri Light" w:hAnsi="Calibri Light" w:cs="Calibri Light"/>
          <w:sz w:val="22"/>
          <w:szCs w:val="22"/>
        </w:rPr>
        <w:t xml:space="preserve"> con la Dirección de Comunicaci</w:t>
      </w:r>
      <w:r>
        <w:rPr>
          <w:rFonts w:ascii="Calibri Light" w:hAnsi="Calibri Light" w:cs="Calibri Light"/>
          <w:sz w:val="22"/>
          <w:szCs w:val="22"/>
        </w:rPr>
        <w:t>ón</w:t>
      </w:r>
      <w:r w:rsidRPr="00FF13B0">
        <w:rPr>
          <w:rFonts w:ascii="Calibri Light" w:hAnsi="Calibri Light" w:cs="Calibri Light"/>
          <w:sz w:val="22"/>
          <w:szCs w:val="22"/>
        </w:rPr>
        <w:t xml:space="preserve"> la publicación del documento en la página del Ministerio.</w:t>
      </w:r>
    </w:p>
    <w:p w14:paraId="58BA28C7" w14:textId="77777777" w:rsidR="00C420E7" w:rsidRPr="00FF13B0" w:rsidRDefault="00C420E7" w:rsidP="00C420E7">
      <w:pPr>
        <w:pBdr>
          <w:top w:val="nil"/>
          <w:left w:val="nil"/>
          <w:bottom w:val="nil"/>
          <w:right w:val="nil"/>
          <w:between w:val="nil"/>
        </w:pBdr>
        <w:jc w:val="both"/>
        <w:rPr>
          <w:rFonts w:ascii="Calibri Light" w:hAnsi="Calibri Light" w:cs="Calibri Light"/>
          <w:sz w:val="22"/>
          <w:szCs w:val="22"/>
        </w:rPr>
      </w:pPr>
    </w:p>
    <w:p w14:paraId="78BB4284" w14:textId="77777777" w:rsidR="00C420E7" w:rsidRPr="00FF13B0" w:rsidRDefault="00C420E7" w:rsidP="00C420E7">
      <w:pPr>
        <w:widowControl w:val="0"/>
        <w:pBdr>
          <w:top w:val="nil"/>
          <w:left w:val="nil"/>
          <w:bottom w:val="nil"/>
          <w:right w:val="nil"/>
          <w:between w:val="nil"/>
        </w:pBdr>
        <w:tabs>
          <w:tab w:val="left" w:pos="2338"/>
          <w:tab w:val="left" w:pos="2339"/>
          <w:tab w:val="left" w:pos="2338"/>
          <w:tab w:val="left" w:pos="2339"/>
        </w:tabs>
        <w:jc w:val="both"/>
        <w:rPr>
          <w:rFonts w:ascii="Calibri Light" w:eastAsia="Calibri" w:hAnsi="Calibri Light" w:cs="Calibri Light"/>
          <w:color w:val="000000"/>
          <w:sz w:val="22"/>
          <w:szCs w:val="22"/>
        </w:rPr>
      </w:pPr>
      <w:bookmarkStart w:id="297" w:name="_heading=h.3whwml4" w:colFirst="0" w:colLast="0"/>
      <w:bookmarkEnd w:id="297"/>
      <w:r w:rsidRPr="00E00E0F">
        <w:rPr>
          <w:rFonts w:ascii="Calibri Light" w:hAnsi="Calibri Light" w:cs="Calibri Light"/>
          <w:b/>
          <w:sz w:val="22"/>
          <w:szCs w:val="22"/>
        </w:rPr>
        <w:t>Información para OLADE (Panorama energético de América Latina y el Caribe 2024, boletines 2025 y artículos científicos de energía)</w:t>
      </w:r>
      <w:r>
        <w:rPr>
          <w:rFonts w:ascii="Calibri Light" w:hAnsi="Calibri Light" w:cs="Calibri Light"/>
          <w:b/>
          <w:sz w:val="22"/>
          <w:szCs w:val="22"/>
        </w:rPr>
        <w:t xml:space="preserve">: </w:t>
      </w:r>
      <w:r>
        <w:rPr>
          <w:rFonts w:ascii="Calibri Light" w:hAnsi="Calibri Light" w:cs="Calibri Light"/>
          <w:sz w:val="22"/>
          <w:szCs w:val="22"/>
        </w:rPr>
        <w:t>L</w:t>
      </w:r>
      <w:r w:rsidRPr="00FF13B0">
        <w:rPr>
          <w:rFonts w:ascii="Calibri Light" w:eastAsia="Calibri" w:hAnsi="Calibri Light" w:cs="Calibri Light"/>
          <w:color w:val="000000"/>
          <w:sz w:val="22"/>
          <w:szCs w:val="22"/>
        </w:rPr>
        <w:t xml:space="preserve">a </w:t>
      </w:r>
      <w:r>
        <w:rPr>
          <w:rFonts w:ascii="Calibri Light" w:eastAsia="Calibri" w:hAnsi="Calibri Light" w:cs="Calibri Light"/>
          <w:color w:val="000000"/>
          <w:sz w:val="22"/>
          <w:szCs w:val="22"/>
        </w:rPr>
        <w:t>DAPE</w:t>
      </w:r>
      <w:r w:rsidRPr="00FF13B0">
        <w:rPr>
          <w:rFonts w:ascii="Calibri Light" w:eastAsia="Calibri" w:hAnsi="Calibri Light" w:cs="Calibri Light"/>
          <w:color w:val="000000"/>
          <w:sz w:val="22"/>
          <w:szCs w:val="22"/>
        </w:rPr>
        <w:t xml:space="preserve"> como punto técni</w:t>
      </w:r>
      <w:r w:rsidRPr="00FF13B0">
        <w:rPr>
          <w:rFonts w:ascii="Calibri Light" w:hAnsi="Calibri Light" w:cs="Calibri Light"/>
          <w:sz w:val="22"/>
          <w:szCs w:val="22"/>
        </w:rPr>
        <w:t>co ante OLADE,</w:t>
      </w:r>
      <w:r w:rsidRPr="00FF13B0">
        <w:rPr>
          <w:rFonts w:ascii="Calibri Light" w:eastAsia="Calibri" w:hAnsi="Calibri Light" w:cs="Calibri Light"/>
          <w:color w:val="000000"/>
          <w:sz w:val="22"/>
          <w:szCs w:val="22"/>
        </w:rPr>
        <w:t xml:space="preserve"> en el ámbito de sus competencias al generar</w:t>
      </w:r>
      <w:r w:rsidRPr="00FF13B0">
        <w:rPr>
          <w:rFonts w:ascii="Calibri Light" w:hAnsi="Calibri Light" w:cs="Calibri Light"/>
          <w:sz w:val="22"/>
          <w:szCs w:val="22"/>
        </w:rPr>
        <w:t xml:space="preserve"> </w:t>
      </w:r>
      <w:r w:rsidRPr="00FF13B0">
        <w:rPr>
          <w:rFonts w:ascii="Calibri Light" w:eastAsia="Calibri" w:hAnsi="Calibri Light" w:cs="Calibri Light"/>
          <w:color w:val="000000"/>
          <w:sz w:val="22"/>
          <w:szCs w:val="22"/>
        </w:rPr>
        <w:t xml:space="preserve">el Balance Energético </w:t>
      </w:r>
      <w:r w:rsidRPr="00FF13B0">
        <w:rPr>
          <w:rFonts w:ascii="Calibri Light" w:hAnsi="Calibri Light" w:cs="Calibri Light"/>
          <w:sz w:val="22"/>
          <w:szCs w:val="22"/>
        </w:rPr>
        <w:t xml:space="preserve">Nacional </w:t>
      </w:r>
      <w:r w:rsidRPr="00FF13B0">
        <w:rPr>
          <w:rFonts w:ascii="Calibri Light" w:eastAsia="Calibri" w:hAnsi="Calibri Light" w:cs="Calibri Light"/>
          <w:color w:val="000000"/>
          <w:sz w:val="22"/>
          <w:szCs w:val="22"/>
        </w:rPr>
        <w:t>entregó los reportes requeridos por la OLADE en septiembre de 2024.</w:t>
      </w:r>
    </w:p>
    <w:p w14:paraId="5AD78B77" w14:textId="77777777" w:rsidR="00C420E7" w:rsidRDefault="00C420E7" w:rsidP="00C420E7">
      <w:bookmarkStart w:id="298" w:name="_heading=h.2bn6wsx" w:colFirst="0" w:colLast="0"/>
      <w:bookmarkStart w:id="299" w:name="_heading=h.qsh70q" w:colFirst="0" w:colLast="0"/>
      <w:bookmarkStart w:id="300" w:name="_heading=h.ylhgcx46r63v" w:colFirst="0" w:colLast="0"/>
      <w:bookmarkStart w:id="301" w:name="_heading=h.1t3h5sf" w:colFirst="0" w:colLast="0"/>
      <w:bookmarkStart w:id="302" w:name="_heading=h.3as4poj" w:colFirst="0" w:colLast="0"/>
      <w:bookmarkEnd w:id="298"/>
      <w:bookmarkEnd w:id="299"/>
      <w:bookmarkEnd w:id="300"/>
      <w:bookmarkEnd w:id="301"/>
      <w:bookmarkEnd w:id="302"/>
    </w:p>
    <w:p w14:paraId="1A0E4C91" w14:textId="77777777" w:rsidR="00C420E7" w:rsidRPr="006459CE" w:rsidRDefault="00C420E7" w:rsidP="00C420E7">
      <w:pPr>
        <w:jc w:val="both"/>
        <w:rPr>
          <w:rFonts w:asciiTheme="majorHAnsi" w:hAnsiTheme="majorHAnsi" w:cstheme="majorHAnsi"/>
          <w:sz w:val="22"/>
        </w:rPr>
      </w:pPr>
      <w:r w:rsidRPr="006459CE">
        <w:rPr>
          <w:rFonts w:asciiTheme="majorHAnsi" w:hAnsiTheme="majorHAnsi" w:cstheme="majorHAnsi"/>
          <w:sz w:val="22"/>
        </w:rPr>
        <w:lastRenderedPageBreak/>
        <w:t>A través de la Corporación Eléctrica del Ecuador-CELEC EP, se han presentado los avances a los proyectos que han sido financiados por el estado ecuatoriano, cuya delegación tiene la Corporación. Durante el año 2024 se ha dado seguimiento a la ejecución de los siguientes proyectos:</w:t>
      </w:r>
    </w:p>
    <w:p w14:paraId="319C2594" w14:textId="77777777" w:rsidR="00C420E7" w:rsidRDefault="00C420E7" w:rsidP="00C420E7">
      <w:pPr>
        <w:pStyle w:val="Descripcin"/>
      </w:pPr>
    </w:p>
    <w:p w14:paraId="4E5A5C82" w14:textId="69C05C50" w:rsidR="00C420E7" w:rsidRPr="00A3434F" w:rsidRDefault="00C420E7" w:rsidP="00C420E7">
      <w:pPr>
        <w:pStyle w:val="Descripcin"/>
        <w:rPr>
          <w:rFonts w:asciiTheme="majorHAnsi" w:hAnsiTheme="majorHAnsi" w:cstheme="majorHAnsi"/>
        </w:rPr>
      </w:pPr>
      <w:bookmarkStart w:id="303" w:name="_Toc198110369"/>
      <w:bookmarkStart w:id="304" w:name="_Toc199759693"/>
      <w:r w:rsidRPr="00A3434F">
        <w:rPr>
          <w:rFonts w:asciiTheme="majorHAnsi" w:hAnsiTheme="majorHAnsi" w:cstheme="majorHAnsi"/>
        </w:rPr>
        <w:t xml:space="preserve">Tabla </w:t>
      </w:r>
      <w:r w:rsidR="003A269C" w:rsidRPr="00A3434F">
        <w:rPr>
          <w:rFonts w:asciiTheme="majorHAnsi" w:hAnsiTheme="majorHAnsi" w:cstheme="majorHAnsi"/>
        </w:rPr>
        <w:fldChar w:fldCharType="begin"/>
      </w:r>
      <w:r w:rsidR="003A269C" w:rsidRPr="00A3434F">
        <w:rPr>
          <w:rFonts w:asciiTheme="majorHAnsi" w:hAnsiTheme="majorHAnsi" w:cstheme="majorHAnsi"/>
        </w:rPr>
        <w:instrText xml:space="preserve"> SEQ Tabla \* ARABIC </w:instrText>
      </w:r>
      <w:r w:rsidR="003A269C" w:rsidRPr="00A3434F">
        <w:rPr>
          <w:rFonts w:asciiTheme="majorHAnsi" w:hAnsiTheme="majorHAnsi" w:cstheme="majorHAnsi"/>
        </w:rPr>
        <w:fldChar w:fldCharType="separate"/>
      </w:r>
      <w:r w:rsidR="00CF0AD2">
        <w:rPr>
          <w:rFonts w:asciiTheme="majorHAnsi" w:hAnsiTheme="majorHAnsi" w:cstheme="majorHAnsi"/>
          <w:noProof/>
        </w:rPr>
        <w:t>23</w:t>
      </w:r>
      <w:r w:rsidR="003A269C" w:rsidRPr="00A3434F">
        <w:rPr>
          <w:rFonts w:asciiTheme="majorHAnsi" w:hAnsiTheme="majorHAnsi" w:cstheme="majorHAnsi"/>
          <w:noProof/>
        </w:rPr>
        <w:fldChar w:fldCharType="end"/>
      </w:r>
      <w:r w:rsidR="0016337C">
        <w:rPr>
          <w:rFonts w:asciiTheme="majorHAnsi" w:hAnsiTheme="majorHAnsi" w:cstheme="majorHAnsi"/>
        </w:rPr>
        <w:t>:</w:t>
      </w:r>
      <w:r w:rsidRPr="00A3434F">
        <w:rPr>
          <w:rFonts w:asciiTheme="majorHAnsi" w:hAnsiTheme="majorHAnsi" w:cstheme="majorHAnsi"/>
        </w:rPr>
        <w:t xml:space="preserve"> Información proyectos de generación en ejecución – CELEC EP</w:t>
      </w:r>
      <w:bookmarkEnd w:id="303"/>
      <w:bookmarkEnd w:id="304"/>
    </w:p>
    <w:tbl>
      <w:tblPr>
        <w:tblStyle w:val="TableNormal"/>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1"/>
        <w:gridCol w:w="1591"/>
        <w:gridCol w:w="992"/>
        <w:gridCol w:w="1276"/>
        <w:gridCol w:w="1418"/>
        <w:gridCol w:w="1417"/>
      </w:tblGrid>
      <w:tr w:rsidR="00C420E7" w14:paraId="267EDA00" w14:textId="77777777" w:rsidTr="000A4588">
        <w:trPr>
          <w:trHeight w:val="904"/>
          <w:jc w:val="center"/>
        </w:trPr>
        <w:tc>
          <w:tcPr>
            <w:tcW w:w="1381" w:type="dxa"/>
            <w:shd w:val="clear" w:color="auto" w:fill="5B9BD4"/>
          </w:tcPr>
          <w:p w14:paraId="7B9BB479" w14:textId="77777777" w:rsidR="00C420E7" w:rsidRPr="00A3434F" w:rsidRDefault="00C420E7" w:rsidP="000A4588">
            <w:pPr>
              <w:widowControl/>
              <w:autoSpaceDE/>
              <w:autoSpaceDN/>
              <w:rPr>
                <w:rFonts w:ascii="Calibri Light" w:eastAsia="Times New Roman" w:hAnsi="Calibri Light" w:cs="Calibri Light"/>
                <w:b/>
                <w:bCs/>
                <w:color w:val="FFFFFF"/>
                <w:sz w:val="18"/>
                <w:szCs w:val="18"/>
                <w:lang w:eastAsia="es-EC"/>
              </w:rPr>
            </w:pPr>
          </w:p>
          <w:p w14:paraId="1F679094" w14:textId="77777777" w:rsidR="00C420E7" w:rsidRPr="00A3434F" w:rsidRDefault="00C420E7" w:rsidP="000A4588">
            <w:pPr>
              <w:widowControl/>
              <w:autoSpaceDE/>
              <w:autoSpaceDN/>
              <w:jc w:val="center"/>
              <w:rPr>
                <w:rFonts w:ascii="Calibri Light" w:eastAsia="Times New Roman" w:hAnsi="Calibri Light" w:cs="Calibri Light"/>
                <w:b/>
                <w:bCs/>
                <w:color w:val="FFFFFF"/>
                <w:sz w:val="18"/>
                <w:szCs w:val="18"/>
                <w:lang w:eastAsia="es-EC"/>
              </w:rPr>
            </w:pPr>
            <w:r w:rsidRPr="00A3434F">
              <w:rPr>
                <w:rFonts w:ascii="Calibri Light" w:eastAsia="Times New Roman" w:hAnsi="Calibri Light" w:cs="Calibri Light"/>
                <w:b/>
                <w:bCs/>
                <w:color w:val="FFFFFF"/>
                <w:sz w:val="18"/>
                <w:szCs w:val="18"/>
                <w:lang w:eastAsia="es-EC"/>
              </w:rPr>
              <w:t>NOMBRE</w:t>
            </w:r>
          </w:p>
        </w:tc>
        <w:tc>
          <w:tcPr>
            <w:tcW w:w="1591" w:type="dxa"/>
            <w:shd w:val="clear" w:color="auto" w:fill="5B9BD4"/>
          </w:tcPr>
          <w:p w14:paraId="632232BD" w14:textId="77777777" w:rsidR="00C420E7" w:rsidRPr="00A3434F" w:rsidRDefault="00C420E7" w:rsidP="000A4588">
            <w:pPr>
              <w:widowControl/>
              <w:autoSpaceDE/>
              <w:autoSpaceDN/>
              <w:jc w:val="center"/>
              <w:rPr>
                <w:rFonts w:ascii="Calibri Light" w:eastAsia="Times New Roman" w:hAnsi="Calibri Light" w:cs="Calibri Light"/>
                <w:b/>
                <w:bCs/>
                <w:color w:val="FFFFFF"/>
                <w:sz w:val="18"/>
                <w:szCs w:val="18"/>
                <w:lang w:eastAsia="es-EC"/>
              </w:rPr>
            </w:pPr>
          </w:p>
          <w:p w14:paraId="3201669C" w14:textId="77777777" w:rsidR="00C420E7" w:rsidRPr="00A3434F" w:rsidRDefault="00C420E7" w:rsidP="000A4588">
            <w:pPr>
              <w:widowControl/>
              <w:autoSpaceDE/>
              <w:autoSpaceDN/>
              <w:jc w:val="center"/>
              <w:rPr>
                <w:rFonts w:ascii="Calibri Light" w:eastAsia="Times New Roman" w:hAnsi="Calibri Light" w:cs="Calibri Light"/>
                <w:b/>
                <w:bCs/>
                <w:color w:val="FFFFFF"/>
                <w:sz w:val="18"/>
                <w:szCs w:val="18"/>
                <w:lang w:eastAsia="es-EC"/>
              </w:rPr>
            </w:pPr>
            <w:r w:rsidRPr="00A3434F">
              <w:rPr>
                <w:rFonts w:ascii="Calibri Light" w:eastAsia="Times New Roman" w:hAnsi="Calibri Light" w:cs="Calibri Light"/>
                <w:b/>
                <w:bCs/>
                <w:color w:val="FFFFFF"/>
                <w:sz w:val="18"/>
                <w:szCs w:val="18"/>
                <w:lang w:eastAsia="es-EC"/>
              </w:rPr>
              <w:t>TIPO</w:t>
            </w:r>
          </w:p>
        </w:tc>
        <w:tc>
          <w:tcPr>
            <w:tcW w:w="992" w:type="dxa"/>
            <w:shd w:val="clear" w:color="auto" w:fill="5B9BD4"/>
          </w:tcPr>
          <w:p w14:paraId="7ACA425D" w14:textId="77777777" w:rsidR="00C420E7" w:rsidRPr="00A3434F" w:rsidRDefault="00C420E7" w:rsidP="000A4588">
            <w:pPr>
              <w:widowControl/>
              <w:autoSpaceDE/>
              <w:autoSpaceDN/>
              <w:jc w:val="center"/>
              <w:rPr>
                <w:rFonts w:ascii="Calibri Light" w:eastAsia="Times New Roman" w:hAnsi="Calibri Light" w:cs="Calibri Light"/>
                <w:b/>
                <w:bCs/>
                <w:color w:val="FFFFFF"/>
                <w:sz w:val="18"/>
                <w:szCs w:val="18"/>
                <w:lang w:eastAsia="es-EC"/>
              </w:rPr>
            </w:pPr>
          </w:p>
          <w:p w14:paraId="3C60E5DE" w14:textId="77777777" w:rsidR="00C420E7" w:rsidRPr="00A3434F" w:rsidRDefault="00C420E7" w:rsidP="000A4588">
            <w:pPr>
              <w:widowControl/>
              <w:autoSpaceDE/>
              <w:autoSpaceDN/>
              <w:ind w:right="98"/>
              <w:jc w:val="center"/>
              <w:rPr>
                <w:rFonts w:ascii="Calibri Light" w:eastAsia="Times New Roman" w:hAnsi="Calibri Light" w:cs="Calibri Light"/>
                <w:b/>
                <w:bCs/>
                <w:color w:val="FFFFFF"/>
                <w:sz w:val="18"/>
                <w:szCs w:val="18"/>
                <w:lang w:eastAsia="es-EC"/>
              </w:rPr>
            </w:pPr>
            <w:r w:rsidRPr="00A3434F">
              <w:rPr>
                <w:rFonts w:ascii="Calibri Light" w:eastAsia="Times New Roman" w:hAnsi="Calibri Light" w:cs="Calibri Light"/>
                <w:b/>
                <w:bCs/>
                <w:color w:val="FFFFFF"/>
                <w:sz w:val="18"/>
                <w:szCs w:val="18"/>
                <w:lang w:eastAsia="es-EC"/>
              </w:rPr>
              <w:t>AVANCE (%)</w:t>
            </w:r>
          </w:p>
        </w:tc>
        <w:tc>
          <w:tcPr>
            <w:tcW w:w="1276" w:type="dxa"/>
            <w:shd w:val="clear" w:color="auto" w:fill="5B9BD4"/>
          </w:tcPr>
          <w:p w14:paraId="6C5F47B1" w14:textId="77777777" w:rsidR="00C420E7" w:rsidRPr="00A3434F" w:rsidRDefault="00C420E7" w:rsidP="000A4588">
            <w:pPr>
              <w:widowControl/>
              <w:autoSpaceDE/>
              <w:autoSpaceDN/>
              <w:jc w:val="center"/>
              <w:rPr>
                <w:rFonts w:ascii="Calibri Light" w:eastAsia="Times New Roman" w:hAnsi="Calibri Light" w:cs="Calibri Light"/>
                <w:b/>
                <w:bCs/>
                <w:color w:val="FFFFFF"/>
                <w:sz w:val="18"/>
                <w:szCs w:val="18"/>
                <w:lang w:eastAsia="es-EC"/>
              </w:rPr>
            </w:pPr>
          </w:p>
          <w:p w14:paraId="1E4E4D89" w14:textId="77777777" w:rsidR="00C420E7" w:rsidRPr="00A3434F" w:rsidRDefault="00C420E7" w:rsidP="000A4588">
            <w:pPr>
              <w:widowControl/>
              <w:autoSpaceDE/>
              <w:autoSpaceDN/>
              <w:jc w:val="center"/>
              <w:rPr>
                <w:rFonts w:ascii="Calibri Light" w:eastAsia="Times New Roman" w:hAnsi="Calibri Light" w:cs="Calibri Light"/>
                <w:b/>
                <w:bCs/>
                <w:color w:val="FFFFFF"/>
                <w:sz w:val="18"/>
                <w:szCs w:val="18"/>
                <w:lang w:eastAsia="es-EC"/>
              </w:rPr>
            </w:pPr>
            <w:r w:rsidRPr="00A3434F">
              <w:rPr>
                <w:rFonts w:ascii="Calibri Light" w:eastAsia="Times New Roman" w:hAnsi="Calibri Light" w:cs="Calibri Light"/>
                <w:b/>
                <w:bCs/>
                <w:color w:val="FFFFFF"/>
                <w:sz w:val="18"/>
                <w:szCs w:val="18"/>
                <w:lang w:eastAsia="es-EC"/>
              </w:rPr>
              <w:t>POTENCIA (MW)</w:t>
            </w:r>
          </w:p>
        </w:tc>
        <w:tc>
          <w:tcPr>
            <w:tcW w:w="1418" w:type="dxa"/>
            <w:shd w:val="clear" w:color="auto" w:fill="5B9BD4"/>
          </w:tcPr>
          <w:p w14:paraId="3D013A8A" w14:textId="77777777" w:rsidR="00C420E7" w:rsidRPr="00A3434F" w:rsidRDefault="00C420E7" w:rsidP="000A4588">
            <w:pPr>
              <w:widowControl/>
              <w:autoSpaceDE/>
              <w:autoSpaceDN/>
              <w:ind w:right="282"/>
              <w:rPr>
                <w:rFonts w:ascii="Calibri Light" w:eastAsia="Times New Roman" w:hAnsi="Calibri Light" w:cs="Calibri Light"/>
                <w:b/>
                <w:bCs/>
                <w:color w:val="FFFFFF"/>
                <w:sz w:val="18"/>
                <w:szCs w:val="18"/>
                <w:lang w:eastAsia="es-EC"/>
              </w:rPr>
            </w:pPr>
          </w:p>
          <w:p w14:paraId="732F9BB1" w14:textId="77777777" w:rsidR="00C420E7" w:rsidRPr="00A3434F" w:rsidRDefault="00C420E7" w:rsidP="000A4588">
            <w:pPr>
              <w:widowControl/>
              <w:autoSpaceDE/>
              <w:autoSpaceDN/>
              <w:ind w:right="282"/>
              <w:jc w:val="center"/>
              <w:rPr>
                <w:rFonts w:ascii="Calibri Light" w:eastAsia="Times New Roman" w:hAnsi="Calibri Light" w:cs="Calibri Light"/>
                <w:b/>
                <w:bCs/>
                <w:color w:val="FFFFFF"/>
                <w:sz w:val="18"/>
                <w:szCs w:val="18"/>
                <w:lang w:eastAsia="es-EC"/>
              </w:rPr>
            </w:pPr>
            <w:r w:rsidRPr="00A3434F">
              <w:rPr>
                <w:rFonts w:ascii="Calibri Light" w:eastAsia="Times New Roman" w:hAnsi="Calibri Light" w:cs="Calibri Light"/>
                <w:b/>
                <w:bCs/>
                <w:color w:val="FFFFFF"/>
                <w:sz w:val="18"/>
                <w:szCs w:val="18"/>
                <w:lang w:eastAsia="es-EC"/>
              </w:rPr>
              <w:t>ENERGÍA (GWh/AÑO)</w:t>
            </w:r>
          </w:p>
        </w:tc>
        <w:tc>
          <w:tcPr>
            <w:tcW w:w="1417" w:type="dxa"/>
            <w:shd w:val="clear" w:color="auto" w:fill="5B9BD4"/>
          </w:tcPr>
          <w:p w14:paraId="0474D429" w14:textId="77777777" w:rsidR="00C420E7" w:rsidRPr="00A3434F" w:rsidRDefault="00C420E7" w:rsidP="000A4588">
            <w:pPr>
              <w:widowControl/>
              <w:autoSpaceDE/>
              <w:autoSpaceDN/>
              <w:ind w:right="257"/>
              <w:rPr>
                <w:rFonts w:ascii="Calibri Light" w:eastAsia="Times New Roman" w:hAnsi="Calibri Light" w:cs="Calibri Light"/>
                <w:b/>
                <w:bCs/>
                <w:color w:val="FFFFFF"/>
                <w:sz w:val="18"/>
                <w:szCs w:val="18"/>
                <w:lang w:eastAsia="es-EC"/>
              </w:rPr>
            </w:pPr>
          </w:p>
          <w:p w14:paraId="10FBC9F1" w14:textId="77777777" w:rsidR="00C420E7" w:rsidRPr="00A3434F" w:rsidRDefault="00C420E7" w:rsidP="000A4588">
            <w:pPr>
              <w:widowControl/>
              <w:autoSpaceDE/>
              <w:autoSpaceDN/>
              <w:ind w:right="257"/>
              <w:jc w:val="center"/>
              <w:rPr>
                <w:rFonts w:ascii="Calibri Light" w:eastAsia="Times New Roman" w:hAnsi="Calibri Light" w:cs="Calibri Light"/>
                <w:b/>
                <w:bCs/>
                <w:color w:val="FFFFFF"/>
                <w:sz w:val="18"/>
                <w:szCs w:val="18"/>
                <w:lang w:eastAsia="es-EC"/>
              </w:rPr>
            </w:pPr>
            <w:r w:rsidRPr="00A3434F">
              <w:rPr>
                <w:rFonts w:ascii="Calibri Light" w:eastAsia="Times New Roman" w:hAnsi="Calibri Light" w:cs="Calibri Light"/>
                <w:b/>
                <w:bCs/>
                <w:color w:val="FFFFFF"/>
                <w:sz w:val="18"/>
                <w:szCs w:val="18"/>
                <w:lang w:eastAsia="es-EC"/>
              </w:rPr>
              <w:t>COSTO PRIORIDAD</w:t>
            </w:r>
          </w:p>
        </w:tc>
      </w:tr>
      <w:tr w:rsidR="00C420E7" w14:paraId="606460A4" w14:textId="77777777" w:rsidTr="000A4588">
        <w:trPr>
          <w:trHeight w:val="295"/>
          <w:jc w:val="center"/>
        </w:trPr>
        <w:tc>
          <w:tcPr>
            <w:tcW w:w="1381" w:type="dxa"/>
          </w:tcPr>
          <w:p w14:paraId="6B7DF55C" w14:textId="77777777" w:rsidR="00C420E7" w:rsidRPr="00A3434F" w:rsidRDefault="00C420E7" w:rsidP="000A4588">
            <w:pPr>
              <w:spacing w:before="35"/>
              <w:ind w:left="107"/>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Toachi-Pilatón</w:t>
            </w:r>
          </w:p>
        </w:tc>
        <w:tc>
          <w:tcPr>
            <w:tcW w:w="1591" w:type="dxa"/>
          </w:tcPr>
          <w:p w14:paraId="5A3AAF93" w14:textId="77777777" w:rsidR="00C420E7" w:rsidRPr="00A3434F" w:rsidRDefault="00C420E7" w:rsidP="000A4588">
            <w:pPr>
              <w:spacing w:before="35"/>
              <w:ind w:left="107"/>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Hidroeléctrico</w:t>
            </w:r>
          </w:p>
        </w:tc>
        <w:tc>
          <w:tcPr>
            <w:tcW w:w="992" w:type="dxa"/>
          </w:tcPr>
          <w:p w14:paraId="186E7CA3" w14:textId="77777777" w:rsidR="00C420E7" w:rsidRPr="00A3434F" w:rsidRDefault="00C420E7" w:rsidP="000A4588">
            <w:pPr>
              <w:spacing w:before="35"/>
              <w:ind w:right="96"/>
              <w:jc w:val="right"/>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98,75%</w:t>
            </w:r>
          </w:p>
        </w:tc>
        <w:tc>
          <w:tcPr>
            <w:tcW w:w="1276" w:type="dxa"/>
          </w:tcPr>
          <w:p w14:paraId="61B031B6" w14:textId="77777777" w:rsidR="00C420E7" w:rsidRPr="00A3434F" w:rsidRDefault="00C420E7" w:rsidP="000A4588">
            <w:pPr>
              <w:spacing w:before="35"/>
              <w:ind w:right="98"/>
              <w:jc w:val="right"/>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254,4</w:t>
            </w:r>
          </w:p>
        </w:tc>
        <w:tc>
          <w:tcPr>
            <w:tcW w:w="1418" w:type="dxa"/>
          </w:tcPr>
          <w:p w14:paraId="3F6FEB4F" w14:textId="77777777" w:rsidR="00C420E7" w:rsidRPr="00A3434F" w:rsidRDefault="00C420E7" w:rsidP="000A4588">
            <w:pPr>
              <w:spacing w:before="35"/>
              <w:ind w:right="98"/>
              <w:jc w:val="right"/>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1120</w:t>
            </w:r>
          </w:p>
        </w:tc>
        <w:tc>
          <w:tcPr>
            <w:tcW w:w="1417" w:type="dxa"/>
          </w:tcPr>
          <w:p w14:paraId="43A30785" w14:textId="77777777" w:rsidR="00C420E7" w:rsidRPr="00A3434F" w:rsidRDefault="00C420E7" w:rsidP="000A4588">
            <w:pPr>
              <w:spacing w:before="35"/>
              <w:ind w:right="95"/>
              <w:jc w:val="right"/>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664,6</w:t>
            </w:r>
          </w:p>
        </w:tc>
      </w:tr>
      <w:tr w:rsidR="00C420E7" w14:paraId="7AD9EDD8" w14:textId="77777777" w:rsidTr="000A4588">
        <w:trPr>
          <w:trHeight w:val="294"/>
          <w:jc w:val="center"/>
        </w:trPr>
        <w:tc>
          <w:tcPr>
            <w:tcW w:w="1381" w:type="dxa"/>
          </w:tcPr>
          <w:p w14:paraId="05DC5FEE" w14:textId="77777777" w:rsidR="00C420E7" w:rsidRPr="00A3434F" w:rsidRDefault="00C420E7" w:rsidP="000A4588">
            <w:pPr>
              <w:spacing w:before="34"/>
              <w:ind w:left="107"/>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Quijos</w:t>
            </w:r>
          </w:p>
        </w:tc>
        <w:tc>
          <w:tcPr>
            <w:tcW w:w="1591" w:type="dxa"/>
          </w:tcPr>
          <w:p w14:paraId="7258D399" w14:textId="77777777" w:rsidR="00C420E7" w:rsidRPr="00A3434F" w:rsidRDefault="00C420E7" w:rsidP="000A4588">
            <w:pPr>
              <w:spacing w:before="34"/>
              <w:ind w:left="107"/>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Hidroeléctrico</w:t>
            </w:r>
          </w:p>
        </w:tc>
        <w:tc>
          <w:tcPr>
            <w:tcW w:w="992" w:type="dxa"/>
          </w:tcPr>
          <w:p w14:paraId="54BA7FE1" w14:textId="77777777" w:rsidR="00C420E7" w:rsidRPr="00A3434F" w:rsidRDefault="00C420E7" w:rsidP="000A4588">
            <w:pPr>
              <w:spacing w:before="34"/>
              <w:ind w:right="96"/>
              <w:jc w:val="right"/>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46,72%</w:t>
            </w:r>
          </w:p>
        </w:tc>
        <w:tc>
          <w:tcPr>
            <w:tcW w:w="1276" w:type="dxa"/>
          </w:tcPr>
          <w:p w14:paraId="11C8B8C7" w14:textId="77777777" w:rsidR="00C420E7" w:rsidRPr="00A3434F" w:rsidRDefault="00C420E7" w:rsidP="000A4588">
            <w:pPr>
              <w:spacing w:before="34"/>
              <w:ind w:right="98"/>
              <w:jc w:val="right"/>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50</w:t>
            </w:r>
          </w:p>
        </w:tc>
        <w:tc>
          <w:tcPr>
            <w:tcW w:w="1418" w:type="dxa"/>
          </w:tcPr>
          <w:p w14:paraId="5C655C32" w14:textId="77777777" w:rsidR="00C420E7" w:rsidRPr="00A3434F" w:rsidRDefault="00C420E7" w:rsidP="000A4588">
            <w:pPr>
              <w:spacing w:before="34"/>
              <w:ind w:right="98"/>
              <w:jc w:val="right"/>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355</w:t>
            </w:r>
          </w:p>
        </w:tc>
        <w:tc>
          <w:tcPr>
            <w:tcW w:w="1417" w:type="dxa"/>
          </w:tcPr>
          <w:p w14:paraId="378EC2F4" w14:textId="77777777" w:rsidR="00C420E7" w:rsidRPr="00A3434F" w:rsidRDefault="00C420E7" w:rsidP="000A4588">
            <w:pPr>
              <w:spacing w:before="34"/>
              <w:ind w:right="95"/>
              <w:jc w:val="right"/>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155,4</w:t>
            </w:r>
          </w:p>
        </w:tc>
      </w:tr>
      <w:tr w:rsidR="00C420E7" w14:paraId="0ADF92CB" w14:textId="77777777" w:rsidTr="000A4588">
        <w:trPr>
          <w:trHeight w:val="294"/>
          <w:jc w:val="center"/>
        </w:trPr>
        <w:tc>
          <w:tcPr>
            <w:tcW w:w="1381" w:type="dxa"/>
          </w:tcPr>
          <w:p w14:paraId="15866431" w14:textId="77777777" w:rsidR="00C420E7" w:rsidRPr="00A3434F" w:rsidRDefault="00C420E7" w:rsidP="000A4588">
            <w:pPr>
              <w:spacing w:before="34"/>
              <w:ind w:left="107"/>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Mazar-Dudas</w:t>
            </w:r>
          </w:p>
        </w:tc>
        <w:tc>
          <w:tcPr>
            <w:tcW w:w="1591" w:type="dxa"/>
          </w:tcPr>
          <w:p w14:paraId="5FBE74DB" w14:textId="77777777" w:rsidR="00C420E7" w:rsidRPr="00A3434F" w:rsidRDefault="00C420E7" w:rsidP="000A4588">
            <w:pPr>
              <w:spacing w:before="34"/>
              <w:ind w:left="107"/>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Hidroeléctrico</w:t>
            </w:r>
          </w:p>
        </w:tc>
        <w:tc>
          <w:tcPr>
            <w:tcW w:w="992" w:type="dxa"/>
          </w:tcPr>
          <w:p w14:paraId="2895D339" w14:textId="77777777" w:rsidR="00C420E7" w:rsidRPr="00A3434F" w:rsidRDefault="00C420E7" w:rsidP="000A4588">
            <w:pPr>
              <w:spacing w:before="34"/>
              <w:ind w:right="96"/>
              <w:jc w:val="right"/>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87,43%</w:t>
            </w:r>
          </w:p>
        </w:tc>
        <w:tc>
          <w:tcPr>
            <w:tcW w:w="1276" w:type="dxa"/>
          </w:tcPr>
          <w:p w14:paraId="16D4E722" w14:textId="77777777" w:rsidR="00C420E7" w:rsidRPr="00A3434F" w:rsidRDefault="00C420E7" w:rsidP="000A4588">
            <w:pPr>
              <w:spacing w:before="34"/>
              <w:ind w:right="98"/>
              <w:jc w:val="right"/>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21</w:t>
            </w:r>
          </w:p>
        </w:tc>
        <w:tc>
          <w:tcPr>
            <w:tcW w:w="1418" w:type="dxa"/>
          </w:tcPr>
          <w:p w14:paraId="00B3CA63" w14:textId="77777777" w:rsidR="00C420E7" w:rsidRPr="00A3434F" w:rsidRDefault="00C420E7" w:rsidP="000A4588">
            <w:pPr>
              <w:spacing w:before="34"/>
              <w:ind w:right="98"/>
              <w:jc w:val="right"/>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125</w:t>
            </w:r>
          </w:p>
        </w:tc>
        <w:tc>
          <w:tcPr>
            <w:tcW w:w="1417" w:type="dxa"/>
          </w:tcPr>
          <w:p w14:paraId="0C67F2F0" w14:textId="77777777" w:rsidR="00C420E7" w:rsidRPr="00A3434F" w:rsidRDefault="00C420E7" w:rsidP="000A4588">
            <w:pPr>
              <w:spacing w:before="34"/>
              <w:ind w:right="95"/>
              <w:jc w:val="right"/>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69</w:t>
            </w:r>
          </w:p>
        </w:tc>
      </w:tr>
      <w:tr w:rsidR="00C420E7" w14:paraId="6BD150A2" w14:textId="77777777" w:rsidTr="000A4588">
        <w:trPr>
          <w:trHeight w:val="441"/>
          <w:jc w:val="center"/>
        </w:trPr>
        <w:tc>
          <w:tcPr>
            <w:tcW w:w="1381" w:type="dxa"/>
          </w:tcPr>
          <w:p w14:paraId="3E0F3E2A" w14:textId="77777777" w:rsidR="00C420E7" w:rsidRPr="00A3434F" w:rsidRDefault="00C420E7" w:rsidP="000A4588">
            <w:pPr>
              <w:spacing w:line="216" w:lineRule="exact"/>
              <w:ind w:left="107"/>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Ciclo</w:t>
            </w:r>
          </w:p>
          <w:p w14:paraId="69D0AD3B" w14:textId="77777777" w:rsidR="00C420E7" w:rsidRPr="00A3434F" w:rsidRDefault="00C420E7" w:rsidP="000A4588">
            <w:pPr>
              <w:spacing w:before="1" w:line="204" w:lineRule="exact"/>
              <w:ind w:left="107"/>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Combinado</w:t>
            </w:r>
          </w:p>
        </w:tc>
        <w:tc>
          <w:tcPr>
            <w:tcW w:w="1591" w:type="dxa"/>
          </w:tcPr>
          <w:p w14:paraId="05929C09" w14:textId="77777777" w:rsidR="00C420E7" w:rsidRPr="00A3434F" w:rsidRDefault="00C420E7" w:rsidP="000A4588">
            <w:pPr>
              <w:spacing w:before="106"/>
              <w:ind w:left="107"/>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Termoeléctrico</w:t>
            </w:r>
          </w:p>
        </w:tc>
        <w:tc>
          <w:tcPr>
            <w:tcW w:w="992" w:type="dxa"/>
          </w:tcPr>
          <w:p w14:paraId="6478B273" w14:textId="77777777" w:rsidR="00C420E7" w:rsidRPr="00A3434F" w:rsidRDefault="00C420E7" w:rsidP="000A4588">
            <w:pPr>
              <w:spacing w:before="106"/>
              <w:ind w:right="96"/>
              <w:jc w:val="right"/>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57,47%</w:t>
            </w:r>
          </w:p>
        </w:tc>
        <w:tc>
          <w:tcPr>
            <w:tcW w:w="1276" w:type="dxa"/>
          </w:tcPr>
          <w:p w14:paraId="0562D3ED" w14:textId="77777777" w:rsidR="00C420E7" w:rsidRPr="00A3434F" w:rsidRDefault="00C420E7" w:rsidP="000A4588">
            <w:pPr>
              <w:spacing w:before="106"/>
              <w:ind w:right="98"/>
              <w:jc w:val="right"/>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187</w:t>
            </w:r>
          </w:p>
        </w:tc>
        <w:tc>
          <w:tcPr>
            <w:tcW w:w="1418" w:type="dxa"/>
          </w:tcPr>
          <w:p w14:paraId="3B68DF06" w14:textId="77777777" w:rsidR="00C420E7" w:rsidRPr="00A3434F" w:rsidRDefault="00C420E7" w:rsidP="000A4588">
            <w:pPr>
              <w:spacing w:before="106"/>
              <w:ind w:right="98"/>
              <w:jc w:val="right"/>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1200</w:t>
            </w:r>
          </w:p>
        </w:tc>
        <w:tc>
          <w:tcPr>
            <w:tcW w:w="1417" w:type="dxa"/>
          </w:tcPr>
          <w:p w14:paraId="4140BE4C" w14:textId="77777777" w:rsidR="00C420E7" w:rsidRPr="00A3434F" w:rsidRDefault="00C420E7" w:rsidP="000A4588">
            <w:pPr>
              <w:spacing w:before="106"/>
              <w:ind w:right="95"/>
              <w:jc w:val="right"/>
              <w:rPr>
                <w:rFonts w:ascii="Calibri Light" w:eastAsia="Times New Roman" w:hAnsi="Calibri Light" w:cs="Calibri Light"/>
                <w:color w:val="000000"/>
                <w:sz w:val="18"/>
                <w:szCs w:val="18"/>
                <w:lang w:val="es-EC" w:eastAsia="es-EC"/>
              </w:rPr>
            </w:pPr>
            <w:r w:rsidRPr="00A3434F">
              <w:rPr>
                <w:rFonts w:ascii="Calibri Light" w:eastAsia="Times New Roman" w:hAnsi="Calibri Light" w:cs="Calibri Light"/>
                <w:color w:val="000000"/>
                <w:sz w:val="18"/>
                <w:szCs w:val="18"/>
                <w:lang w:val="es-EC" w:eastAsia="es-EC"/>
              </w:rPr>
              <w:t>261,2</w:t>
            </w:r>
          </w:p>
        </w:tc>
      </w:tr>
    </w:tbl>
    <w:p w14:paraId="580F4DB0" w14:textId="77777777" w:rsidR="00C420E7" w:rsidRPr="00192E54" w:rsidRDefault="00C420E7" w:rsidP="00C420E7">
      <w:pPr>
        <w:spacing w:line="195" w:lineRule="exact"/>
        <w:ind w:left="1140" w:right="993"/>
        <w:jc w:val="center"/>
        <w:rPr>
          <w:rFonts w:asciiTheme="majorHAnsi" w:hAnsiTheme="majorHAnsi" w:cstheme="majorHAnsi"/>
          <w:i/>
          <w:color w:val="7F7F7F" w:themeColor="text1" w:themeTint="80"/>
          <w:sz w:val="16"/>
          <w:szCs w:val="16"/>
        </w:rPr>
      </w:pPr>
      <w:r w:rsidRPr="00192E54">
        <w:rPr>
          <w:rFonts w:asciiTheme="majorHAnsi" w:hAnsiTheme="majorHAnsi" w:cstheme="majorHAnsi"/>
          <w:i/>
          <w:color w:val="7F7F7F" w:themeColor="text1" w:themeTint="80"/>
          <w:sz w:val="16"/>
          <w:szCs w:val="16"/>
        </w:rPr>
        <w:t>Fuente: Corporación Eléctrica del Ecuador – CELEC EP</w:t>
      </w:r>
    </w:p>
    <w:p w14:paraId="11DD2E0D" w14:textId="77777777" w:rsidR="00192E54" w:rsidRDefault="00192E54" w:rsidP="00C420E7">
      <w:pPr>
        <w:rPr>
          <w:rFonts w:asciiTheme="majorHAnsi" w:hAnsiTheme="majorHAnsi" w:cstheme="majorHAnsi"/>
          <w:sz w:val="22"/>
        </w:rPr>
      </w:pPr>
    </w:p>
    <w:p w14:paraId="2E3B4847" w14:textId="0B95EE21" w:rsidR="00C420E7" w:rsidRDefault="00C420E7" w:rsidP="00C420E7">
      <w:pPr>
        <w:rPr>
          <w:rFonts w:asciiTheme="majorHAnsi" w:hAnsiTheme="majorHAnsi" w:cstheme="majorHAnsi"/>
          <w:sz w:val="22"/>
        </w:rPr>
      </w:pPr>
      <w:r w:rsidRPr="006459CE">
        <w:rPr>
          <w:rFonts w:asciiTheme="majorHAnsi" w:hAnsiTheme="majorHAnsi" w:cstheme="majorHAnsi"/>
          <w:sz w:val="22"/>
        </w:rPr>
        <w:t>Los</w:t>
      </w:r>
      <w:r>
        <w:rPr>
          <w:rFonts w:asciiTheme="majorHAnsi" w:hAnsiTheme="majorHAnsi" w:cstheme="majorHAnsi"/>
          <w:sz w:val="22"/>
        </w:rPr>
        <w:t xml:space="preserve"> principales eventos registrados en el año 2024 en torno a la gestión de proyectos son:</w:t>
      </w:r>
    </w:p>
    <w:p w14:paraId="3350894F" w14:textId="77777777" w:rsidR="00C420E7" w:rsidRDefault="00C420E7" w:rsidP="00C420E7">
      <w:pPr>
        <w:rPr>
          <w:rFonts w:asciiTheme="majorHAnsi" w:hAnsiTheme="majorHAnsi" w:cstheme="majorHAnsi"/>
          <w:sz w:val="22"/>
        </w:rPr>
      </w:pPr>
    </w:p>
    <w:p w14:paraId="33B07A69" w14:textId="77777777" w:rsidR="00C420E7" w:rsidRPr="008F497B" w:rsidRDefault="00C420E7" w:rsidP="00C420E7">
      <w:pPr>
        <w:rPr>
          <w:rFonts w:asciiTheme="majorHAnsi" w:hAnsiTheme="majorHAnsi" w:cstheme="majorHAnsi"/>
          <w:b/>
          <w:sz w:val="22"/>
        </w:rPr>
      </w:pPr>
      <w:r w:rsidRPr="008F497B">
        <w:rPr>
          <w:rFonts w:asciiTheme="majorHAnsi" w:hAnsiTheme="majorHAnsi" w:cstheme="majorHAnsi"/>
          <w:b/>
          <w:sz w:val="22"/>
        </w:rPr>
        <w:t xml:space="preserve">PROYECTO TOACHI PILATÓN </w:t>
      </w:r>
    </w:p>
    <w:p w14:paraId="1454D867" w14:textId="77777777" w:rsidR="00C420E7" w:rsidRDefault="00C420E7" w:rsidP="00C420E7">
      <w:pPr>
        <w:jc w:val="both"/>
        <w:rPr>
          <w:rFonts w:asciiTheme="majorHAnsi" w:hAnsiTheme="majorHAnsi" w:cstheme="majorHAnsi"/>
          <w:sz w:val="22"/>
        </w:rPr>
      </w:pPr>
      <w:r>
        <w:rPr>
          <w:rFonts w:asciiTheme="majorHAnsi" w:hAnsiTheme="majorHAnsi" w:cstheme="majorHAnsi"/>
          <w:sz w:val="22"/>
        </w:rPr>
        <w:t>El Operador Nacional de Electricidad CENACE, con fechas 20 y 28 de diciembre de 2024; aprobó el inicio de la etapa de Operación Experimental de las Unidades No. 3 y No. 2 de la Central Alluriquín perteneciente al Complejo Hidroeléctrico Toachi Pilatón. El cumplimiento de estos hitos permite avanzar hacia la entrada en operación comercial de la Central Alluriquín hasta el primer cuatrimestre del 2025.</w:t>
      </w:r>
    </w:p>
    <w:p w14:paraId="15FE9B1F" w14:textId="77777777" w:rsidR="00C420E7" w:rsidRDefault="00C420E7" w:rsidP="00C420E7">
      <w:pPr>
        <w:rPr>
          <w:rFonts w:asciiTheme="majorHAnsi" w:hAnsiTheme="majorHAnsi" w:cstheme="majorHAnsi"/>
          <w:sz w:val="22"/>
        </w:rPr>
      </w:pPr>
      <w:r w:rsidRPr="006459CE">
        <w:rPr>
          <w:rFonts w:asciiTheme="majorHAnsi" w:hAnsiTheme="majorHAnsi" w:cstheme="majorHAnsi"/>
          <w:sz w:val="22"/>
        </w:rPr>
        <w:t xml:space="preserve"> </w:t>
      </w:r>
    </w:p>
    <w:p w14:paraId="6391B479" w14:textId="77777777" w:rsidR="00C420E7" w:rsidRPr="008F497B" w:rsidRDefault="00C420E7" w:rsidP="00C420E7">
      <w:pPr>
        <w:rPr>
          <w:rFonts w:asciiTheme="majorHAnsi" w:hAnsiTheme="majorHAnsi" w:cstheme="majorHAnsi"/>
          <w:b/>
          <w:sz w:val="22"/>
        </w:rPr>
      </w:pPr>
      <w:r w:rsidRPr="008F497B">
        <w:rPr>
          <w:rFonts w:asciiTheme="majorHAnsi" w:hAnsiTheme="majorHAnsi" w:cstheme="majorHAnsi"/>
          <w:b/>
          <w:sz w:val="22"/>
        </w:rPr>
        <w:t xml:space="preserve">PROYECTO </w:t>
      </w:r>
      <w:r>
        <w:rPr>
          <w:rFonts w:asciiTheme="majorHAnsi" w:hAnsiTheme="majorHAnsi" w:cstheme="majorHAnsi"/>
          <w:b/>
          <w:sz w:val="22"/>
        </w:rPr>
        <w:t>HIDROELÉCTRICO MAZAR DUDAS</w:t>
      </w:r>
    </w:p>
    <w:p w14:paraId="67C57958" w14:textId="77777777" w:rsidR="00C420E7" w:rsidRDefault="00C420E7" w:rsidP="00C420E7">
      <w:pPr>
        <w:jc w:val="both"/>
        <w:rPr>
          <w:rFonts w:asciiTheme="majorHAnsi" w:hAnsiTheme="majorHAnsi" w:cstheme="majorHAnsi"/>
          <w:sz w:val="22"/>
        </w:rPr>
      </w:pPr>
      <w:r w:rsidRPr="00666AA5">
        <w:rPr>
          <w:rFonts w:asciiTheme="majorHAnsi" w:hAnsiTheme="majorHAnsi" w:cstheme="majorHAnsi"/>
          <w:sz w:val="22"/>
        </w:rPr>
        <w:t>El avance físico reportado a diciembre de 2024 es 87,43%. En fecha 25 de octubre de 2024 se llevó a cabo la suscripción del Acta Total de Acuerdos de Mediación entre CNEEC y CELEC EP, con el aval de la Procuraduría General del Estado, por lo que a partir de esta fecha se está realizando la ejecución de las actividades contempladas en el acta. Uno de los puntos principales de acta constituye la ejecución del Diagnóstico Integral del Equipamiento Electromecánico (actualmente en desarrollo) para las centrales San Antonio y Dudas, a través del cual se determinarán las acciones que se requieran implementar para tener los equipos a punto para el proceso de montaje y puesta en marcha.</w:t>
      </w:r>
    </w:p>
    <w:p w14:paraId="1DCD1AAF" w14:textId="77777777" w:rsidR="00C420E7" w:rsidRDefault="00C420E7" w:rsidP="00C420E7">
      <w:pPr>
        <w:rPr>
          <w:rFonts w:asciiTheme="majorHAnsi" w:hAnsiTheme="majorHAnsi" w:cstheme="majorHAnsi"/>
          <w:sz w:val="22"/>
        </w:rPr>
      </w:pPr>
    </w:p>
    <w:p w14:paraId="60856CC3" w14:textId="77777777" w:rsidR="00C420E7" w:rsidRPr="008F497B" w:rsidRDefault="00C420E7" w:rsidP="00C420E7">
      <w:pPr>
        <w:rPr>
          <w:rFonts w:asciiTheme="majorHAnsi" w:hAnsiTheme="majorHAnsi" w:cstheme="majorHAnsi"/>
          <w:b/>
          <w:sz w:val="22"/>
        </w:rPr>
      </w:pPr>
      <w:r w:rsidRPr="008F497B">
        <w:rPr>
          <w:rFonts w:asciiTheme="majorHAnsi" w:hAnsiTheme="majorHAnsi" w:cstheme="majorHAnsi"/>
          <w:b/>
          <w:sz w:val="22"/>
        </w:rPr>
        <w:t xml:space="preserve">PROYECTO </w:t>
      </w:r>
      <w:r>
        <w:rPr>
          <w:rFonts w:asciiTheme="majorHAnsi" w:hAnsiTheme="majorHAnsi" w:cstheme="majorHAnsi"/>
          <w:b/>
          <w:sz w:val="22"/>
        </w:rPr>
        <w:t>HIDROELÉCTRICO QUIJOS</w:t>
      </w:r>
    </w:p>
    <w:p w14:paraId="79AA4FBA" w14:textId="77777777" w:rsidR="00C420E7" w:rsidRPr="00085FE7" w:rsidRDefault="00C420E7" w:rsidP="00C420E7">
      <w:pPr>
        <w:jc w:val="both"/>
        <w:rPr>
          <w:rFonts w:asciiTheme="majorHAnsi" w:hAnsiTheme="majorHAnsi" w:cstheme="majorHAnsi"/>
          <w:sz w:val="22"/>
        </w:rPr>
      </w:pPr>
      <w:r w:rsidRPr="00085FE7">
        <w:rPr>
          <w:rFonts w:asciiTheme="majorHAnsi" w:hAnsiTheme="majorHAnsi" w:cstheme="majorHAnsi"/>
          <w:sz w:val="22"/>
        </w:rPr>
        <w:t xml:space="preserve">El avance físico reportado a diciembre de 2024 es 46,72%, se está en espera de una definición en el proceso de Mediación No. 0426-DNCM-2016-QUI suscrito entre CNEEC y CELEC EP, </w:t>
      </w:r>
      <w:proofErr w:type="spellStart"/>
      <w:r w:rsidRPr="00085FE7">
        <w:rPr>
          <w:rFonts w:asciiTheme="majorHAnsi" w:hAnsiTheme="majorHAnsi" w:cstheme="majorHAnsi"/>
          <w:sz w:val="22"/>
        </w:rPr>
        <w:t>reaperturado</w:t>
      </w:r>
      <w:proofErr w:type="spellEnd"/>
      <w:r w:rsidRPr="00085FE7">
        <w:rPr>
          <w:rFonts w:asciiTheme="majorHAnsi" w:hAnsiTheme="majorHAnsi" w:cstheme="majorHAnsi"/>
          <w:sz w:val="22"/>
        </w:rPr>
        <w:t xml:space="preserve"> con No. 0167-DNCM-2024-QUI y, de acuerdo a este resultado, establecer presupuestos, cronogramas y mecanismos del proceso a seguir para la culminación del Proyecto.</w:t>
      </w:r>
    </w:p>
    <w:p w14:paraId="15C17913" w14:textId="77777777" w:rsidR="00C420E7" w:rsidRDefault="00C420E7" w:rsidP="00C420E7">
      <w:pPr>
        <w:jc w:val="both"/>
        <w:rPr>
          <w:rFonts w:asciiTheme="majorHAnsi" w:hAnsiTheme="majorHAnsi" w:cstheme="majorHAnsi"/>
          <w:sz w:val="22"/>
        </w:rPr>
      </w:pPr>
    </w:p>
    <w:p w14:paraId="3A4E93F6" w14:textId="7E0491F4" w:rsidR="00C420E7" w:rsidRDefault="00C420E7" w:rsidP="00C420E7">
      <w:pPr>
        <w:jc w:val="both"/>
        <w:rPr>
          <w:rFonts w:asciiTheme="majorHAnsi" w:hAnsiTheme="majorHAnsi" w:cstheme="majorHAnsi"/>
          <w:sz w:val="22"/>
        </w:rPr>
      </w:pPr>
      <w:r w:rsidRPr="00085FE7">
        <w:rPr>
          <w:rFonts w:asciiTheme="majorHAnsi" w:hAnsiTheme="majorHAnsi" w:cstheme="majorHAnsi"/>
          <w:sz w:val="22"/>
        </w:rPr>
        <w:t>La Gerencia General de CELEC EP, atendiendo la solicitud de la Unidad de Negocio Coca Codo Sinclair en base a los informes de estado presentados, ha procedido a autorizar la reactivación de la Subgerencia del Proyecto Quijos, en la que se incluyó la contratación del personal mínimo requerido; adicionalmente, se viene gestionando la contratación de varios cargos que forman parte del requerimiento inicial para la reactivación, se considera contar con estos funcionarios a partir del primer cuatrimestre del 2025</w:t>
      </w:r>
      <w:r>
        <w:rPr>
          <w:rFonts w:asciiTheme="majorHAnsi" w:hAnsiTheme="majorHAnsi" w:cstheme="majorHAnsi"/>
          <w:sz w:val="22"/>
        </w:rPr>
        <w:t>.</w:t>
      </w:r>
    </w:p>
    <w:p w14:paraId="10602CD6" w14:textId="54A4D67F" w:rsidR="00941411" w:rsidRDefault="00941411" w:rsidP="00C420E7">
      <w:pPr>
        <w:jc w:val="both"/>
        <w:rPr>
          <w:rFonts w:asciiTheme="majorHAnsi" w:hAnsiTheme="majorHAnsi" w:cstheme="majorHAnsi"/>
          <w:sz w:val="22"/>
        </w:rPr>
      </w:pPr>
    </w:p>
    <w:p w14:paraId="52C5AE49" w14:textId="04BC12CB" w:rsidR="00941411" w:rsidRDefault="00941411" w:rsidP="00C420E7">
      <w:pPr>
        <w:jc w:val="both"/>
        <w:rPr>
          <w:rFonts w:asciiTheme="majorHAnsi" w:hAnsiTheme="majorHAnsi" w:cstheme="majorHAnsi"/>
          <w:sz w:val="22"/>
        </w:rPr>
      </w:pPr>
    </w:p>
    <w:p w14:paraId="3E29BB48" w14:textId="77777777" w:rsidR="00941411" w:rsidRDefault="00941411" w:rsidP="00C420E7">
      <w:pPr>
        <w:jc w:val="both"/>
        <w:rPr>
          <w:rFonts w:asciiTheme="majorHAnsi" w:hAnsiTheme="majorHAnsi" w:cstheme="majorHAnsi"/>
          <w:sz w:val="22"/>
        </w:rPr>
      </w:pPr>
    </w:p>
    <w:p w14:paraId="738F17D6" w14:textId="77777777" w:rsidR="00C420E7" w:rsidRDefault="00C420E7" w:rsidP="00C420E7">
      <w:pPr>
        <w:rPr>
          <w:rFonts w:asciiTheme="majorHAnsi" w:hAnsiTheme="majorHAnsi" w:cstheme="majorHAnsi"/>
          <w:sz w:val="22"/>
        </w:rPr>
      </w:pPr>
    </w:p>
    <w:p w14:paraId="539253EB" w14:textId="77777777" w:rsidR="00C420E7" w:rsidRPr="008F497B" w:rsidRDefault="00C420E7" w:rsidP="00C420E7">
      <w:pPr>
        <w:rPr>
          <w:rFonts w:asciiTheme="majorHAnsi" w:hAnsiTheme="majorHAnsi" w:cstheme="majorHAnsi"/>
          <w:b/>
          <w:sz w:val="22"/>
        </w:rPr>
      </w:pPr>
      <w:r w:rsidRPr="008F497B">
        <w:rPr>
          <w:rFonts w:asciiTheme="majorHAnsi" w:hAnsiTheme="majorHAnsi" w:cstheme="majorHAnsi"/>
          <w:b/>
          <w:sz w:val="22"/>
        </w:rPr>
        <w:lastRenderedPageBreak/>
        <w:t xml:space="preserve">PROYECTO </w:t>
      </w:r>
      <w:r>
        <w:rPr>
          <w:rFonts w:asciiTheme="majorHAnsi" w:hAnsiTheme="majorHAnsi" w:cstheme="majorHAnsi"/>
          <w:b/>
          <w:sz w:val="22"/>
        </w:rPr>
        <w:t>TERMOELÉCTRICO CICLO COMBINADO</w:t>
      </w:r>
    </w:p>
    <w:p w14:paraId="2FAA3CDB" w14:textId="77777777" w:rsidR="00C420E7" w:rsidRDefault="00C420E7" w:rsidP="00C420E7">
      <w:pPr>
        <w:jc w:val="both"/>
        <w:rPr>
          <w:rFonts w:asciiTheme="majorHAnsi" w:hAnsiTheme="majorHAnsi" w:cstheme="majorHAnsi"/>
          <w:sz w:val="22"/>
        </w:rPr>
      </w:pPr>
      <w:r w:rsidRPr="003803D2">
        <w:rPr>
          <w:rFonts w:asciiTheme="majorHAnsi" w:hAnsiTheme="majorHAnsi" w:cstheme="majorHAnsi"/>
          <w:sz w:val="22"/>
        </w:rPr>
        <w:t xml:space="preserve">El avance físico reportado a diciembre de 2024 es 57.73%. Se trabaja actualmente en procesos que favorezcan el almacenamiento, mantenimiento y preservación de los equipos y materiales del proyecto que se encuentran en las zonas de almacenamiento de la Central </w:t>
      </w:r>
      <w:proofErr w:type="spellStart"/>
      <w:r w:rsidRPr="003803D2">
        <w:rPr>
          <w:rFonts w:asciiTheme="majorHAnsi" w:hAnsiTheme="majorHAnsi" w:cstheme="majorHAnsi"/>
          <w:sz w:val="22"/>
        </w:rPr>
        <w:t>Termogas</w:t>
      </w:r>
      <w:proofErr w:type="spellEnd"/>
      <w:r w:rsidRPr="003803D2">
        <w:rPr>
          <w:rFonts w:asciiTheme="majorHAnsi" w:hAnsiTheme="majorHAnsi" w:cstheme="majorHAnsi"/>
          <w:sz w:val="22"/>
        </w:rPr>
        <w:t xml:space="preserve"> Machala</w:t>
      </w:r>
    </w:p>
    <w:p w14:paraId="30ED7946" w14:textId="77777777" w:rsidR="00C420E7" w:rsidRDefault="00C420E7" w:rsidP="00C420E7">
      <w:pPr>
        <w:jc w:val="both"/>
        <w:rPr>
          <w:rFonts w:asciiTheme="majorHAnsi" w:hAnsiTheme="majorHAnsi" w:cstheme="majorHAnsi"/>
          <w:sz w:val="22"/>
        </w:rPr>
      </w:pPr>
    </w:p>
    <w:p w14:paraId="2152327F" w14:textId="77777777" w:rsidR="00C420E7" w:rsidRDefault="00C420E7" w:rsidP="00C420E7">
      <w:pPr>
        <w:jc w:val="both"/>
        <w:rPr>
          <w:rFonts w:asciiTheme="majorHAnsi" w:hAnsiTheme="majorHAnsi" w:cstheme="majorHAnsi"/>
          <w:sz w:val="22"/>
        </w:rPr>
      </w:pPr>
      <w:r w:rsidRPr="003803D2">
        <w:rPr>
          <w:rFonts w:asciiTheme="majorHAnsi" w:hAnsiTheme="majorHAnsi" w:cstheme="majorHAnsi"/>
          <w:sz w:val="22"/>
        </w:rPr>
        <w:t xml:space="preserve">Se requiere que, se gestionen acciones a nivel gubernamental para que se concrete el suministro de Gas Natural, necesario de para el funcionamiento de la Central </w:t>
      </w:r>
      <w:proofErr w:type="spellStart"/>
      <w:r w:rsidRPr="003803D2">
        <w:rPr>
          <w:rFonts w:asciiTheme="majorHAnsi" w:hAnsiTheme="majorHAnsi" w:cstheme="majorHAnsi"/>
          <w:sz w:val="22"/>
        </w:rPr>
        <w:t>Termogas</w:t>
      </w:r>
      <w:proofErr w:type="spellEnd"/>
      <w:r w:rsidRPr="003803D2">
        <w:rPr>
          <w:rFonts w:asciiTheme="majorHAnsi" w:hAnsiTheme="majorHAnsi" w:cstheme="majorHAnsi"/>
          <w:sz w:val="22"/>
        </w:rPr>
        <w:t xml:space="preserve"> Machala incluido el ciclo combinado</w:t>
      </w:r>
    </w:p>
    <w:p w14:paraId="6967F139" w14:textId="77777777" w:rsidR="00C420E7" w:rsidRPr="00190476" w:rsidRDefault="00C420E7" w:rsidP="00C420E7"/>
    <w:p w14:paraId="72B1DB32" w14:textId="7DB254C4" w:rsidR="00C420E7" w:rsidRPr="005817CB" w:rsidRDefault="00C420E7" w:rsidP="00C420E7">
      <w:pPr>
        <w:rPr>
          <w:rFonts w:asciiTheme="majorHAnsi" w:hAnsiTheme="majorHAnsi" w:cstheme="majorHAnsi"/>
          <w:b/>
          <w:sz w:val="22"/>
        </w:rPr>
      </w:pPr>
      <w:bookmarkStart w:id="305" w:name="_Toc198110322"/>
      <w:r w:rsidRPr="00A3434F">
        <w:rPr>
          <w:rFonts w:asciiTheme="majorHAnsi" w:hAnsiTheme="majorHAnsi" w:cstheme="majorHAnsi"/>
          <w:b/>
          <w:sz w:val="22"/>
        </w:rPr>
        <w:t>Programa de Gestión Sostenible de Recursos del Subsuelo e Infraestructura Asociada</w:t>
      </w:r>
      <w:bookmarkEnd w:id="305"/>
    </w:p>
    <w:p w14:paraId="2C32EF19" w14:textId="77777777" w:rsidR="00C420E7" w:rsidRDefault="00C420E7" w:rsidP="00C420E7">
      <w:pPr>
        <w:jc w:val="both"/>
        <w:rPr>
          <w:rFonts w:asciiTheme="majorHAnsi" w:hAnsiTheme="majorHAnsi" w:cstheme="majorHAnsi"/>
          <w:sz w:val="22"/>
        </w:rPr>
      </w:pPr>
      <w:r w:rsidRPr="002F5C6A">
        <w:rPr>
          <w:rFonts w:asciiTheme="majorHAnsi" w:hAnsiTheme="majorHAnsi" w:cstheme="majorHAnsi"/>
          <w:sz w:val="22"/>
        </w:rPr>
        <w:t>Durante el año 2024 se han efectuado varias gestiones que han permitido avanzar en los procesos a cargo de la DEGTEE. Así, para el “Plan de Desarrollo de la Geotermia en Ecuador”, se está elaborando los TDR con el nuevo alcance y presupuesto, luego de los resultados del Estudio de Mercado realizado con anterioridad. Una vez revisados y aprobados por el BID, tanto el informe de justificación como las expresiones de interés para la contratación de la Consultoría se tiene previsto publicarlas a mediados de enero de 2024.</w:t>
      </w:r>
    </w:p>
    <w:p w14:paraId="390B5525" w14:textId="77777777" w:rsidR="00C420E7" w:rsidRDefault="00C420E7" w:rsidP="00C420E7">
      <w:pPr>
        <w:pStyle w:val="Descripcin"/>
      </w:pPr>
    </w:p>
    <w:p w14:paraId="02CE35BA" w14:textId="380D7D52" w:rsidR="00C420E7" w:rsidRPr="00A3434F" w:rsidRDefault="00C420E7" w:rsidP="00C420E7">
      <w:pPr>
        <w:pStyle w:val="Descripcin"/>
        <w:rPr>
          <w:rFonts w:asciiTheme="majorHAnsi" w:hAnsiTheme="majorHAnsi"/>
        </w:rPr>
      </w:pPr>
      <w:bookmarkStart w:id="306" w:name="_Toc198110370"/>
      <w:bookmarkStart w:id="307" w:name="_Toc199759694"/>
      <w:r w:rsidRPr="00A3434F">
        <w:rPr>
          <w:rFonts w:asciiTheme="majorHAnsi" w:hAnsiTheme="majorHAnsi"/>
        </w:rPr>
        <w:t xml:space="preserve">Tabla </w:t>
      </w:r>
      <w:r w:rsidR="003A269C" w:rsidRPr="00A3434F">
        <w:rPr>
          <w:rFonts w:asciiTheme="majorHAnsi" w:hAnsiTheme="majorHAnsi"/>
        </w:rPr>
        <w:fldChar w:fldCharType="begin"/>
      </w:r>
      <w:r w:rsidR="003A269C" w:rsidRPr="00A3434F">
        <w:rPr>
          <w:rFonts w:asciiTheme="majorHAnsi" w:hAnsiTheme="majorHAnsi"/>
        </w:rPr>
        <w:instrText xml:space="preserve"> SEQ Tabla \* ARABIC </w:instrText>
      </w:r>
      <w:r w:rsidR="003A269C" w:rsidRPr="00A3434F">
        <w:rPr>
          <w:rFonts w:asciiTheme="majorHAnsi" w:hAnsiTheme="majorHAnsi"/>
        </w:rPr>
        <w:fldChar w:fldCharType="separate"/>
      </w:r>
      <w:r w:rsidR="00CF0AD2">
        <w:rPr>
          <w:rFonts w:asciiTheme="majorHAnsi" w:hAnsiTheme="majorHAnsi"/>
          <w:noProof/>
        </w:rPr>
        <w:t>24</w:t>
      </w:r>
      <w:r w:rsidR="003A269C" w:rsidRPr="00A3434F">
        <w:rPr>
          <w:rFonts w:asciiTheme="majorHAnsi" w:hAnsiTheme="majorHAnsi"/>
          <w:noProof/>
        </w:rPr>
        <w:fldChar w:fldCharType="end"/>
      </w:r>
      <w:r w:rsidR="0016337C">
        <w:rPr>
          <w:rFonts w:asciiTheme="majorHAnsi" w:hAnsiTheme="majorHAnsi"/>
        </w:rPr>
        <w:t>:</w:t>
      </w:r>
      <w:r w:rsidRPr="00A3434F">
        <w:rPr>
          <w:rFonts w:asciiTheme="majorHAnsi" w:hAnsiTheme="majorHAnsi"/>
        </w:rPr>
        <w:t xml:space="preserve"> Contrataciones a cargo del VEER</w:t>
      </w:r>
      <w:bookmarkEnd w:id="306"/>
      <w:bookmarkEnd w:id="307"/>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2"/>
        <w:gridCol w:w="1554"/>
        <w:gridCol w:w="1701"/>
      </w:tblGrid>
      <w:tr w:rsidR="00C420E7" w:rsidRPr="00201D11" w14:paraId="609B3360" w14:textId="77777777" w:rsidTr="00FD1FAB">
        <w:trPr>
          <w:trHeight w:val="595"/>
          <w:tblHeader/>
          <w:jc w:val="center"/>
        </w:trPr>
        <w:tc>
          <w:tcPr>
            <w:tcW w:w="4542" w:type="dxa"/>
            <w:shd w:val="clear" w:color="auto" w:fill="5B9BD4"/>
          </w:tcPr>
          <w:p w14:paraId="365968DA" w14:textId="77777777" w:rsidR="0008474F" w:rsidRDefault="0008474F" w:rsidP="000A4588">
            <w:pPr>
              <w:widowControl/>
              <w:autoSpaceDE/>
              <w:autoSpaceDN/>
              <w:jc w:val="center"/>
              <w:rPr>
                <w:rFonts w:asciiTheme="majorHAnsi" w:eastAsia="Times New Roman" w:hAnsiTheme="majorHAnsi" w:cs="Calibri Light"/>
                <w:b/>
                <w:bCs/>
                <w:color w:val="FFFFFF"/>
                <w:sz w:val="18"/>
                <w:szCs w:val="18"/>
                <w:lang w:eastAsia="es-EC"/>
              </w:rPr>
            </w:pPr>
          </w:p>
          <w:p w14:paraId="3BEFC669" w14:textId="55B5B123" w:rsidR="00C420E7" w:rsidRPr="00A3434F" w:rsidRDefault="00C420E7" w:rsidP="000A4588">
            <w:pPr>
              <w:widowControl/>
              <w:autoSpaceDE/>
              <w:autoSpaceDN/>
              <w:jc w:val="center"/>
              <w:rPr>
                <w:rFonts w:asciiTheme="majorHAnsi" w:eastAsia="Times New Roman" w:hAnsiTheme="majorHAnsi" w:cs="Calibri Light"/>
                <w:b/>
                <w:bCs/>
                <w:color w:val="FFFFFF"/>
                <w:sz w:val="18"/>
                <w:szCs w:val="18"/>
                <w:lang w:eastAsia="es-EC"/>
              </w:rPr>
            </w:pPr>
            <w:r w:rsidRPr="00A3434F">
              <w:rPr>
                <w:rFonts w:asciiTheme="majorHAnsi" w:eastAsia="Times New Roman" w:hAnsiTheme="majorHAnsi" w:cs="Calibri Light"/>
                <w:b/>
                <w:bCs/>
                <w:color w:val="FFFFFF"/>
                <w:sz w:val="18"/>
                <w:szCs w:val="18"/>
                <w:lang w:eastAsia="es-EC"/>
              </w:rPr>
              <w:t>ÁREA RESPONSABLE</w:t>
            </w:r>
          </w:p>
        </w:tc>
        <w:tc>
          <w:tcPr>
            <w:tcW w:w="1554" w:type="dxa"/>
            <w:shd w:val="clear" w:color="auto" w:fill="5B9BD4"/>
          </w:tcPr>
          <w:p w14:paraId="010B528F" w14:textId="77777777" w:rsidR="0008474F" w:rsidRDefault="0008474F" w:rsidP="000A4588">
            <w:pPr>
              <w:widowControl/>
              <w:autoSpaceDE/>
              <w:autoSpaceDN/>
              <w:jc w:val="center"/>
              <w:rPr>
                <w:rFonts w:asciiTheme="majorHAnsi" w:eastAsia="Times New Roman" w:hAnsiTheme="majorHAnsi" w:cs="Calibri Light"/>
                <w:b/>
                <w:bCs/>
                <w:color w:val="FFFFFF"/>
                <w:sz w:val="18"/>
                <w:szCs w:val="18"/>
                <w:lang w:eastAsia="es-EC"/>
              </w:rPr>
            </w:pPr>
          </w:p>
          <w:p w14:paraId="789B7991" w14:textId="1F184492" w:rsidR="00C420E7" w:rsidRPr="00A3434F" w:rsidRDefault="00C420E7" w:rsidP="000A4588">
            <w:pPr>
              <w:widowControl/>
              <w:autoSpaceDE/>
              <w:autoSpaceDN/>
              <w:jc w:val="center"/>
              <w:rPr>
                <w:rFonts w:asciiTheme="majorHAnsi" w:eastAsia="Times New Roman" w:hAnsiTheme="majorHAnsi" w:cs="Calibri Light"/>
                <w:b/>
                <w:bCs/>
                <w:color w:val="FFFFFF"/>
                <w:sz w:val="18"/>
                <w:szCs w:val="18"/>
                <w:lang w:eastAsia="es-EC"/>
              </w:rPr>
            </w:pPr>
            <w:proofErr w:type="spellStart"/>
            <w:r w:rsidRPr="00A3434F">
              <w:rPr>
                <w:rFonts w:asciiTheme="majorHAnsi" w:eastAsia="Times New Roman" w:hAnsiTheme="majorHAnsi" w:cs="Calibri Light"/>
                <w:b/>
                <w:bCs/>
                <w:color w:val="FFFFFF"/>
                <w:sz w:val="18"/>
                <w:szCs w:val="18"/>
                <w:lang w:eastAsia="es-EC"/>
              </w:rPr>
              <w:t>Nro</w:t>
            </w:r>
            <w:proofErr w:type="spellEnd"/>
            <w:r w:rsidRPr="00A3434F">
              <w:rPr>
                <w:rFonts w:asciiTheme="majorHAnsi" w:eastAsia="Times New Roman" w:hAnsiTheme="majorHAnsi" w:cs="Calibri Light"/>
                <w:b/>
                <w:bCs/>
                <w:color w:val="FFFFFF"/>
                <w:sz w:val="18"/>
                <w:szCs w:val="18"/>
                <w:lang w:eastAsia="es-EC"/>
              </w:rPr>
              <w:t>. PROCESOS</w:t>
            </w:r>
          </w:p>
        </w:tc>
        <w:tc>
          <w:tcPr>
            <w:tcW w:w="1701" w:type="dxa"/>
            <w:shd w:val="clear" w:color="auto" w:fill="5B9BD4"/>
          </w:tcPr>
          <w:p w14:paraId="63915DDD" w14:textId="77777777" w:rsidR="0008474F" w:rsidRDefault="0008474F" w:rsidP="000A4588">
            <w:pPr>
              <w:widowControl/>
              <w:autoSpaceDE/>
              <w:autoSpaceDN/>
              <w:jc w:val="center"/>
              <w:rPr>
                <w:rFonts w:asciiTheme="majorHAnsi" w:eastAsia="Times New Roman" w:hAnsiTheme="majorHAnsi" w:cs="Calibri Light"/>
                <w:b/>
                <w:bCs/>
                <w:color w:val="FFFFFF"/>
                <w:sz w:val="18"/>
                <w:szCs w:val="18"/>
                <w:lang w:eastAsia="es-EC"/>
              </w:rPr>
            </w:pPr>
          </w:p>
          <w:p w14:paraId="7F93B532" w14:textId="2A6AF04C" w:rsidR="00C420E7" w:rsidRPr="00A3434F" w:rsidRDefault="00C420E7" w:rsidP="000A4588">
            <w:pPr>
              <w:widowControl/>
              <w:autoSpaceDE/>
              <w:autoSpaceDN/>
              <w:jc w:val="center"/>
              <w:rPr>
                <w:rFonts w:asciiTheme="majorHAnsi" w:eastAsia="Times New Roman" w:hAnsiTheme="majorHAnsi" w:cs="Calibri Light"/>
                <w:b/>
                <w:bCs/>
                <w:color w:val="FFFFFF"/>
                <w:sz w:val="18"/>
                <w:szCs w:val="18"/>
                <w:lang w:eastAsia="es-EC"/>
              </w:rPr>
            </w:pPr>
            <w:r w:rsidRPr="00A3434F">
              <w:rPr>
                <w:rFonts w:asciiTheme="majorHAnsi" w:eastAsia="Times New Roman" w:hAnsiTheme="majorHAnsi" w:cs="Calibri Light"/>
                <w:b/>
                <w:bCs/>
                <w:color w:val="FFFFFF"/>
                <w:sz w:val="18"/>
                <w:szCs w:val="18"/>
                <w:lang w:eastAsia="es-EC"/>
              </w:rPr>
              <w:t>MONTO USD</w:t>
            </w:r>
          </w:p>
        </w:tc>
      </w:tr>
      <w:tr w:rsidR="00C420E7" w:rsidRPr="00201D11" w14:paraId="3F1791AE" w14:textId="77777777" w:rsidTr="000A4588">
        <w:trPr>
          <w:trHeight w:val="489"/>
          <w:jc w:val="center"/>
        </w:trPr>
        <w:tc>
          <w:tcPr>
            <w:tcW w:w="4542" w:type="dxa"/>
          </w:tcPr>
          <w:p w14:paraId="3D0EDF96" w14:textId="77777777" w:rsidR="00C420E7" w:rsidRPr="00A3434F" w:rsidRDefault="00C420E7" w:rsidP="000A4588">
            <w:pPr>
              <w:spacing w:line="241" w:lineRule="exact"/>
              <w:ind w:left="107"/>
              <w:rPr>
                <w:rFonts w:asciiTheme="majorHAnsi" w:eastAsia="Times New Roman" w:hAnsiTheme="majorHAnsi" w:cs="Calibri Light"/>
                <w:color w:val="000000"/>
                <w:sz w:val="18"/>
                <w:szCs w:val="18"/>
                <w:lang w:val="es-EC" w:eastAsia="es-EC"/>
              </w:rPr>
            </w:pPr>
            <w:r w:rsidRPr="00A3434F">
              <w:rPr>
                <w:rFonts w:asciiTheme="majorHAnsi" w:eastAsia="Times New Roman" w:hAnsiTheme="majorHAnsi" w:cs="Calibri Light"/>
                <w:color w:val="000000"/>
                <w:sz w:val="18"/>
                <w:szCs w:val="18"/>
                <w:lang w:val="es-EC" w:eastAsia="es-EC"/>
              </w:rPr>
              <w:t>Dirección de Análisis y Prospectiva Eléctrica - DAPE</w:t>
            </w:r>
          </w:p>
        </w:tc>
        <w:tc>
          <w:tcPr>
            <w:tcW w:w="1554" w:type="dxa"/>
          </w:tcPr>
          <w:p w14:paraId="7EA4650A" w14:textId="77777777" w:rsidR="00C420E7" w:rsidRPr="00A3434F" w:rsidRDefault="00C420E7" w:rsidP="000A4588">
            <w:pPr>
              <w:widowControl/>
              <w:autoSpaceDE/>
              <w:autoSpaceDN/>
              <w:jc w:val="center"/>
              <w:rPr>
                <w:rFonts w:asciiTheme="majorHAnsi" w:eastAsia="Times New Roman" w:hAnsiTheme="majorHAnsi" w:cs="Calibri Light"/>
                <w:color w:val="000000"/>
                <w:sz w:val="18"/>
                <w:szCs w:val="18"/>
                <w:lang w:eastAsia="es-EC"/>
              </w:rPr>
            </w:pPr>
            <w:r w:rsidRPr="00A3434F">
              <w:rPr>
                <w:rFonts w:asciiTheme="majorHAnsi" w:eastAsia="Times New Roman" w:hAnsiTheme="majorHAnsi" w:cs="Calibri Light"/>
                <w:color w:val="000000"/>
                <w:sz w:val="18"/>
                <w:szCs w:val="18"/>
                <w:lang w:eastAsia="es-EC"/>
              </w:rPr>
              <w:t>2</w:t>
            </w:r>
          </w:p>
        </w:tc>
        <w:tc>
          <w:tcPr>
            <w:tcW w:w="1701" w:type="dxa"/>
          </w:tcPr>
          <w:p w14:paraId="03C531E3" w14:textId="77777777" w:rsidR="00C420E7" w:rsidRPr="00A3434F" w:rsidRDefault="00C420E7" w:rsidP="000A4588">
            <w:pPr>
              <w:widowControl/>
              <w:autoSpaceDE/>
              <w:autoSpaceDN/>
              <w:jc w:val="right"/>
              <w:rPr>
                <w:rFonts w:asciiTheme="majorHAnsi" w:eastAsia="Times New Roman" w:hAnsiTheme="majorHAnsi" w:cs="Calibri Light"/>
                <w:color w:val="000000"/>
                <w:sz w:val="18"/>
                <w:szCs w:val="18"/>
                <w:lang w:eastAsia="es-EC"/>
              </w:rPr>
            </w:pPr>
            <w:r w:rsidRPr="00A3434F">
              <w:rPr>
                <w:rFonts w:asciiTheme="majorHAnsi" w:eastAsia="Times New Roman" w:hAnsiTheme="majorHAnsi" w:cs="Calibri Light"/>
                <w:color w:val="000000"/>
                <w:sz w:val="18"/>
                <w:szCs w:val="18"/>
                <w:lang w:eastAsia="es-EC"/>
              </w:rPr>
              <w:t>1.272.849,97</w:t>
            </w:r>
          </w:p>
        </w:tc>
      </w:tr>
      <w:tr w:rsidR="00C420E7" w:rsidRPr="00201D11" w14:paraId="2E73D32F" w14:textId="77777777" w:rsidTr="000A4588">
        <w:trPr>
          <w:trHeight w:val="503"/>
          <w:jc w:val="center"/>
        </w:trPr>
        <w:tc>
          <w:tcPr>
            <w:tcW w:w="4542" w:type="dxa"/>
          </w:tcPr>
          <w:p w14:paraId="063C8D3E" w14:textId="77777777" w:rsidR="00C420E7" w:rsidRPr="00A3434F" w:rsidRDefault="00C420E7" w:rsidP="000A4588">
            <w:pPr>
              <w:spacing w:line="237" w:lineRule="auto"/>
              <w:ind w:left="107"/>
              <w:rPr>
                <w:rFonts w:asciiTheme="majorHAnsi" w:eastAsia="Times New Roman" w:hAnsiTheme="majorHAnsi" w:cs="Calibri Light"/>
                <w:color w:val="000000"/>
                <w:sz w:val="18"/>
                <w:szCs w:val="18"/>
                <w:lang w:val="es-EC" w:eastAsia="es-EC"/>
              </w:rPr>
            </w:pPr>
            <w:r w:rsidRPr="00A3434F">
              <w:rPr>
                <w:rFonts w:asciiTheme="majorHAnsi" w:eastAsia="Times New Roman" w:hAnsiTheme="majorHAnsi" w:cs="Calibri Light"/>
                <w:color w:val="000000"/>
                <w:sz w:val="18"/>
                <w:szCs w:val="18"/>
                <w:lang w:val="es-EC" w:eastAsia="es-EC"/>
              </w:rPr>
              <w:t>Dirección de Expansión de la Generación y Transmisión de Energía Eléctrica - DEGTEE</w:t>
            </w:r>
          </w:p>
        </w:tc>
        <w:tc>
          <w:tcPr>
            <w:tcW w:w="1554" w:type="dxa"/>
          </w:tcPr>
          <w:p w14:paraId="5C032C82" w14:textId="77777777" w:rsidR="00C420E7" w:rsidRPr="00A3434F" w:rsidRDefault="00C420E7" w:rsidP="000A4588">
            <w:pPr>
              <w:widowControl/>
              <w:autoSpaceDE/>
              <w:autoSpaceDN/>
              <w:jc w:val="center"/>
              <w:rPr>
                <w:rFonts w:asciiTheme="majorHAnsi" w:eastAsia="Times New Roman" w:hAnsiTheme="majorHAnsi" w:cs="Calibri Light"/>
                <w:color w:val="000000"/>
                <w:sz w:val="18"/>
                <w:szCs w:val="18"/>
                <w:lang w:eastAsia="es-EC"/>
              </w:rPr>
            </w:pPr>
            <w:r w:rsidRPr="00A3434F">
              <w:rPr>
                <w:rFonts w:asciiTheme="majorHAnsi" w:eastAsia="Times New Roman" w:hAnsiTheme="majorHAnsi" w:cs="Calibri Light"/>
                <w:color w:val="000000"/>
                <w:sz w:val="18"/>
                <w:szCs w:val="18"/>
                <w:lang w:eastAsia="es-EC"/>
              </w:rPr>
              <w:t>2</w:t>
            </w:r>
          </w:p>
        </w:tc>
        <w:tc>
          <w:tcPr>
            <w:tcW w:w="1701" w:type="dxa"/>
          </w:tcPr>
          <w:p w14:paraId="00CF5EC8" w14:textId="77777777" w:rsidR="00C420E7" w:rsidRPr="00A3434F" w:rsidRDefault="00C420E7" w:rsidP="000A4588">
            <w:pPr>
              <w:widowControl/>
              <w:autoSpaceDE/>
              <w:autoSpaceDN/>
              <w:jc w:val="right"/>
              <w:rPr>
                <w:rFonts w:asciiTheme="majorHAnsi" w:eastAsia="Times New Roman" w:hAnsiTheme="majorHAnsi" w:cs="Calibri Light"/>
                <w:color w:val="000000"/>
                <w:sz w:val="18"/>
                <w:szCs w:val="18"/>
                <w:lang w:eastAsia="es-EC"/>
              </w:rPr>
            </w:pPr>
            <w:r w:rsidRPr="00A3434F">
              <w:rPr>
                <w:rFonts w:asciiTheme="majorHAnsi" w:eastAsia="Times New Roman" w:hAnsiTheme="majorHAnsi" w:cs="Calibri Light"/>
                <w:color w:val="000000"/>
                <w:sz w:val="18"/>
                <w:szCs w:val="18"/>
                <w:lang w:eastAsia="es-EC"/>
              </w:rPr>
              <w:t>3.013.534,24</w:t>
            </w:r>
          </w:p>
        </w:tc>
      </w:tr>
      <w:tr w:rsidR="00C420E7" w:rsidRPr="00201D11" w14:paraId="10F89DED" w14:textId="77777777" w:rsidTr="000A4588">
        <w:trPr>
          <w:trHeight w:val="823"/>
          <w:jc w:val="center"/>
        </w:trPr>
        <w:tc>
          <w:tcPr>
            <w:tcW w:w="4542" w:type="dxa"/>
          </w:tcPr>
          <w:p w14:paraId="2C797237" w14:textId="77777777" w:rsidR="00C420E7" w:rsidRPr="00A3434F" w:rsidRDefault="00C420E7" w:rsidP="000A4588">
            <w:pPr>
              <w:ind w:left="107"/>
              <w:rPr>
                <w:rFonts w:asciiTheme="majorHAnsi" w:eastAsia="Times New Roman" w:hAnsiTheme="majorHAnsi" w:cs="Calibri Light"/>
                <w:color w:val="000000"/>
                <w:sz w:val="18"/>
                <w:szCs w:val="18"/>
                <w:lang w:val="es-EC" w:eastAsia="es-EC"/>
              </w:rPr>
            </w:pPr>
            <w:r w:rsidRPr="00A3434F">
              <w:rPr>
                <w:rFonts w:asciiTheme="majorHAnsi" w:eastAsia="Times New Roman" w:hAnsiTheme="majorHAnsi" w:cs="Calibri Light"/>
                <w:color w:val="000000"/>
                <w:sz w:val="18"/>
                <w:szCs w:val="18"/>
                <w:lang w:val="es-EC" w:eastAsia="es-EC"/>
              </w:rPr>
              <w:t>Dirección de la Gestión Técnica y Operativa de la Generación y Transmisión de Energía Eléctrica - DGTOGTEE</w:t>
            </w:r>
          </w:p>
        </w:tc>
        <w:tc>
          <w:tcPr>
            <w:tcW w:w="1554" w:type="dxa"/>
          </w:tcPr>
          <w:p w14:paraId="4A1F798A" w14:textId="77777777" w:rsidR="00C420E7" w:rsidRPr="00A3434F" w:rsidRDefault="00C420E7" w:rsidP="000A4588">
            <w:pPr>
              <w:widowControl/>
              <w:autoSpaceDE/>
              <w:autoSpaceDN/>
              <w:jc w:val="center"/>
              <w:rPr>
                <w:rFonts w:asciiTheme="majorHAnsi" w:eastAsia="Times New Roman" w:hAnsiTheme="majorHAnsi" w:cs="Calibri Light"/>
                <w:color w:val="000000"/>
                <w:sz w:val="18"/>
                <w:szCs w:val="18"/>
                <w:lang w:eastAsia="es-EC"/>
              </w:rPr>
            </w:pPr>
          </w:p>
          <w:p w14:paraId="34868541" w14:textId="77777777" w:rsidR="00C420E7" w:rsidRPr="00A3434F" w:rsidRDefault="00C420E7" w:rsidP="000A4588">
            <w:pPr>
              <w:widowControl/>
              <w:autoSpaceDE/>
              <w:autoSpaceDN/>
              <w:ind w:left="9"/>
              <w:jc w:val="center"/>
              <w:rPr>
                <w:rFonts w:asciiTheme="majorHAnsi" w:eastAsia="Times New Roman" w:hAnsiTheme="majorHAnsi" w:cs="Calibri Light"/>
                <w:color w:val="000000"/>
                <w:sz w:val="18"/>
                <w:szCs w:val="18"/>
                <w:lang w:eastAsia="es-EC"/>
              </w:rPr>
            </w:pPr>
            <w:r w:rsidRPr="00A3434F">
              <w:rPr>
                <w:rFonts w:asciiTheme="majorHAnsi" w:eastAsia="Times New Roman" w:hAnsiTheme="majorHAnsi" w:cs="Calibri Light"/>
                <w:color w:val="000000"/>
                <w:sz w:val="18"/>
                <w:szCs w:val="18"/>
                <w:lang w:eastAsia="es-EC"/>
              </w:rPr>
              <w:t>8</w:t>
            </w:r>
          </w:p>
        </w:tc>
        <w:tc>
          <w:tcPr>
            <w:tcW w:w="1701" w:type="dxa"/>
          </w:tcPr>
          <w:p w14:paraId="27B2CFCD" w14:textId="77777777" w:rsidR="00C420E7" w:rsidRPr="00A3434F" w:rsidRDefault="00C420E7" w:rsidP="000A4588">
            <w:pPr>
              <w:widowControl/>
              <w:autoSpaceDE/>
              <w:autoSpaceDN/>
              <w:jc w:val="right"/>
              <w:rPr>
                <w:rFonts w:asciiTheme="majorHAnsi" w:eastAsia="Times New Roman" w:hAnsiTheme="majorHAnsi" w:cs="Calibri Light"/>
                <w:color w:val="000000"/>
                <w:sz w:val="18"/>
                <w:szCs w:val="18"/>
                <w:lang w:eastAsia="es-EC"/>
              </w:rPr>
            </w:pPr>
          </w:p>
          <w:p w14:paraId="11DAC65D" w14:textId="77777777" w:rsidR="00C420E7" w:rsidRPr="00A3434F" w:rsidRDefault="00C420E7" w:rsidP="000A4588">
            <w:pPr>
              <w:widowControl/>
              <w:autoSpaceDE/>
              <w:autoSpaceDN/>
              <w:ind w:right="99"/>
              <w:jc w:val="right"/>
              <w:rPr>
                <w:rFonts w:asciiTheme="majorHAnsi" w:eastAsia="Times New Roman" w:hAnsiTheme="majorHAnsi" w:cs="Calibri Light"/>
                <w:color w:val="000000"/>
                <w:sz w:val="18"/>
                <w:szCs w:val="18"/>
                <w:lang w:eastAsia="es-EC"/>
              </w:rPr>
            </w:pPr>
            <w:r w:rsidRPr="00A3434F">
              <w:rPr>
                <w:rFonts w:asciiTheme="majorHAnsi" w:eastAsia="Times New Roman" w:hAnsiTheme="majorHAnsi" w:cs="Calibri Light"/>
                <w:color w:val="000000"/>
                <w:sz w:val="18"/>
                <w:szCs w:val="18"/>
                <w:lang w:eastAsia="es-EC"/>
              </w:rPr>
              <w:t>12.885.789,81</w:t>
            </w:r>
          </w:p>
        </w:tc>
      </w:tr>
      <w:tr w:rsidR="00C420E7" w:rsidRPr="00201D11" w14:paraId="6FC308C1" w14:textId="77777777" w:rsidTr="000A4588">
        <w:trPr>
          <w:trHeight w:val="290"/>
          <w:jc w:val="center"/>
        </w:trPr>
        <w:tc>
          <w:tcPr>
            <w:tcW w:w="4542" w:type="dxa"/>
          </w:tcPr>
          <w:p w14:paraId="2CCF5328" w14:textId="77777777" w:rsidR="00C420E7" w:rsidRPr="00A3434F" w:rsidRDefault="00C420E7" w:rsidP="00D7773A">
            <w:pPr>
              <w:spacing w:before="18"/>
              <w:ind w:left="107"/>
              <w:jc w:val="center"/>
              <w:rPr>
                <w:rFonts w:asciiTheme="majorHAnsi" w:hAnsiTheme="majorHAnsi"/>
                <w:b/>
                <w:sz w:val="18"/>
                <w:szCs w:val="18"/>
              </w:rPr>
            </w:pPr>
            <w:r w:rsidRPr="00A3434F">
              <w:rPr>
                <w:rFonts w:asciiTheme="majorHAnsi" w:eastAsia="Times New Roman" w:hAnsiTheme="majorHAnsi" w:cs="Calibri Light"/>
                <w:b/>
                <w:bCs/>
                <w:color w:val="000000"/>
                <w:sz w:val="18"/>
                <w:szCs w:val="18"/>
                <w:lang w:val="es-EC" w:eastAsia="es-EC"/>
              </w:rPr>
              <w:t>TOTAL</w:t>
            </w:r>
          </w:p>
        </w:tc>
        <w:tc>
          <w:tcPr>
            <w:tcW w:w="1554" w:type="dxa"/>
          </w:tcPr>
          <w:p w14:paraId="28B5F901" w14:textId="77777777" w:rsidR="00C420E7" w:rsidRPr="00A3434F" w:rsidRDefault="00C420E7" w:rsidP="000A4588">
            <w:pPr>
              <w:spacing w:before="18"/>
              <w:ind w:left="9"/>
              <w:jc w:val="center"/>
              <w:rPr>
                <w:rFonts w:asciiTheme="majorHAnsi" w:hAnsiTheme="majorHAnsi"/>
                <w:b/>
                <w:sz w:val="18"/>
                <w:szCs w:val="18"/>
              </w:rPr>
            </w:pPr>
            <w:r w:rsidRPr="00A3434F">
              <w:rPr>
                <w:rFonts w:asciiTheme="majorHAnsi" w:eastAsia="Times New Roman" w:hAnsiTheme="majorHAnsi" w:cs="Calibri Light"/>
                <w:b/>
                <w:bCs/>
                <w:color w:val="000000"/>
                <w:sz w:val="18"/>
                <w:szCs w:val="18"/>
                <w:lang w:val="es-EC" w:eastAsia="es-EC"/>
              </w:rPr>
              <w:t>12</w:t>
            </w:r>
          </w:p>
        </w:tc>
        <w:tc>
          <w:tcPr>
            <w:tcW w:w="1701" w:type="dxa"/>
          </w:tcPr>
          <w:p w14:paraId="681E5C2D" w14:textId="77777777" w:rsidR="00C420E7" w:rsidRPr="00A3434F" w:rsidRDefault="00C420E7" w:rsidP="000A4588">
            <w:pPr>
              <w:widowControl/>
              <w:autoSpaceDE/>
              <w:autoSpaceDN/>
              <w:jc w:val="right"/>
              <w:rPr>
                <w:rFonts w:asciiTheme="majorHAnsi" w:eastAsia="Times New Roman" w:hAnsiTheme="majorHAnsi" w:cs="Calibri Light"/>
                <w:b/>
                <w:bCs/>
                <w:color w:val="000000"/>
                <w:sz w:val="18"/>
                <w:szCs w:val="18"/>
                <w:lang w:eastAsia="es-EC"/>
              </w:rPr>
            </w:pPr>
            <w:r w:rsidRPr="00A3434F">
              <w:rPr>
                <w:rFonts w:asciiTheme="majorHAnsi" w:eastAsia="Times New Roman" w:hAnsiTheme="majorHAnsi" w:cs="Calibri Light"/>
                <w:b/>
                <w:bCs/>
                <w:color w:val="000000"/>
                <w:sz w:val="18"/>
                <w:szCs w:val="18"/>
                <w:lang w:eastAsia="es-EC"/>
              </w:rPr>
              <w:t>17.172.174,02</w:t>
            </w:r>
          </w:p>
        </w:tc>
      </w:tr>
    </w:tbl>
    <w:p w14:paraId="2833CF39" w14:textId="77777777" w:rsidR="00C420E7" w:rsidRPr="0041570C" w:rsidRDefault="00C420E7" w:rsidP="00C420E7">
      <w:pPr>
        <w:spacing w:line="195" w:lineRule="exact"/>
        <w:ind w:right="993"/>
        <w:jc w:val="center"/>
        <w:rPr>
          <w:rFonts w:asciiTheme="majorHAnsi" w:hAnsiTheme="majorHAnsi" w:cstheme="majorHAnsi"/>
          <w:i/>
          <w:color w:val="7F7F7F" w:themeColor="text1" w:themeTint="80"/>
          <w:sz w:val="16"/>
          <w:szCs w:val="16"/>
        </w:rPr>
      </w:pPr>
      <w:r w:rsidRPr="0041570C">
        <w:rPr>
          <w:rFonts w:asciiTheme="majorHAnsi" w:hAnsiTheme="majorHAnsi" w:cstheme="majorHAnsi"/>
          <w:i/>
          <w:color w:val="7F7F7F" w:themeColor="text1" w:themeTint="80"/>
          <w:sz w:val="16"/>
          <w:szCs w:val="16"/>
        </w:rPr>
        <w:t>Fuente: Unidad de Gestión de Proyectos UGP – BID. Operación Nro. EC-L1257</w:t>
      </w:r>
    </w:p>
    <w:p w14:paraId="66A181F7" w14:textId="77777777" w:rsidR="00C420E7" w:rsidRPr="0041570C" w:rsidRDefault="00C420E7" w:rsidP="00C420E7">
      <w:pPr>
        <w:ind w:right="794"/>
        <w:jc w:val="center"/>
        <w:rPr>
          <w:rFonts w:asciiTheme="majorHAnsi" w:hAnsiTheme="majorHAnsi" w:cstheme="majorHAnsi"/>
          <w:i/>
          <w:color w:val="7F7F7F" w:themeColor="text1" w:themeTint="80"/>
          <w:sz w:val="16"/>
          <w:szCs w:val="16"/>
        </w:rPr>
      </w:pPr>
      <w:r w:rsidRPr="0041570C">
        <w:rPr>
          <w:rFonts w:asciiTheme="majorHAnsi" w:hAnsiTheme="majorHAnsi" w:cstheme="majorHAnsi"/>
          <w:i/>
          <w:color w:val="7F7F7F" w:themeColor="text1" w:themeTint="80"/>
          <w:sz w:val="16"/>
          <w:szCs w:val="16"/>
        </w:rPr>
        <w:t>Nota: En espera de postulación: a) la Consultoría para elaborar estudios de prefactibilidad de proyectos eólicos b) Estudios de prefactibilidad de proyectos hidroeléctricos</w:t>
      </w:r>
    </w:p>
    <w:p w14:paraId="50C811B9" w14:textId="77777777" w:rsidR="00C420E7" w:rsidRDefault="00C420E7" w:rsidP="00C420E7">
      <w:pPr>
        <w:rPr>
          <w:rFonts w:asciiTheme="majorHAnsi" w:hAnsiTheme="majorHAnsi" w:cstheme="majorHAnsi"/>
          <w:sz w:val="22"/>
        </w:rPr>
      </w:pPr>
    </w:p>
    <w:p w14:paraId="68F4DD5F" w14:textId="3D6AD0C0" w:rsidR="00192E54" w:rsidRPr="008F497B" w:rsidRDefault="00C420E7" w:rsidP="00C420E7">
      <w:pPr>
        <w:rPr>
          <w:rFonts w:asciiTheme="majorHAnsi" w:hAnsiTheme="majorHAnsi" w:cstheme="majorHAnsi"/>
          <w:b/>
          <w:sz w:val="22"/>
        </w:rPr>
      </w:pPr>
      <w:r w:rsidRPr="008F497B">
        <w:rPr>
          <w:rFonts w:asciiTheme="majorHAnsi" w:hAnsiTheme="majorHAnsi" w:cstheme="majorHAnsi"/>
          <w:b/>
          <w:sz w:val="22"/>
        </w:rPr>
        <w:t xml:space="preserve">PROYECTO </w:t>
      </w:r>
      <w:r>
        <w:rPr>
          <w:rFonts w:asciiTheme="majorHAnsi" w:hAnsiTheme="majorHAnsi" w:cstheme="majorHAnsi"/>
          <w:b/>
          <w:sz w:val="22"/>
        </w:rPr>
        <w:t>HÍBRIDO ISABELA</w:t>
      </w:r>
    </w:p>
    <w:p w14:paraId="5120686F" w14:textId="77777777" w:rsidR="00C420E7" w:rsidRPr="00192E54" w:rsidRDefault="00C420E7" w:rsidP="00C420E7">
      <w:pPr>
        <w:jc w:val="both"/>
        <w:rPr>
          <w:rFonts w:asciiTheme="majorHAnsi" w:hAnsiTheme="majorHAnsi" w:cstheme="majorHAnsi"/>
          <w:sz w:val="22"/>
          <w:szCs w:val="22"/>
          <w:highlight w:val="yellow"/>
        </w:rPr>
      </w:pPr>
      <w:r w:rsidRPr="00192E54">
        <w:rPr>
          <w:rFonts w:asciiTheme="majorHAnsi" w:hAnsiTheme="majorHAnsi" w:cstheme="majorHAnsi"/>
          <w:sz w:val="22"/>
          <w:szCs w:val="22"/>
        </w:rPr>
        <w:t>Durante el 2024, la planta sigue cumpliendo su meta satisfaciendo la demanda de energía eléctrica a toda la población de la isla Isabela, continúa aportando con una reducción del consumo de combustible en alrededor de 90 mil galones de diésel anuales, la penetración de energía renovable suministrada a la red ha evitado alrededor de 1200 toneladas de CO2 al ambiente, contribuyendo a la protección del entorno natural de las islas Galápagos. La planta desde el inicio de su operación ha generado alrededor de 42,8 GWh con una penetración de energía renovable de alrededor de 18%. La fase II del Proyecto contempla la ampliación de la planta fotovoltaica y del sistema de almacenamiento de energía a ejecutarse en los siguientes años.</w:t>
      </w:r>
    </w:p>
    <w:p w14:paraId="7DFD065E" w14:textId="77777777" w:rsidR="005817CB" w:rsidRPr="00192E54" w:rsidRDefault="005817CB" w:rsidP="00C420E7">
      <w:pPr>
        <w:rPr>
          <w:sz w:val="22"/>
          <w:szCs w:val="22"/>
        </w:rPr>
      </w:pPr>
    </w:p>
    <w:p w14:paraId="0510CB61" w14:textId="77777777" w:rsidR="00A3434F" w:rsidRPr="00192E54" w:rsidRDefault="00C420E7" w:rsidP="00A3434F">
      <w:pPr>
        <w:pStyle w:val="Ttulo5"/>
        <w:rPr>
          <w:color w:val="auto"/>
          <w:sz w:val="22"/>
          <w:szCs w:val="22"/>
        </w:rPr>
      </w:pPr>
      <w:r w:rsidRPr="00192E54">
        <w:rPr>
          <w:rFonts w:cstheme="majorHAnsi"/>
          <w:color w:val="auto"/>
          <w:sz w:val="22"/>
          <w:szCs w:val="22"/>
        </w:rPr>
        <w:t>A continuación, se presenta los avances físicos del Programa</w:t>
      </w:r>
      <w:r w:rsidR="00A3434F" w:rsidRPr="00192E54">
        <w:rPr>
          <w:rFonts w:cstheme="majorHAnsi"/>
          <w:color w:val="auto"/>
          <w:sz w:val="22"/>
          <w:szCs w:val="22"/>
        </w:rPr>
        <w:t xml:space="preserve"> </w:t>
      </w:r>
      <w:r w:rsidR="00A3434F" w:rsidRPr="00192E54">
        <w:rPr>
          <w:color w:val="auto"/>
          <w:sz w:val="22"/>
          <w:szCs w:val="22"/>
        </w:rPr>
        <w:t>Transmisión de Energía Eléctrica</w:t>
      </w:r>
    </w:p>
    <w:p w14:paraId="67B0E336" w14:textId="77777777" w:rsidR="00C420E7" w:rsidRDefault="00C420E7" w:rsidP="00C420E7">
      <w:pPr>
        <w:pStyle w:val="Descripcin"/>
      </w:pPr>
    </w:p>
    <w:p w14:paraId="0809708D" w14:textId="194BF0A5" w:rsidR="00C420E7" w:rsidRPr="00A3434F" w:rsidRDefault="00C420E7" w:rsidP="00C420E7">
      <w:pPr>
        <w:pStyle w:val="Descripcin"/>
        <w:rPr>
          <w:rFonts w:asciiTheme="majorHAnsi" w:hAnsiTheme="majorHAnsi" w:cstheme="majorHAnsi"/>
        </w:rPr>
      </w:pPr>
      <w:bookmarkStart w:id="308" w:name="_Toc198110371"/>
      <w:bookmarkStart w:id="309" w:name="_Toc199759695"/>
      <w:r w:rsidRPr="00A3434F">
        <w:rPr>
          <w:rFonts w:asciiTheme="majorHAnsi" w:hAnsiTheme="majorHAnsi" w:cstheme="majorHAnsi"/>
        </w:rPr>
        <w:t xml:space="preserve">Tabla </w:t>
      </w:r>
      <w:r w:rsidR="003A269C" w:rsidRPr="00A3434F">
        <w:rPr>
          <w:rFonts w:asciiTheme="majorHAnsi" w:hAnsiTheme="majorHAnsi" w:cstheme="majorHAnsi"/>
        </w:rPr>
        <w:fldChar w:fldCharType="begin"/>
      </w:r>
      <w:r w:rsidR="003A269C" w:rsidRPr="00A3434F">
        <w:rPr>
          <w:rFonts w:asciiTheme="majorHAnsi" w:hAnsiTheme="majorHAnsi" w:cstheme="majorHAnsi"/>
        </w:rPr>
        <w:instrText xml:space="preserve"> SEQ Tabla \* ARABIC </w:instrText>
      </w:r>
      <w:r w:rsidR="003A269C" w:rsidRPr="00A3434F">
        <w:rPr>
          <w:rFonts w:asciiTheme="majorHAnsi" w:hAnsiTheme="majorHAnsi" w:cstheme="majorHAnsi"/>
        </w:rPr>
        <w:fldChar w:fldCharType="separate"/>
      </w:r>
      <w:r w:rsidR="00CF0AD2">
        <w:rPr>
          <w:rFonts w:asciiTheme="majorHAnsi" w:hAnsiTheme="majorHAnsi" w:cstheme="majorHAnsi"/>
          <w:noProof/>
        </w:rPr>
        <w:t>25</w:t>
      </w:r>
      <w:r w:rsidR="003A269C" w:rsidRPr="00A3434F">
        <w:rPr>
          <w:rFonts w:asciiTheme="majorHAnsi" w:hAnsiTheme="majorHAnsi" w:cstheme="majorHAnsi"/>
          <w:noProof/>
        </w:rPr>
        <w:fldChar w:fldCharType="end"/>
      </w:r>
      <w:r w:rsidR="0016337C">
        <w:rPr>
          <w:rFonts w:asciiTheme="majorHAnsi" w:hAnsiTheme="majorHAnsi" w:cstheme="majorHAnsi"/>
        </w:rPr>
        <w:t xml:space="preserve">: </w:t>
      </w:r>
      <w:r w:rsidRPr="00A3434F">
        <w:rPr>
          <w:rFonts w:asciiTheme="majorHAnsi" w:hAnsiTheme="majorHAnsi" w:cstheme="majorHAnsi"/>
        </w:rPr>
        <w:t xml:space="preserve"> Programas de Transmisión</w:t>
      </w:r>
      <w:bookmarkEnd w:id="308"/>
      <w:bookmarkEnd w:id="309"/>
    </w:p>
    <w:tbl>
      <w:tblPr>
        <w:tblStyle w:val="TableNormal"/>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8"/>
        <w:gridCol w:w="1764"/>
      </w:tblGrid>
      <w:tr w:rsidR="00C420E7" w14:paraId="060764F2" w14:textId="77777777" w:rsidTr="000A4588">
        <w:trPr>
          <w:trHeight w:val="486"/>
          <w:jc w:val="center"/>
        </w:trPr>
        <w:tc>
          <w:tcPr>
            <w:tcW w:w="6868" w:type="dxa"/>
            <w:shd w:val="clear" w:color="auto" w:fill="5B9BD4"/>
          </w:tcPr>
          <w:p w14:paraId="6D2F9435" w14:textId="77777777" w:rsidR="00C420E7" w:rsidRPr="00A3434F" w:rsidRDefault="00C420E7" w:rsidP="000A4588">
            <w:pPr>
              <w:widowControl/>
              <w:autoSpaceDE/>
              <w:autoSpaceDN/>
              <w:jc w:val="center"/>
              <w:rPr>
                <w:b/>
                <w:sz w:val="20"/>
                <w:szCs w:val="20"/>
              </w:rPr>
            </w:pPr>
            <w:r w:rsidRPr="00A3434F">
              <w:rPr>
                <w:rFonts w:ascii="Calibri Light" w:eastAsia="Times New Roman" w:hAnsi="Calibri Light" w:cs="Calibri Light"/>
                <w:b/>
                <w:bCs/>
                <w:color w:val="FFFFFF"/>
                <w:sz w:val="20"/>
                <w:szCs w:val="20"/>
                <w:lang w:eastAsia="es-EC"/>
              </w:rPr>
              <w:t>PROGRAMA</w:t>
            </w:r>
          </w:p>
        </w:tc>
        <w:tc>
          <w:tcPr>
            <w:tcW w:w="1764" w:type="dxa"/>
            <w:shd w:val="clear" w:color="auto" w:fill="5B9BD4"/>
          </w:tcPr>
          <w:p w14:paraId="55559DEE" w14:textId="77777777" w:rsidR="00C420E7" w:rsidRPr="00A3434F" w:rsidRDefault="00C420E7" w:rsidP="000A4588">
            <w:pPr>
              <w:spacing w:before="1" w:line="243" w:lineRule="exact"/>
              <w:ind w:left="11" w:right="2"/>
              <w:jc w:val="center"/>
              <w:rPr>
                <w:rFonts w:ascii="Calibri Light" w:eastAsia="Times New Roman" w:hAnsi="Calibri Light" w:cs="Calibri Light"/>
                <w:b/>
                <w:bCs/>
                <w:color w:val="FFFFFF"/>
                <w:sz w:val="20"/>
                <w:szCs w:val="20"/>
                <w:lang w:val="es-EC" w:eastAsia="es-EC"/>
              </w:rPr>
            </w:pPr>
            <w:r w:rsidRPr="00A3434F">
              <w:rPr>
                <w:rFonts w:ascii="Calibri Light" w:eastAsia="Times New Roman" w:hAnsi="Calibri Light" w:cs="Calibri Light"/>
                <w:b/>
                <w:bCs/>
                <w:color w:val="FFFFFF"/>
                <w:sz w:val="20"/>
                <w:szCs w:val="20"/>
                <w:lang w:val="es-EC" w:eastAsia="es-EC"/>
              </w:rPr>
              <w:t>AVANCE FÍSICO</w:t>
            </w:r>
          </w:p>
          <w:p w14:paraId="509883DC" w14:textId="77777777" w:rsidR="00C420E7" w:rsidRPr="00A3434F" w:rsidRDefault="00C420E7" w:rsidP="000A4588">
            <w:pPr>
              <w:spacing w:line="222" w:lineRule="exact"/>
              <w:ind w:left="11"/>
              <w:jc w:val="center"/>
              <w:rPr>
                <w:b/>
                <w:sz w:val="20"/>
                <w:szCs w:val="20"/>
              </w:rPr>
            </w:pPr>
            <w:r w:rsidRPr="00A3434F">
              <w:rPr>
                <w:rFonts w:ascii="Calibri Light" w:eastAsia="Times New Roman" w:hAnsi="Calibri Light" w:cs="Calibri Light"/>
                <w:b/>
                <w:bCs/>
                <w:color w:val="FFFFFF"/>
                <w:sz w:val="20"/>
                <w:szCs w:val="20"/>
                <w:lang w:val="es-EC" w:eastAsia="es-EC"/>
              </w:rPr>
              <w:t>(Dic -2024)</w:t>
            </w:r>
          </w:p>
        </w:tc>
      </w:tr>
      <w:tr w:rsidR="00C420E7" w14:paraId="12AFA512" w14:textId="77777777" w:rsidTr="000A4588">
        <w:trPr>
          <w:trHeight w:val="244"/>
          <w:jc w:val="center"/>
        </w:trPr>
        <w:tc>
          <w:tcPr>
            <w:tcW w:w="6868" w:type="dxa"/>
          </w:tcPr>
          <w:p w14:paraId="64B8391B" w14:textId="77777777" w:rsidR="00C420E7" w:rsidRPr="00A3434F" w:rsidRDefault="00C420E7" w:rsidP="000A4588">
            <w:pPr>
              <w:spacing w:before="1" w:line="223" w:lineRule="exact"/>
              <w:ind w:left="107"/>
              <w:rPr>
                <w:rFonts w:ascii="Calibri Light" w:eastAsia="Times New Roman" w:hAnsi="Calibri Light" w:cs="Calibri Light"/>
                <w:color w:val="000000"/>
                <w:sz w:val="20"/>
                <w:szCs w:val="20"/>
                <w:lang w:val="es-EC" w:eastAsia="es-EC"/>
              </w:rPr>
            </w:pPr>
            <w:r w:rsidRPr="00A3434F">
              <w:rPr>
                <w:rFonts w:ascii="Calibri Light" w:eastAsia="Times New Roman" w:hAnsi="Calibri Light" w:cs="Calibri Light"/>
                <w:color w:val="000000"/>
                <w:sz w:val="20"/>
                <w:szCs w:val="20"/>
                <w:lang w:val="es-EC" w:eastAsia="es-EC"/>
              </w:rPr>
              <w:t>PROGRAMA DE TRANSMISIÓN 2012-2022</w:t>
            </w:r>
          </w:p>
        </w:tc>
        <w:tc>
          <w:tcPr>
            <w:tcW w:w="1764" w:type="dxa"/>
            <w:shd w:val="clear" w:color="auto" w:fill="auto"/>
          </w:tcPr>
          <w:p w14:paraId="0A73AC8F" w14:textId="77777777" w:rsidR="00C420E7" w:rsidRPr="00A3434F" w:rsidRDefault="00C420E7" w:rsidP="000A4588">
            <w:pPr>
              <w:spacing w:before="1" w:line="223" w:lineRule="exact"/>
              <w:ind w:left="11" w:right="7"/>
              <w:jc w:val="center"/>
              <w:rPr>
                <w:rFonts w:ascii="Calibri Light" w:eastAsia="Times New Roman" w:hAnsi="Calibri Light" w:cs="Calibri Light"/>
                <w:color w:val="000000"/>
                <w:sz w:val="20"/>
                <w:szCs w:val="20"/>
                <w:lang w:val="es-EC" w:eastAsia="es-EC"/>
              </w:rPr>
            </w:pPr>
            <w:r w:rsidRPr="00A3434F">
              <w:rPr>
                <w:rFonts w:ascii="Calibri Light" w:eastAsia="Times New Roman" w:hAnsi="Calibri Light" w:cs="Calibri Light"/>
                <w:color w:val="000000"/>
                <w:sz w:val="20"/>
                <w:szCs w:val="20"/>
                <w:lang w:val="es-EC" w:eastAsia="es-EC"/>
              </w:rPr>
              <w:t>87,69%</w:t>
            </w:r>
          </w:p>
        </w:tc>
      </w:tr>
      <w:tr w:rsidR="00C420E7" w14:paraId="13D76B7D" w14:textId="77777777" w:rsidTr="000A4588">
        <w:trPr>
          <w:trHeight w:val="244"/>
          <w:jc w:val="center"/>
        </w:trPr>
        <w:tc>
          <w:tcPr>
            <w:tcW w:w="6868" w:type="dxa"/>
          </w:tcPr>
          <w:p w14:paraId="775C6313" w14:textId="77777777" w:rsidR="00C420E7" w:rsidRPr="00A3434F" w:rsidRDefault="00C420E7" w:rsidP="000A4588">
            <w:pPr>
              <w:spacing w:before="1" w:line="223" w:lineRule="exact"/>
              <w:ind w:left="107"/>
              <w:rPr>
                <w:rFonts w:ascii="Calibri Light" w:eastAsia="Times New Roman" w:hAnsi="Calibri Light" w:cs="Calibri Light"/>
                <w:color w:val="000000"/>
                <w:sz w:val="20"/>
                <w:szCs w:val="20"/>
                <w:lang w:val="es-EC" w:eastAsia="es-EC"/>
              </w:rPr>
            </w:pPr>
            <w:r w:rsidRPr="00A3434F">
              <w:rPr>
                <w:rFonts w:ascii="Calibri Light" w:eastAsia="Times New Roman" w:hAnsi="Calibri Light" w:cs="Calibri Light"/>
                <w:color w:val="000000"/>
                <w:sz w:val="20"/>
                <w:szCs w:val="20"/>
                <w:lang w:val="es-EC" w:eastAsia="es-EC"/>
              </w:rPr>
              <w:t>PROGRAMA DE REPOSICIÓN Y AMPLIACIÓN DE INSTALACIONES DEL SNT</w:t>
            </w:r>
          </w:p>
        </w:tc>
        <w:tc>
          <w:tcPr>
            <w:tcW w:w="1764" w:type="dxa"/>
          </w:tcPr>
          <w:p w14:paraId="2E51D14E" w14:textId="77777777" w:rsidR="00C420E7" w:rsidRPr="00A3434F" w:rsidRDefault="00C420E7" w:rsidP="000A4588">
            <w:pPr>
              <w:spacing w:before="1" w:line="223" w:lineRule="exact"/>
              <w:ind w:left="11" w:right="7"/>
              <w:jc w:val="center"/>
              <w:rPr>
                <w:rFonts w:ascii="Calibri Light" w:eastAsia="Times New Roman" w:hAnsi="Calibri Light" w:cs="Calibri Light"/>
                <w:color w:val="000000"/>
                <w:sz w:val="20"/>
                <w:szCs w:val="20"/>
                <w:lang w:val="es-EC" w:eastAsia="es-EC"/>
              </w:rPr>
            </w:pPr>
            <w:r w:rsidRPr="00A3434F">
              <w:rPr>
                <w:rFonts w:ascii="Calibri Light" w:eastAsia="Times New Roman" w:hAnsi="Calibri Light" w:cs="Calibri Light"/>
                <w:color w:val="000000"/>
                <w:sz w:val="20"/>
                <w:szCs w:val="20"/>
                <w:lang w:val="es-EC" w:eastAsia="es-EC"/>
              </w:rPr>
              <w:t>50,03%</w:t>
            </w:r>
          </w:p>
        </w:tc>
      </w:tr>
    </w:tbl>
    <w:p w14:paraId="4A435F32" w14:textId="77777777" w:rsidR="00C420E7" w:rsidRPr="00A3434F" w:rsidRDefault="00C420E7" w:rsidP="00C420E7">
      <w:pPr>
        <w:spacing w:before="3"/>
        <w:ind w:left="1140" w:right="998"/>
        <w:jc w:val="center"/>
        <w:rPr>
          <w:rFonts w:asciiTheme="majorHAnsi" w:hAnsiTheme="majorHAnsi" w:cstheme="majorHAnsi"/>
          <w:i/>
          <w:color w:val="7F7F7F" w:themeColor="text1" w:themeTint="80"/>
          <w:sz w:val="20"/>
        </w:rPr>
      </w:pPr>
      <w:r w:rsidRPr="00A3434F">
        <w:rPr>
          <w:rFonts w:asciiTheme="majorHAnsi" w:hAnsiTheme="majorHAnsi" w:cstheme="majorHAnsi"/>
          <w:i/>
          <w:color w:val="7F7F7F" w:themeColor="text1" w:themeTint="80"/>
          <w:sz w:val="20"/>
        </w:rPr>
        <w:t>Fuente: Subsecretaría de Generación y Transmisión de Energía Eléctrica</w:t>
      </w:r>
    </w:p>
    <w:p w14:paraId="4C9A1444" w14:textId="77777777" w:rsidR="0016337C" w:rsidRDefault="0016337C" w:rsidP="00C420E7">
      <w:pPr>
        <w:rPr>
          <w:rFonts w:asciiTheme="majorHAnsi" w:hAnsiTheme="majorHAnsi" w:cstheme="majorHAnsi"/>
          <w:sz w:val="22"/>
        </w:rPr>
      </w:pPr>
    </w:p>
    <w:p w14:paraId="252CFC49" w14:textId="77777777" w:rsidR="00C420E7" w:rsidRPr="00941411" w:rsidRDefault="00C420E7" w:rsidP="00941411">
      <w:pPr>
        <w:pStyle w:val="Ttulo2"/>
        <w:rPr>
          <w:sz w:val="24"/>
          <w:szCs w:val="24"/>
        </w:rPr>
      </w:pPr>
      <w:bookmarkStart w:id="310" w:name="_Toc198110328"/>
      <w:bookmarkStart w:id="311" w:name="_Toc199759572"/>
      <w:r w:rsidRPr="00941411">
        <w:rPr>
          <w:sz w:val="24"/>
          <w:szCs w:val="24"/>
        </w:rPr>
        <w:lastRenderedPageBreak/>
        <w:t>Gestión Técnica y Operativa de la Generación y Transmisión de Energía Eléctrica.</w:t>
      </w:r>
      <w:bookmarkEnd w:id="310"/>
      <w:bookmarkEnd w:id="311"/>
    </w:p>
    <w:p w14:paraId="03858028" w14:textId="77777777" w:rsidR="00C420E7" w:rsidRDefault="00C420E7" w:rsidP="00C420E7">
      <w:pPr>
        <w:jc w:val="both"/>
        <w:rPr>
          <w:rFonts w:asciiTheme="majorHAnsi" w:eastAsiaTheme="majorEastAsia" w:hAnsiTheme="majorHAnsi" w:cstheme="majorBidi"/>
          <w:color w:val="2F5496" w:themeColor="accent1" w:themeShade="BF"/>
        </w:rPr>
      </w:pPr>
    </w:p>
    <w:p w14:paraId="339226EB" w14:textId="77777777" w:rsidR="00C420E7" w:rsidRPr="00B57B67" w:rsidRDefault="00C420E7" w:rsidP="00C420E7">
      <w:pPr>
        <w:jc w:val="both"/>
        <w:rPr>
          <w:rFonts w:asciiTheme="majorHAnsi" w:hAnsiTheme="majorHAnsi" w:cstheme="majorHAnsi"/>
          <w:sz w:val="22"/>
        </w:rPr>
      </w:pPr>
      <w:r>
        <w:rPr>
          <w:rFonts w:asciiTheme="majorHAnsi" w:hAnsiTheme="majorHAnsi" w:cstheme="majorHAnsi"/>
          <w:sz w:val="22"/>
        </w:rPr>
        <w:t xml:space="preserve">A continuación, se </w:t>
      </w:r>
      <w:r w:rsidRPr="00B57B67">
        <w:rPr>
          <w:rFonts w:asciiTheme="majorHAnsi" w:hAnsiTheme="majorHAnsi" w:cstheme="majorHAnsi"/>
          <w:sz w:val="22"/>
        </w:rPr>
        <w:t>detalla las gestiones y los resultados alcanzados por la Dirección de Gestión Técnica y Operativa durante el año 2024. Estas acciones se enmarcan de manera directa en los objetivos y lineamientos estratégicos que guían el sector e</w:t>
      </w:r>
      <w:r>
        <w:rPr>
          <w:rFonts w:asciiTheme="majorHAnsi" w:hAnsiTheme="majorHAnsi" w:cstheme="majorHAnsi"/>
          <w:sz w:val="22"/>
        </w:rPr>
        <w:t>léctrico</w:t>
      </w:r>
      <w:r w:rsidRPr="00B57B67">
        <w:rPr>
          <w:rFonts w:asciiTheme="majorHAnsi" w:hAnsiTheme="majorHAnsi" w:cstheme="majorHAnsi"/>
          <w:sz w:val="22"/>
        </w:rPr>
        <w:t xml:space="preserve"> ecuatoriano. En este sentido, la labor de la Dirección ha estado intrínsecamente ligada al Plan Nacional de Desarrollo 2024-2025, cuyo Objetivo 7 busca "Precautelar el uso responsable de los recursos naturales con un entorno ambientalmente sostenible". Específicamente, la Política 7.1 de este plan orienta nuestros esfuerzos a "garantizar la sostenibilidad en el continuo abastecimiento de energía eléctrica en el Ecuador, con el aprovechamiento óptimo de los recursos naturales con los que cuenta el país; y, propender el uso racional y eficiente de la energía eléctrica por parte de los consumidores."</w:t>
      </w:r>
    </w:p>
    <w:p w14:paraId="08EBDB8B" w14:textId="77777777" w:rsidR="00C420E7" w:rsidRPr="00B57B67" w:rsidRDefault="00C420E7" w:rsidP="00C420E7">
      <w:pPr>
        <w:jc w:val="both"/>
        <w:rPr>
          <w:rFonts w:asciiTheme="majorHAnsi" w:hAnsiTheme="majorHAnsi" w:cstheme="majorHAnsi"/>
          <w:sz w:val="22"/>
        </w:rPr>
      </w:pPr>
    </w:p>
    <w:p w14:paraId="5B5212A0" w14:textId="77777777" w:rsidR="00C420E7" w:rsidRDefault="00C420E7" w:rsidP="00C420E7">
      <w:pPr>
        <w:jc w:val="both"/>
        <w:rPr>
          <w:rFonts w:asciiTheme="majorHAnsi" w:hAnsiTheme="majorHAnsi" w:cstheme="majorHAnsi"/>
          <w:sz w:val="22"/>
        </w:rPr>
      </w:pPr>
      <w:r w:rsidRPr="00B57B67">
        <w:rPr>
          <w:rFonts w:asciiTheme="majorHAnsi" w:hAnsiTheme="majorHAnsi" w:cstheme="majorHAnsi"/>
          <w:sz w:val="22"/>
        </w:rPr>
        <w:t xml:space="preserve">Asimismo, </w:t>
      </w:r>
      <w:r>
        <w:rPr>
          <w:rFonts w:asciiTheme="majorHAnsi" w:hAnsiTheme="majorHAnsi" w:cstheme="majorHAnsi"/>
          <w:sz w:val="22"/>
        </w:rPr>
        <w:t>la</w:t>
      </w:r>
      <w:r w:rsidRPr="00B57B67">
        <w:rPr>
          <w:rFonts w:asciiTheme="majorHAnsi" w:hAnsiTheme="majorHAnsi" w:cstheme="majorHAnsi"/>
          <w:sz w:val="22"/>
        </w:rPr>
        <w:t>s actividades se alinean con el Objetivo 1 del Plan Estratégico Institucional 2025, que prioriza "Incrementar la eficiencia y productividad en el aprovechamiento de los recursos energéticos y mineros." A nivel operativo, este informe da cuenta del progreso en la consecución del Objetivo Operativo 3 del Plan Operativo Metas y Proyectos 2024 – GPR: "Incrementar la eficacia en la formulación de políticas, estrategias o lineamientos de la gestión técnica y operativa de la generación y transmisión de energía eléctrica, así como la supervisión, seguimiento y evaluación de sus procesos mediante la implementación de mecanismos de mejora continua, con base al marco legal vigente."</w:t>
      </w:r>
    </w:p>
    <w:p w14:paraId="6F30C707" w14:textId="77777777" w:rsidR="00FA2789" w:rsidRDefault="00FA2789" w:rsidP="00C420E7">
      <w:pPr>
        <w:jc w:val="both"/>
        <w:rPr>
          <w:rFonts w:asciiTheme="majorHAnsi" w:hAnsiTheme="majorHAnsi" w:cstheme="majorHAnsi"/>
          <w:b/>
          <w:sz w:val="22"/>
        </w:rPr>
      </w:pPr>
    </w:p>
    <w:p w14:paraId="29116DB9" w14:textId="77777777" w:rsidR="00C420E7" w:rsidRDefault="00C420E7" w:rsidP="00C420E7">
      <w:pPr>
        <w:rPr>
          <w:rFonts w:asciiTheme="majorHAnsi" w:hAnsiTheme="majorHAnsi" w:cstheme="majorHAnsi"/>
          <w:b/>
          <w:sz w:val="22"/>
        </w:rPr>
      </w:pPr>
      <w:bookmarkStart w:id="312" w:name="_Toc196315032"/>
      <w:r w:rsidRPr="0094225B">
        <w:rPr>
          <w:rFonts w:asciiTheme="majorHAnsi" w:hAnsiTheme="majorHAnsi" w:cstheme="majorHAnsi"/>
          <w:b/>
          <w:sz w:val="22"/>
        </w:rPr>
        <w:t>Infraestructura del sistema nacional interconectado y del sistema no incorporado</w:t>
      </w:r>
    </w:p>
    <w:p w14:paraId="1CAB0AC8" w14:textId="77777777" w:rsidR="00C420E7" w:rsidRPr="0094225B" w:rsidRDefault="00C420E7" w:rsidP="00C420E7">
      <w:pPr>
        <w:rPr>
          <w:rFonts w:asciiTheme="majorHAnsi" w:hAnsiTheme="majorHAnsi" w:cstheme="majorHAnsi"/>
          <w:b/>
          <w:sz w:val="22"/>
        </w:rPr>
      </w:pPr>
    </w:p>
    <w:p w14:paraId="0E9356D8" w14:textId="6EEA4014" w:rsidR="00C420E7" w:rsidRDefault="00C420E7" w:rsidP="001E01AE">
      <w:pPr>
        <w:pStyle w:val="Descripcin"/>
        <w:jc w:val="both"/>
        <w:rPr>
          <w:rFonts w:asciiTheme="majorHAnsi" w:hAnsiTheme="majorHAnsi" w:cstheme="majorHAnsi"/>
          <w:i w:val="0"/>
          <w:iCs w:val="0"/>
          <w:color w:val="auto"/>
          <w:sz w:val="22"/>
          <w:szCs w:val="24"/>
        </w:rPr>
      </w:pPr>
      <w:r w:rsidRPr="0094225B">
        <w:rPr>
          <w:rFonts w:asciiTheme="majorHAnsi" w:hAnsiTheme="majorHAnsi" w:cstheme="majorHAnsi"/>
          <w:i w:val="0"/>
          <w:iCs w:val="0"/>
          <w:color w:val="auto"/>
          <w:sz w:val="22"/>
          <w:szCs w:val="24"/>
        </w:rPr>
        <w:t>La gestión técnica y operativa de la generación y transmisión de energía eléctrica en Ecuador se realiza tanto en el Sistema Nacional Interconectado (SNI)</w:t>
      </w:r>
      <w:r>
        <w:rPr>
          <w:rFonts w:asciiTheme="majorHAnsi" w:hAnsiTheme="majorHAnsi" w:cstheme="majorHAnsi"/>
          <w:i w:val="0"/>
          <w:iCs w:val="0"/>
          <w:color w:val="auto"/>
          <w:sz w:val="22"/>
          <w:szCs w:val="24"/>
        </w:rPr>
        <w:t>,</w:t>
      </w:r>
      <w:r w:rsidRPr="0094225B">
        <w:rPr>
          <w:rFonts w:asciiTheme="majorHAnsi" w:hAnsiTheme="majorHAnsi" w:cstheme="majorHAnsi"/>
          <w:i w:val="0"/>
          <w:iCs w:val="0"/>
          <w:color w:val="auto"/>
          <w:sz w:val="22"/>
          <w:szCs w:val="24"/>
        </w:rPr>
        <w:t xml:space="preserve"> que constituye la red principal de transmisión y distribución a nivel nacional,</w:t>
      </w:r>
      <w:r>
        <w:rPr>
          <w:rFonts w:asciiTheme="majorHAnsi" w:hAnsiTheme="majorHAnsi" w:cstheme="majorHAnsi"/>
          <w:i w:val="0"/>
          <w:iCs w:val="0"/>
          <w:color w:val="auto"/>
          <w:sz w:val="22"/>
          <w:szCs w:val="24"/>
        </w:rPr>
        <w:t xml:space="preserve"> </w:t>
      </w:r>
      <w:r w:rsidRPr="0094225B">
        <w:rPr>
          <w:rFonts w:asciiTheme="majorHAnsi" w:hAnsiTheme="majorHAnsi" w:cstheme="majorHAnsi"/>
          <w:i w:val="0"/>
          <w:iCs w:val="0"/>
          <w:color w:val="auto"/>
          <w:sz w:val="22"/>
          <w:szCs w:val="24"/>
        </w:rPr>
        <w:t>como en el Sistema No Incorporad</w:t>
      </w:r>
      <w:r>
        <w:rPr>
          <w:rFonts w:asciiTheme="majorHAnsi" w:hAnsiTheme="majorHAnsi" w:cstheme="majorHAnsi"/>
          <w:i w:val="0"/>
          <w:iCs w:val="0"/>
          <w:color w:val="auto"/>
          <w:sz w:val="22"/>
          <w:szCs w:val="24"/>
        </w:rPr>
        <w:t xml:space="preserve">o, </w:t>
      </w:r>
      <w:r w:rsidRPr="005B2695">
        <w:rPr>
          <w:rFonts w:asciiTheme="majorHAnsi" w:hAnsiTheme="majorHAnsi" w:cstheme="majorHAnsi"/>
          <w:i w:val="0"/>
          <w:iCs w:val="0"/>
          <w:color w:val="auto"/>
          <w:sz w:val="22"/>
          <w:szCs w:val="24"/>
        </w:rPr>
        <w:t>que opera como sistemas eléctricos aislados sin conexión al SNI</w:t>
      </w:r>
      <w:r w:rsidRPr="0094225B">
        <w:rPr>
          <w:rFonts w:asciiTheme="majorHAnsi" w:hAnsiTheme="majorHAnsi" w:cstheme="majorHAnsi"/>
          <w:i w:val="0"/>
          <w:iCs w:val="0"/>
          <w:color w:val="auto"/>
          <w:sz w:val="22"/>
          <w:szCs w:val="24"/>
        </w:rPr>
        <w:t xml:space="preserve">. La siguiente </w:t>
      </w:r>
      <w:r>
        <w:rPr>
          <w:rFonts w:asciiTheme="majorHAnsi" w:hAnsiTheme="majorHAnsi" w:cstheme="majorHAnsi"/>
          <w:i w:val="0"/>
          <w:iCs w:val="0"/>
          <w:color w:val="auto"/>
          <w:sz w:val="22"/>
          <w:szCs w:val="24"/>
        </w:rPr>
        <w:t>tabla</w:t>
      </w:r>
      <w:r w:rsidRPr="0094225B">
        <w:rPr>
          <w:rFonts w:asciiTheme="majorHAnsi" w:hAnsiTheme="majorHAnsi" w:cstheme="majorHAnsi"/>
          <w:i w:val="0"/>
          <w:iCs w:val="0"/>
          <w:color w:val="auto"/>
          <w:sz w:val="22"/>
          <w:szCs w:val="24"/>
        </w:rPr>
        <w:t xml:space="preserve"> ofrece una visión integral de la capacidad instalada, la infraestructura asociada y las fuentes de generación eléctrica actualmente disponibles en el país</w:t>
      </w:r>
      <w:r w:rsidR="001E01AE">
        <w:rPr>
          <w:rFonts w:asciiTheme="majorHAnsi" w:hAnsiTheme="majorHAnsi" w:cstheme="majorHAnsi"/>
          <w:i w:val="0"/>
          <w:iCs w:val="0"/>
          <w:color w:val="auto"/>
          <w:sz w:val="22"/>
          <w:szCs w:val="24"/>
        </w:rPr>
        <w:t>.</w:t>
      </w:r>
      <w:bookmarkEnd w:id="312"/>
    </w:p>
    <w:p w14:paraId="000AB9E6" w14:textId="77777777" w:rsidR="005817CB" w:rsidRPr="005817CB" w:rsidRDefault="005817CB" w:rsidP="005817CB"/>
    <w:p w14:paraId="45775DCE" w14:textId="48DB7A31" w:rsidR="00C420E7" w:rsidRPr="001E01AE" w:rsidRDefault="00C420E7" w:rsidP="00C420E7">
      <w:pPr>
        <w:pStyle w:val="Descripcin"/>
        <w:rPr>
          <w:rFonts w:asciiTheme="majorHAnsi" w:hAnsiTheme="majorHAnsi" w:cstheme="majorHAnsi"/>
        </w:rPr>
      </w:pPr>
      <w:bookmarkStart w:id="313" w:name="_Toc198110372"/>
      <w:bookmarkStart w:id="314" w:name="_Toc199759696"/>
      <w:r w:rsidRPr="001E01AE">
        <w:rPr>
          <w:rFonts w:asciiTheme="majorHAnsi" w:hAnsiTheme="majorHAnsi" w:cstheme="majorHAnsi"/>
        </w:rPr>
        <w:t xml:space="preserve">Tabla </w:t>
      </w:r>
      <w:r w:rsidR="003A269C" w:rsidRPr="001E01AE">
        <w:rPr>
          <w:rFonts w:asciiTheme="majorHAnsi" w:hAnsiTheme="majorHAnsi" w:cstheme="majorHAnsi"/>
        </w:rPr>
        <w:fldChar w:fldCharType="begin"/>
      </w:r>
      <w:r w:rsidR="003A269C" w:rsidRPr="001E01AE">
        <w:rPr>
          <w:rFonts w:asciiTheme="majorHAnsi" w:hAnsiTheme="majorHAnsi" w:cstheme="majorHAnsi"/>
        </w:rPr>
        <w:instrText xml:space="preserve"> SEQ Tabla \* ARABIC </w:instrText>
      </w:r>
      <w:r w:rsidR="003A269C" w:rsidRPr="001E01AE">
        <w:rPr>
          <w:rFonts w:asciiTheme="majorHAnsi" w:hAnsiTheme="majorHAnsi" w:cstheme="majorHAnsi"/>
        </w:rPr>
        <w:fldChar w:fldCharType="separate"/>
      </w:r>
      <w:r w:rsidR="00CF0AD2">
        <w:rPr>
          <w:rFonts w:asciiTheme="majorHAnsi" w:hAnsiTheme="majorHAnsi" w:cstheme="majorHAnsi"/>
          <w:noProof/>
        </w:rPr>
        <w:t>26</w:t>
      </w:r>
      <w:r w:rsidR="003A269C" w:rsidRPr="001E01AE">
        <w:rPr>
          <w:rFonts w:asciiTheme="majorHAnsi" w:hAnsiTheme="majorHAnsi" w:cstheme="majorHAnsi"/>
          <w:noProof/>
        </w:rPr>
        <w:fldChar w:fldCharType="end"/>
      </w:r>
      <w:r w:rsidR="0016337C">
        <w:rPr>
          <w:rFonts w:asciiTheme="majorHAnsi" w:hAnsiTheme="majorHAnsi" w:cstheme="majorHAnsi"/>
        </w:rPr>
        <w:t>:</w:t>
      </w:r>
      <w:r w:rsidRPr="001E01AE">
        <w:rPr>
          <w:rFonts w:asciiTheme="majorHAnsi" w:hAnsiTheme="majorHAnsi" w:cstheme="majorHAnsi"/>
        </w:rPr>
        <w:t xml:space="preserve">  Infraestructura S.N.I. y No incorporado</w:t>
      </w:r>
      <w:bookmarkEnd w:id="313"/>
      <w:bookmarkEnd w:id="314"/>
    </w:p>
    <w:tbl>
      <w:tblPr>
        <w:tblW w:w="4740" w:type="dxa"/>
        <w:jc w:val="center"/>
        <w:tblCellMar>
          <w:left w:w="70" w:type="dxa"/>
          <w:right w:w="70" w:type="dxa"/>
        </w:tblCellMar>
        <w:tblLook w:val="04A0" w:firstRow="1" w:lastRow="0" w:firstColumn="1" w:lastColumn="0" w:noHBand="0" w:noVBand="1"/>
      </w:tblPr>
      <w:tblGrid>
        <w:gridCol w:w="3272"/>
        <w:gridCol w:w="1468"/>
      </w:tblGrid>
      <w:tr w:rsidR="00C420E7" w:rsidRPr="00B03B91" w14:paraId="06F881A8" w14:textId="77777777" w:rsidTr="000A4588">
        <w:trPr>
          <w:trHeight w:val="280"/>
          <w:jc w:val="center"/>
        </w:trPr>
        <w:tc>
          <w:tcPr>
            <w:tcW w:w="4740" w:type="dxa"/>
            <w:gridSpan w:val="2"/>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14:paraId="0F5690AA" w14:textId="77777777" w:rsidR="00C420E7" w:rsidRPr="001E01AE" w:rsidRDefault="00C420E7" w:rsidP="000A4588">
            <w:pPr>
              <w:jc w:val="center"/>
              <w:rPr>
                <w:rFonts w:ascii="Calibri Light" w:eastAsia="Times New Roman" w:hAnsi="Calibri Light" w:cs="Calibri Light"/>
                <w:b/>
                <w:bCs/>
                <w:color w:val="FFFFFF"/>
                <w:sz w:val="20"/>
                <w:szCs w:val="20"/>
                <w:lang w:eastAsia="es-EC"/>
              </w:rPr>
            </w:pPr>
            <w:r w:rsidRPr="001E01AE">
              <w:rPr>
                <w:rFonts w:ascii="Calibri Light" w:eastAsia="Times New Roman" w:hAnsi="Calibri Light" w:cs="Calibri Light"/>
                <w:b/>
                <w:bCs/>
                <w:color w:val="FFFFFF"/>
                <w:sz w:val="20"/>
                <w:szCs w:val="20"/>
                <w:lang w:eastAsia="es-EC"/>
              </w:rPr>
              <w:t xml:space="preserve">Capacidad instalada </w:t>
            </w:r>
          </w:p>
        </w:tc>
      </w:tr>
      <w:tr w:rsidR="00C420E7" w:rsidRPr="00B03B91" w14:paraId="49629488" w14:textId="77777777" w:rsidTr="000A4588">
        <w:trPr>
          <w:trHeight w:val="270"/>
          <w:jc w:val="center"/>
        </w:trPr>
        <w:tc>
          <w:tcPr>
            <w:tcW w:w="47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2D0D8" w14:textId="77777777" w:rsidR="00C420E7" w:rsidRPr="001E01AE" w:rsidRDefault="00C420E7" w:rsidP="000A4588">
            <w:pPr>
              <w:jc w:val="center"/>
              <w:rPr>
                <w:rFonts w:ascii="Calibri Light" w:eastAsia="Times New Roman" w:hAnsi="Calibri Light" w:cs="Calibri Light"/>
                <w:b/>
                <w:bCs/>
                <w:sz w:val="20"/>
                <w:szCs w:val="20"/>
                <w:lang w:eastAsia="es-EC"/>
              </w:rPr>
            </w:pPr>
            <w:r w:rsidRPr="001E01AE">
              <w:rPr>
                <w:rFonts w:ascii="Calibri Light" w:eastAsia="Times New Roman" w:hAnsi="Calibri Light" w:cs="Calibri Light"/>
                <w:b/>
                <w:bCs/>
                <w:sz w:val="20"/>
                <w:szCs w:val="20"/>
                <w:lang w:eastAsia="es-EC"/>
              </w:rPr>
              <w:t>9.713,1 MW</w:t>
            </w:r>
          </w:p>
        </w:tc>
      </w:tr>
      <w:tr w:rsidR="00C420E7" w:rsidRPr="00B03B91" w14:paraId="57B96108" w14:textId="77777777" w:rsidTr="000A4588">
        <w:trPr>
          <w:trHeight w:val="270"/>
          <w:jc w:val="center"/>
        </w:trPr>
        <w:tc>
          <w:tcPr>
            <w:tcW w:w="3272" w:type="dxa"/>
            <w:tcBorders>
              <w:top w:val="nil"/>
              <w:left w:val="single" w:sz="4" w:space="0" w:color="auto"/>
              <w:bottom w:val="single" w:sz="4" w:space="0" w:color="auto"/>
              <w:right w:val="single" w:sz="4" w:space="0" w:color="auto"/>
            </w:tcBorders>
            <w:shd w:val="clear" w:color="auto" w:fill="auto"/>
            <w:noWrap/>
            <w:vAlign w:val="center"/>
            <w:hideMark/>
          </w:tcPr>
          <w:p w14:paraId="65E909BC" w14:textId="77777777" w:rsidR="00C420E7" w:rsidRPr="001E01AE" w:rsidRDefault="00C420E7" w:rsidP="000A4588">
            <w:pPr>
              <w:jc w:val="center"/>
              <w:rPr>
                <w:rFonts w:ascii="Calibri Light" w:eastAsia="Times New Roman" w:hAnsi="Calibri Light" w:cs="Calibri Light"/>
                <w:bCs/>
                <w:sz w:val="20"/>
                <w:szCs w:val="20"/>
                <w:lang w:eastAsia="es-EC"/>
              </w:rPr>
            </w:pPr>
            <w:r w:rsidRPr="001E01AE">
              <w:rPr>
                <w:rFonts w:ascii="Calibri Light" w:eastAsia="Times New Roman" w:hAnsi="Calibri Light" w:cs="Calibri Light"/>
                <w:bCs/>
                <w:sz w:val="20"/>
                <w:szCs w:val="20"/>
                <w:lang w:eastAsia="es-EC"/>
              </w:rPr>
              <w:t>S.N.I.</w:t>
            </w:r>
          </w:p>
        </w:tc>
        <w:tc>
          <w:tcPr>
            <w:tcW w:w="1468" w:type="dxa"/>
            <w:tcBorders>
              <w:top w:val="nil"/>
              <w:left w:val="nil"/>
              <w:bottom w:val="single" w:sz="4" w:space="0" w:color="auto"/>
              <w:right w:val="single" w:sz="4" w:space="0" w:color="auto"/>
            </w:tcBorders>
            <w:shd w:val="clear" w:color="auto" w:fill="auto"/>
            <w:noWrap/>
            <w:vAlign w:val="center"/>
            <w:hideMark/>
          </w:tcPr>
          <w:p w14:paraId="38275374" w14:textId="77777777" w:rsidR="00C420E7" w:rsidRPr="001E01AE" w:rsidRDefault="00C420E7" w:rsidP="000A4588">
            <w:pPr>
              <w:jc w:val="center"/>
              <w:rPr>
                <w:rFonts w:ascii="Calibri Light" w:eastAsia="Times New Roman" w:hAnsi="Calibri Light" w:cs="Calibri Light"/>
                <w:bCs/>
                <w:sz w:val="20"/>
                <w:szCs w:val="20"/>
                <w:lang w:eastAsia="es-EC"/>
              </w:rPr>
            </w:pPr>
            <w:r w:rsidRPr="001E01AE">
              <w:rPr>
                <w:rFonts w:ascii="Calibri Light" w:eastAsia="Times New Roman" w:hAnsi="Calibri Light" w:cs="Calibri Light"/>
                <w:bCs/>
                <w:sz w:val="20"/>
                <w:szCs w:val="20"/>
                <w:lang w:eastAsia="es-EC"/>
              </w:rPr>
              <w:t>7.895,21 MW</w:t>
            </w:r>
          </w:p>
        </w:tc>
      </w:tr>
      <w:tr w:rsidR="00C420E7" w:rsidRPr="00B03B91" w14:paraId="65411D4E" w14:textId="77777777" w:rsidTr="000A4588">
        <w:trPr>
          <w:trHeight w:val="270"/>
          <w:jc w:val="center"/>
        </w:trPr>
        <w:tc>
          <w:tcPr>
            <w:tcW w:w="3272" w:type="dxa"/>
            <w:tcBorders>
              <w:top w:val="nil"/>
              <w:left w:val="single" w:sz="4" w:space="0" w:color="auto"/>
              <w:bottom w:val="single" w:sz="4" w:space="0" w:color="auto"/>
              <w:right w:val="single" w:sz="4" w:space="0" w:color="auto"/>
            </w:tcBorders>
            <w:shd w:val="clear" w:color="auto" w:fill="auto"/>
            <w:noWrap/>
            <w:vAlign w:val="center"/>
            <w:hideMark/>
          </w:tcPr>
          <w:p w14:paraId="7DCC4C37" w14:textId="77777777" w:rsidR="00C420E7" w:rsidRPr="001E01AE" w:rsidRDefault="00C420E7" w:rsidP="000A4588">
            <w:pPr>
              <w:jc w:val="center"/>
              <w:rPr>
                <w:rFonts w:ascii="Calibri Light" w:eastAsia="Times New Roman" w:hAnsi="Calibri Light" w:cs="Calibri Light"/>
                <w:bCs/>
                <w:sz w:val="20"/>
                <w:szCs w:val="20"/>
                <w:lang w:eastAsia="es-EC"/>
              </w:rPr>
            </w:pPr>
            <w:r w:rsidRPr="001E01AE">
              <w:rPr>
                <w:rFonts w:ascii="Calibri Light" w:eastAsia="Times New Roman" w:hAnsi="Calibri Light" w:cs="Calibri Light"/>
                <w:bCs/>
                <w:sz w:val="20"/>
                <w:szCs w:val="20"/>
                <w:lang w:eastAsia="es-EC"/>
              </w:rPr>
              <w:t>No Incorporado</w:t>
            </w:r>
          </w:p>
        </w:tc>
        <w:tc>
          <w:tcPr>
            <w:tcW w:w="1468" w:type="dxa"/>
            <w:tcBorders>
              <w:top w:val="nil"/>
              <w:left w:val="nil"/>
              <w:bottom w:val="single" w:sz="4" w:space="0" w:color="auto"/>
              <w:right w:val="single" w:sz="4" w:space="0" w:color="auto"/>
            </w:tcBorders>
            <w:shd w:val="clear" w:color="auto" w:fill="auto"/>
            <w:noWrap/>
            <w:vAlign w:val="center"/>
            <w:hideMark/>
          </w:tcPr>
          <w:p w14:paraId="2194D1CB" w14:textId="77777777" w:rsidR="00C420E7" w:rsidRPr="001E01AE" w:rsidRDefault="00C420E7" w:rsidP="000A4588">
            <w:pPr>
              <w:jc w:val="center"/>
              <w:rPr>
                <w:rFonts w:ascii="Calibri Light" w:eastAsia="Times New Roman" w:hAnsi="Calibri Light" w:cs="Calibri Light"/>
                <w:bCs/>
                <w:sz w:val="20"/>
                <w:szCs w:val="20"/>
                <w:lang w:eastAsia="es-EC"/>
              </w:rPr>
            </w:pPr>
            <w:r w:rsidRPr="001E01AE">
              <w:rPr>
                <w:rFonts w:ascii="Calibri Light" w:eastAsia="Times New Roman" w:hAnsi="Calibri Light" w:cs="Calibri Light"/>
                <w:bCs/>
                <w:sz w:val="20"/>
                <w:szCs w:val="20"/>
                <w:lang w:eastAsia="es-EC"/>
              </w:rPr>
              <w:t>1.817,89 MW</w:t>
            </w:r>
          </w:p>
        </w:tc>
      </w:tr>
      <w:tr w:rsidR="00C420E7" w:rsidRPr="00B03B91" w14:paraId="4E2A89B3" w14:textId="77777777" w:rsidTr="000A4588">
        <w:trPr>
          <w:trHeight w:val="280"/>
          <w:jc w:val="center"/>
        </w:trPr>
        <w:tc>
          <w:tcPr>
            <w:tcW w:w="4740" w:type="dxa"/>
            <w:gridSpan w:val="2"/>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14:paraId="0E0E1AE5" w14:textId="77777777" w:rsidR="00C420E7" w:rsidRPr="001E01AE" w:rsidRDefault="00C420E7" w:rsidP="000A4588">
            <w:pPr>
              <w:jc w:val="center"/>
              <w:rPr>
                <w:rFonts w:ascii="Calibri Light" w:eastAsia="Times New Roman" w:hAnsi="Calibri Light" w:cs="Calibri Light"/>
                <w:b/>
                <w:bCs/>
                <w:color w:val="FFFFFF"/>
                <w:sz w:val="20"/>
                <w:szCs w:val="20"/>
                <w:lang w:eastAsia="es-EC"/>
              </w:rPr>
            </w:pPr>
            <w:r w:rsidRPr="001E01AE">
              <w:rPr>
                <w:rFonts w:ascii="Calibri Light" w:eastAsia="Times New Roman" w:hAnsi="Calibri Light" w:cs="Calibri Light"/>
                <w:b/>
                <w:bCs/>
                <w:color w:val="FFFFFF"/>
                <w:sz w:val="20"/>
                <w:szCs w:val="20"/>
                <w:lang w:eastAsia="es-EC"/>
              </w:rPr>
              <w:t>Empresa de Transmisión</w:t>
            </w:r>
          </w:p>
        </w:tc>
      </w:tr>
      <w:tr w:rsidR="00C420E7" w:rsidRPr="00B03B91" w14:paraId="225FB872" w14:textId="77777777" w:rsidTr="000A4588">
        <w:trPr>
          <w:trHeight w:val="270"/>
          <w:jc w:val="center"/>
        </w:trPr>
        <w:tc>
          <w:tcPr>
            <w:tcW w:w="3272" w:type="dxa"/>
            <w:tcBorders>
              <w:top w:val="nil"/>
              <w:left w:val="single" w:sz="4" w:space="0" w:color="auto"/>
              <w:bottom w:val="single" w:sz="4" w:space="0" w:color="auto"/>
              <w:right w:val="single" w:sz="4" w:space="0" w:color="auto"/>
            </w:tcBorders>
            <w:shd w:val="clear" w:color="auto" w:fill="auto"/>
            <w:noWrap/>
            <w:vAlign w:val="center"/>
            <w:hideMark/>
          </w:tcPr>
          <w:p w14:paraId="50F16EF2" w14:textId="77777777" w:rsidR="00C420E7" w:rsidRPr="001E01AE" w:rsidRDefault="00C420E7" w:rsidP="000A4588">
            <w:pPr>
              <w:jc w:val="center"/>
              <w:rPr>
                <w:rFonts w:ascii="Calibri Light" w:eastAsia="Times New Roman" w:hAnsi="Calibri Light" w:cs="Calibri Light"/>
                <w:bCs/>
                <w:sz w:val="20"/>
                <w:szCs w:val="20"/>
                <w:lang w:eastAsia="es-EC"/>
              </w:rPr>
            </w:pPr>
            <w:r w:rsidRPr="001E01AE">
              <w:rPr>
                <w:rFonts w:ascii="Calibri Light" w:eastAsia="Times New Roman" w:hAnsi="Calibri Light" w:cs="Calibri Light"/>
                <w:bCs/>
                <w:sz w:val="20"/>
                <w:szCs w:val="20"/>
                <w:lang w:eastAsia="es-EC"/>
              </w:rPr>
              <w:t>Líneas de transmisión 500 kV</w:t>
            </w:r>
          </w:p>
        </w:tc>
        <w:tc>
          <w:tcPr>
            <w:tcW w:w="1468" w:type="dxa"/>
            <w:tcBorders>
              <w:top w:val="nil"/>
              <w:left w:val="nil"/>
              <w:bottom w:val="single" w:sz="4" w:space="0" w:color="auto"/>
              <w:right w:val="single" w:sz="4" w:space="0" w:color="auto"/>
            </w:tcBorders>
            <w:shd w:val="clear" w:color="auto" w:fill="auto"/>
            <w:noWrap/>
            <w:vAlign w:val="center"/>
            <w:hideMark/>
          </w:tcPr>
          <w:p w14:paraId="593A085D" w14:textId="77777777" w:rsidR="00C420E7" w:rsidRPr="001E01AE" w:rsidRDefault="00C420E7" w:rsidP="000A4588">
            <w:pPr>
              <w:jc w:val="center"/>
              <w:rPr>
                <w:rFonts w:ascii="Calibri Light" w:eastAsia="Times New Roman" w:hAnsi="Calibri Light" w:cs="Calibri Light"/>
                <w:bCs/>
                <w:sz w:val="20"/>
                <w:szCs w:val="20"/>
                <w:lang w:eastAsia="es-EC"/>
              </w:rPr>
            </w:pPr>
            <w:r w:rsidRPr="001E01AE">
              <w:rPr>
                <w:rFonts w:ascii="Calibri Light" w:eastAsia="Times New Roman" w:hAnsi="Calibri Light" w:cs="Calibri Light"/>
                <w:bCs/>
                <w:sz w:val="20"/>
                <w:szCs w:val="20"/>
                <w:lang w:eastAsia="es-EC"/>
              </w:rPr>
              <w:t>610 km</w:t>
            </w:r>
          </w:p>
        </w:tc>
      </w:tr>
      <w:tr w:rsidR="00C420E7" w:rsidRPr="00B03B91" w14:paraId="57D1362D" w14:textId="77777777" w:rsidTr="000A4588">
        <w:trPr>
          <w:trHeight w:val="270"/>
          <w:jc w:val="center"/>
        </w:trPr>
        <w:tc>
          <w:tcPr>
            <w:tcW w:w="3272" w:type="dxa"/>
            <w:tcBorders>
              <w:top w:val="nil"/>
              <w:left w:val="single" w:sz="4" w:space="0" w:color="auto"/>
              <w:bottom w:val="single" w:sz="4" w:space="0" w:color="auto"/>
              <w:right w:val="single" w:sz="4" w:space="0" w:color="auto"/>
            </w:tcBorders>
            <w:shd w:val="clear" w:color="auto" w:fill="auto"/>
            <w:noWrap/>
            <w:vAlign w:val="center"/>
            <w:hideMark/>
          </w:tcPr>
          <w:p w14:paraId="4D33AD07" w14:textId="77777777" w:rsidR="00C420E7" w:rsidRPr="001E01AE" w:rsidRDefault="00C420E7" w:rsidP="000A4588">
            <w:pPr>
              <w:jc w:val="center"/>
              <w:rPr>
                <w:rFonts w:ascii="Calibri Light" w:eastAsia="Times New Roman" w:hAnsi="Calibri Light" w:cs="Calibri Light"/>
                <w:bCs/>
                <w:sz w:val="20"/>
                <w:szCs w:val="20"/>
                <w:lang w:eastAsia="es-EC"/>
              </w:rPr>
            </w:pPr>
            <w:r w:rsidRPr="001E01AE">
              <w:rPr>
                <w:rFonts w:ascii="Calibri Light" w:eastAsia="Times New Roman" w:hAnsi="Calibri Light" w:cs="Calibri Light"/>
                <w:bCs/>
                <w:sz w:val="20"/>
                <w:szCs w:val="20"/>
                <w:lang w:eastAsia="es-EC"/>
              </w:rPr>
              <w:t>Líneas de transmisión 230 kV</w:t>
            </w:r>
          </w:p>
        </w:tc>
        <w:tc>
          <w:tcPr>
            <w:tcW w:w="1468" w:type="dxa"/>
            <w:tcBorders>
              <w:top w:val="nil"/>
              <w:left w:val="nil"/>
              <w:bottom w:val="single" w:sz="4" w:space="0" w:color="auto"/>
              <w:right w:val="single" w:sz="4" w:space="0" w:color="auto"/>
            </w:tcBorders>
            <w:shd w:val="clear" w:color="auto" w:fill="auto"/>
            <w:noWrap/>
            <w:vAlign w:val="center"/>
            <w:hideMark/>
          </w:tcPr>
          <w:p w14:paraId="5281C78C" w14:textId="77777777" w:rsidR="00C420E7" w:rsidRPr="001E01AE" w:rsidRDefault="00C420E7" w:rsidP="000A4588">
            <w:pPr>
              <w:jc w:val="center"/>
              <w:rPr>
                <w:rFonts w:ascii="Calibri Light" w:eastAsia="Times New Roman" w:hAnsi="Calibri Light" w:cs="Calibri Light"/>
                <w:bCs/>
                <w:sz w:val="20"/>
                <w:szCs w:val="20"/>
                <w:lang w:eastAsia="es-EC"/>
              </w:rPr>
            </w:pPr>
            <w:r w:rsidRPr="001E01AE">
              <w:rPr>
                <w:rFonts w:ascii="Calibri Light" w:eastAsia="Times New Roman" w:hAnsi="Calibri Light" w:cs="Calibri Light"/>
                <w:bCs/>
                <w:sz w:val="20"/>
                <w:szCs w:val="20"/>
                <w:lang w:eastAsia="es-EC"/>
              </w:rPr>
              <w:t>3.249 km</w:t>
            </w:r>
          </w:p>
        </w:tc>
      </w:tr>
      <w:tr w:rsidR="00C420E7" w:rsidRPr="00B03B91" w14:paraId="4FFDAEED" w14:textId="77777777" w:rsidTr="000A4588">
        <w:trPr>
          <w:trHeight w:val="270"/>
          <w:jc w:val="center"/>
        </w:trPr>
        <w:tc>
          <w:tcPr>
            <w:tcW w:w="3272" w:type="dxa"/>
            <w:tcBorders>
              <w:top w:val="nil"/>
              <w:left w:val="single" w:sz="4" w:space="0" w:color="auto"/>
              <w:bottom w:val="single" w:sz="4" w:space="0" w:color="auto"/>
              <w:right w:val="single" w:sz="4" w:space="0" w:color="auto"/>
            </w:tcBorders>
            <w:shd w:val="clear" w:color="auto" w:fill="auto"/>
            <w:noWrap/>
            <w:vAlign w:val="center"/>
            <w:hideMark/>
          </w:tcPr>
          <w:p w14:paraId="101840E8" w14:textId="77777777" w:rsidR="00C420E7" w:rsidRPr="001E01AE" w:rsidRDefault="00C420E7" w:rsidP="000A4588">
            <w:pPr>
              <w:jc w:val="center"/>
              <w:rPr>
                <w:rFonts w:ascii="Calibri Light" w:eastAsia="Times New Roman" w:hAnsi="Calibri Light" w:cs="Calibri Light"/>
                <w:bCs/>
                <w:sz w:val="20"/>
                <w:szCs w:val="20"/>
                <w:lang w:eastAsia="es-EC"/>
              </w:rPr>
            </w:pPr>
            <w:r w:rsidRPr="001E01AE">
              <w:rPr>
                <w:rFonts w:ascii="Calibri Light" w:eastAsia="Times New Roman" w:hAnsi="Calibri Light" w:cs="Calibri Light"/>
                <w:bCs/>
                <w:sz w:val="20"/>
                <w:szCs w:val="20"/>
                <w:lang w:eastAsia="es-EC"/>
              </w:rPr>
              <w:t>Líneas de transmisión 138 kV</w:t>
            </w:r>
          </w:p>
        </w:tc>
        <w:tc>
          <w:tcPr>
            <w:tcW w:w="1468" w:type="dxa"/>
            <w:tcBorders>
              <w:top w:val="nil"/>
              <w:left w:val="nil"/>
              <w:bottom w:val="single" w:sz="4" w:space="0" w:color="auto"/>
              <w:right w:val="single" w:sz="4" w:space="0" w:color="auto"/>
            </w:tcBorders>
            <w:shd w:val="clear" w:color="auto" w:fill="auto"/>
            <w:noWrap/>
            <w:vAlign w:val="center"/>
            <w:hideMark/>
          </w:tcPr>
          <w:p w14:paraId="0D7EAE9F" w14:textId="77777777" w:rsidR="00C420E7" w:rsidRPr="001E01AE" w:rsidRDefault="00C420E7" w:rsidP="000A4588">
            <w:pPr>
              <w:jc w:val="center"/>
              <w:rPr>
                <w:rFonts w:ascii="Calibri Light" w:eastAsia="Times New Roman" w:hAnsi="Calibri Light" w:cs="Calibri Light"/>
                <w:bCs/>
                <w:sz w:val="20"/>
                <w:szCs w:val="20"/>
                <w:lang w:eastAsia="es-EC"/>
              </w:rPr>
            </w:pPr>
            <w:r w:rsidRPr="001E01AE">
              <w:rPr>
                <w:rFonts w:ascii="Calibri Light" w:eastAsia="Times New Roman" w:hAnsi="Calibri Light" w:cs="Calibri Light"/>
                <w:bCs/>
                <w:sz w:val="20"/>
                <w:szCs w:val="20"/>
                <w:lang w:eastAsia="es-EC"/>
              </w:rPr>
              <w:t>2.409 km</w:t>
            </w:r>
          </w:p>
        </w:tc>
      </w:tr>
      <w:tr w:rsidR="00C420E7" w:rsidRPr="00B03B91" w14:paraId="13BE29A8" w14:textId="77777777" w:rsidTr="000A4588">
        <w:trPr>
          <w:trHeight w:val="280"/>
          <w:jc w:val="center"/>
        </w:trPr>
        <w:tc>
          <w:tcPr>
            <w:tcW w:w="4740" w:type="dxa"/>
            <w:gridSpan w:val="2"/>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14:paraId="522C9788" w14:textId="77777777" w:rsidR="00C420E7" w:rsidRPr="001E01AE" w:rsidRDefault="00C420E7" w:rsidP="000A4588">
            <w:pPr>
              <w:jc w:val="center"/>
              <w:rPr>
                <w:rFonts w:ascii="Calibri Light" w:eastAsia="Times New Roman" w:hAnsi="Calibri Light" w:cs="Calibri Light"/>
                <w:b/>
                <w:bCs/>
                <w:color w:val="FFFFFF"/>
                <w:sz w:val="20"/>
                <w:szCs w:val="20"/>
                <w:lang w:eastAsia="es-EC"/>
              </w:rPr>
            </w:pPr>
            <w:r w:rsidRPr="001E01AE">
              <w:rPr>
                <w:rFonts w:ascii="Calibri Light" w:eastAsia="Times New Roman" w:hAnsi="Calibri Light" w:cs="Calibri Light"/>
                <w:b/>
                <w:bCs/>
                <w:color w:val="FFFFFF"/>
                <w:sz w:val="20"/>
                <w:szCs w:val="20"/>
                <w:lang w:eastAsia="es-EC"/>
              </w:rPr>
              <w:t>Empresas de Generación</w:t>
            </w:r>
          </w:p>
        </w:tc>
      </w:tr>
      <w:tr w:rsidR="00C420E7" w:rsidRPr="00B03B91" w14:paraId="5A670759" w14:textId="77777777" w:rsidTr="000A4588">
        <w:trPr>
          <w:trHeight w:val="270"/>
          <w:jc w:val="center"/>
        </w:trPr>
        <w:tc>
          <w:tcPr>
            <w:tcW w:w="3272" w:type="dxa"/>
            <w:tcBorders>
              <w:top w:val="nil"/>
              <w:left w:val="single" w:sz="4" w:space="0" w:color="auto"/>
              <w:bottom w:val="single" w:sz="4" w:space="0" w:color="auto"/>
              <w:right w:val="single" w:sz="4" w:space="0" w:color="auto"/>
            </w:tcBorders>
            <w:shd w:val="clear" w:color="auto" w:fill="auto"/>
            <w:noWrap/>
            <w:vAlign w:val="center"/>
            <w:hideMark/>
          </w:tcPr>
          <w:p w14:paraId="0150BF11" w14:textId="77777777" w:rsidR="00C420E7" w:rsidRPr="001E01AE" w:rsidRDefault="00C420E7" w:rsidP="000A4588">
            <w:pPr>
              <w:jc w:val="center"/>
              <w:rPr>
                <w:rFonts w:ascii="Calibri Light" w:eastAsia="Times New Roman" w:hAnsi="Calibri Light" w:cs="Calibri Light"/>
                <w:bCs/>
                <w:sz w:val="20"/>
                <w:szCs w:val="20"/>
                <w:lang w:eastAsia="es-EC"/>
              </w:rPr>
            </w:pPr>
            <w:r w:rsidRPr="001E01AE">
              <w:rPr>
                <w:rFonts w:ascii="Calibri Light" w:eastAsia="Times New Roman" w:hAnsi="Calibri Light" w:cs="Calibri Light"/>
                <w:bCs/>
                <w:sz w:val="20"/>
                <w:szCs w:val="20"/>
                <w:lang w:eastAsia="es-EC"/>
              </w:rPr>
              <w:t>Privadas</w:t>
            </w:r>
          </w:p>
        </w:tc>
        <w:tc>
          <w:tcPr>
            <w:tcW w:w="1468" w:type="dxa"/>
            <w:tcBorders>
              <w:top w:val="nil"/>
              <w:left w:val="nil"/>
              <w:bottom w:val="single" w:sz="4" w:space="0" w:color="auto"/>
              <w:right w:val="single" w:sz="4" w:space="0" w:color="auto"/>
            </w:tcBorders>
            <w:shd w:val="clear" w:color="auto" w:fill="auto"/>
            <w:noWrap/>
            <w:vAlign w:val="center"/>
            <w:hideMark/>
          </w:tcPr>
          <w:p w14:paraId="11BEA906" w14:textId="77777777" w:rsidR="00C420E7" w:rsidRPr="001E01AE" w:rsidRDefault="00C420E7" w:rsidP="000A4588">
            <w:pPr>
              <w:jc w:val="center"/>
              <w:rPr>
                <w:rFonts w:ascii="Calibri Light" w:eastAsia="Times New Roman" w:hAnsi="Calibri Light" w:cs="Calibri Light"/>
                <w:bCs/>
                <w:sz w:val="20"/>
                <w:szCs w:val="20"/>
                <w:lang w:eastAsia="es-EC"/>
              </w:rPr>
            </w:pPr>
            <w:r w:rsidRPr="001E01AE">
              <w:rPr>
                <w:rFonts w:ascii="Calibri Light" w:eastAsia="Times New Roman" w:hAnsi="Calibri Light" w:cs="Calibri Light"/>
                <w:bCs/>
                <w:sz w:val="20"/>
                <w:szCs w:val="20"/>
                <w:lang w:eastAsia="es-EC"/>
              </w:rPr>
              <w:t>37</w:t>
            </w:r>
          </w:p>
        </w:tc>
      </w:tr>
      <w:tr w:rsidR="00C420E7" w:rsidRPr="00B03B91" w14:paraId="7366DAAE" w14:textId="77777777" w:rsidTr="000A4588">
        <w:trPr>
          <w:trHeight w:val="270"/>
          <w:jc w:val="center"/>
        </w:trPr>
        <w:tc>
          <w:tcPr>
            <w:tcW w:w="3272" w:type="dxa"/>
            <w:tcBorders>
              <w:top w:val="nil"/>
              <w:left w:val="single" w:sz="4" w:space="0" w:color="auto"/>
              <w:bottom w:val="single" w:sz="4" w:space="0" w:color="auto"/>
              <w:right w:val="single" w:sz="4" w:space="0" w:color="auto"/>
            </w:tcBorders>
            <w:shd w:val="clear" w:color="auto" w:fill="auto"/>
            <w:noWrap/>
            <w:vAlign w:val="center"/>
            <w:hideMark/>
          </w:tcPr>
          <w:p w14:paraId="3D91C134" w14:textId="77777777" w:rsidR="00C420E7" w:rsidRPr="001E01AE" w:rsidRDefault="00C420E7" w:rsidP="000A4588">
            <w:pPr>
              <w:jc w:val="center"/>
              <w:rPr>
                <w:rFonts w:ascii="Calibri Light" w:eastAsia="Times New Roman" w:hAnsi="Calibri Light" w:cs="Calibri Light"/>
                <w:bCs/>
                <w:sz w:val="20"/>
                <w:szCs w:val="20"/>
                <w:lang w:eastAsia="es-EC"/>
              </w:rPr>
            </w:pPr>
            <w:r w:rsidRPr="001E01AE">
              <w:rPr>
                <w:rFonts w:ascii="Calibri Light" w:eastAsia="Times New Roman" w:hAnsi="Calibri Light" w:cs="Calibri Light"/>
                <w:bCs/>
                <w:sz w:val="20"/>
                <w:szCs w:val="20"/>
                <w:lang w:eastAsia="es-EC"/>
              </w:rPr>
              <w:t>Públicas</w:t>
            </w:r>
          </w:p>
        </w:tc>
        <w:tc>
          <w:tcPr>
            <w:tcW w:w="1468" w:type="dxa"/>
            <w:tcBorders>
              <w:top w:val="nil"/>
              <w:left w:val="nil"/>
              <w:bottom w:val="single" w:sz="4" w:space="0" w:color="auto"/>
              <w:right w:val="single" w:sz="4" w:space="0" w:color="auto"/>
            </w:tcBorders>
            <w:shd w:val="clear" w:color="auto" w:fill="auto"/>
            <w:noWrap/>
            <w:vAlign w:val="center"/>
            <w:hideMark/>
          </w:tcPr>
          <w:p w14:paraId="1BADBE36" w14:textId="77777777" w:rsidR="00C420E7" w:rsidRPr="001E01AE" w:rsidRDefault="00C420E7" w:rsidP="000A4588">
            <w:pPr>
              <w:jc w:val="center"/>
              <w:rPr>
                <w:rFonts w:ascii="Calibri Light" w:eastAsia="Times New Roman" w:hAnsi="Calibri Light" w:cs="Calibri Light"/>
                <w:bCs/>
                <w:sz w:val="20"/>
                <w:szCs w:val="20"/>
                <w:lang w:eastAsia="es-EC"/>
              </w:rPr>
            </w:pPr>
            <w:r w:rsidRPr="001E01AE">
              <w:rPr>
                <w:rFonts w:ascii="Calibri Light" w:eastAsia="Times New Roman" w:hAnsi="Calibri Light" w:cs="Calibri Light"/>
                <w:bCs/>
                <w:sz w:val="20"/>
                <w:szCs w:val="20"/>
                <w:lang w:eastAsia="es-EC"/>
              </w:rPr>
              <w:t>18</w:t>
            </w:r>
          </w:p>
        </w:tc>
      </w:tr>
      <w:tr w:rsidR="00C420E7" w:rsidRPr="00B03B91" w14:paraId="077FEAC5" w14:textId="77777777" w:rsidTr="000A4588">
        <w:trPr>
          <w:trHeight w:val="270"/>
          <w:jc w:val="center"/>
        </w:trPr>
        <w:tc>
          <w:tcPr>
            <w:tcW w:w="3272" w:type="dxa"/>
            <w:tcBorders>
              <w:top w:val="nil"/>
              <w:left w:val="single" w:sz="4" w:space="0" w:color="auto"/>
              <w:bottom w:val="single" w:sz="4" w:space="0" w:color="auto"/>
              <w:right w:val="single" w:sz="4" w:space="0" w:color="auto"/>
            </w:tcBorders>
            <w:shd w:val="clear" w:color="auto" w:fill="auto"/>
            <w:noWrap/>
            <w:vAlign w:val="center"/>
            <w:hideMark/>
          </w:tcPr>
          <w:p w14:paraId="4BE046D6" w14:textId="77777777" w:rsidR="00C420E7" w:rsidRPr="001E01AE" w:rsidRDefault="00C420E7" w:rsidP="000A4588">
            <w:pPr>
              <w:jc w:val="center"/>
              <w:rPr>
                <w:rFonts w:ascii="Calibri Light" w:eastAsia="Times New Roman" w:hAnsi="Calibri Light" w:cs="Calibri Light"/>
                <w:bCs/>
                <w:sz w:val="18"/>
                <w:szCs w:val="18"/>
                <w:lang w:eastAsia="es-EC"/>
              </w:rPr>
            </w:pPr>
            <w:r w:rsidRPr="001E01AE">
              <w:rPr>
                <w:rFonts w:ascii="Calibri Light" w:eastAsia="Times New Roman" w:hAnsi="Calibri Light" w:cs="Calibri Light"/>
                <w:bCs/>
                <w:sz w:val="18"/>
                <w:szCs w:val="18"/>
                <w:lang w:eastAsia="es-EC"/>
              </w:rPr>
              <w:t>Mixtas</w:t>
            </w:r>
          </w:p>
        </w:tc>
        <w:tc>
          <w:tcPr>
            <w:tcW w:w="1468" w:type="dxa"/>
            <w:tcBorders>
              <w:top w:val="nil"/>
              <w:left w:val="nil"/>
              <w:bottom w:val="single" w:sz="4" w:space="0" w:color="auto"/>
              <w:right w:val="single" w:sz="4" w:space="0" w:color="auto"/>
            </w:tcBorders>
            <w:shd w:val="clear" w:color="auto" w:fill="auto"/>
            <w:noWrap/>
            <w:vAlign w:val="center"/>
            <w:hideMark/>
          </w:tcPr>
          <w:p w14:paraId="760A62DF" w14:textId="77777777" w:rsidR="00C420E7" w:rsidRPr="001E01AE" w:rsidRDefault="00C420E7" w:rsidP="000A4588">
            <w:pPr>
              <w:jc w:val="center"/>
              <w:rPr>
                <w:rFonts w:ascii="Calibri Light" w:eastAsia="Times New Roman" w:hAnsi="Calibri Light" w:cs="Calibri Light"/>
                <w:bCs/>
                <w:sz w:val="18"/>
                <w:szCs w:val="18"/>
                <w:lang w:eastAsia="es-EC"/>
              </w:rPr>
            </w:pPr>
            <w:r w:rsidRPr="001E01AE">
              <w:rPr>
                <w:rFonts w:ascii="Calibri Light" w:eastAsia="Times New Roman" w:hAnsi="Calibri Light" w:cs="Calibri Light"/>
                <w:bCs/>
                <w:sz w:val="18"/>
                <w:szCs w:val="18"/>
                <w:lang w:eastAsia="es-EC"/>
              </w:rPr>
              <w:t>4</w:t>
            </w:r>
          </w:p>
        </w:tc>
      </w:tr>
    </w:tbl>
    <w:p w14:paraId="515E2E74" w14:textId="77777777" w:rsidR="00C420E7" w:rsidRPr="001E01AE" w:rsidRDefault="00C420E7" w:rsidP="00C420E7">
      <w:pPr>
        <w:jc w:val="center"/>
        <w:rPr>
          <w:rFonts w:asciiTheme="majorHAnsi" w:hAnsiTheme="majorHAnsi" w:cstheme="majorHAnsi"/>
          <w:color w:val="7F7F7F" w:themeColor="text1" w:themeTint="80"/>
          <w:sz w:val="16"/>
          <w:szCs w:val="16"/>
        </w:rPr>
      </w:pPr>
      <w:r w:rsidRPr="001E01AE">
        <w:rPr>
          <w:rFonts w:asciiTheme="majorHAnsi" w:hAnsiTheme="majorHAnsi" w:cstheme="majorHAnsi"/>
          <w:i/>
          <w:color w:val="7F7F7F" w:themeColor="text1" w:themeTint="80"/>
          <w:sz w:val="16"/>
          <w:szCs w:val="16"/>
        </w:rPr>
        <w:t>Fuente: Información estadística – ARCONEL 2024</w:t>
      </w:r>
      <w:r w:rsidRPr="001E01AE">
        <w:rPr>
          <w:rFonts w:asciiTheme="majorHAnsi" w:hAnsiTheme="majorHAnsi" w:cstheme="majorHAnsi"/>
          <w:color w:val="7F7F7F" w:themeColor="text1" w:themeTint="80"/>
          <w:sz w:val="16"/>
          <w:szCs w:val="16"/>
        </w:rPr>
        <w:t>.</w:t>
      </w:r>
    </w:p>
    <w:p w14:paraId="306789E1" w14:textId="77777777" w:rsidR="00C420E7" w:rsidRDefault="00C420E7" w:rsidP="00C420E7">
      <w:bookmarkStart w:id="315" w:name="_Toc158993477"/>
    </w:p>
    <w:bookmarkEnd w:id="315"/>
    <w:p w14:paraId="0F2158C1" w14:textId="77777777" w:rsidR="00C420E7" w:rsidRPr="006324EF" w:rsidRDefault="00C420E7" w:rsidP="00C420E7">
      <w:pPr>
        <w:jc w:val="both"/>
        <w:rPr>
          <w:rFonts w:ascii="Calibri Light" w:eastAsia="Calibri" w:hAnsi="Calibri Light" w:cs="Calibri Light"/>
          <w:color w:val="000000"/>
          <w:sz w:val="22"/>
          <w:szCs w:val="22"/>
        </w:rPr>
      </w:pPr>
      <w:r w:rsidRPr="006324EF">
        <w:rPr>
          <w:rFonts w:ascii="Calibri Light" w:eastAsia="Calibri" w:hAnsi="Calibri Light" w:cs="Calibri Light"/>
          <w:color w:val="000000"/>
          <w:sz w:val="22"/>
          <w:szCs w:val="22"/>
        </w:rPr>
        <w:t>Durante el año, la producción de energía eléctrica en el Sistema Nacional Interconectado (SNI) alcanzó los 3</w:t>
      </w:r>
      <w:r>
        <w:rPr>
          <w:rFonts w:ascii="Calibri Light" w:eastAsia="Calibri" w:hAnsi="Calibri Light" w:cs="Calibri Light"/>
          <w:color w:val="000000"/>
          <w:sz w:val="22"/>
          <w:szCs w:val="22"/>
        </w:rPr>
        <w:t>4</w:t>
      </w:r>
      <w:r w:rsidRPr="006324EF">
        <w:rPr>
          <w:rFonts w:ascii="Calibri Light" w:eastAsia="Calibri" w:hAnsi="Calibri Light" w:cs="Calibri Light"/>
          <w:color w:val="000000"/>
          <w:sz w:val="22"/>
          <w:szCs w:val="22"/>
        </w:rPr>
        <w:t>.</w:t>
      </w:r>
      <w:r>
        <w:rPr>
          <w:rFonts w:ascii="Calibri Light" w:eastAsia="Calibri" w:hAnsi="Calibri Light" w:cs="Calibri Light"/>
          <w:color w:val="000000"/>
          <w:sz w:val="22"/>
          <w:szCs w:val="22"/>
        </w:rPr>
        <w:t>061,61</w:t>
      </w:r>
      <w:r w:rsidRPr="006324EF">
        <w:rPr>
          <w:rFonts w:ascii="Calibri Light" w:eastAsia="Calibri" w:hAnsi="Calibri Light" w:cs="Calibri Light"/>
          <w:color w:val="000000"/>
          <w:sz w:val="22"/>
          <w:szCs w:val="22"/>
        </w:rPr>
        <w:t xml:space="preserve"> GWh. De este total, el </w:t>
      </w:r>
      <w:r>
        <w:rPr>
          <w:rFonts w:ascii="Calibri Light" w:eastAsia="Calibri" w:hAnsi="Calibri Light" w:cs="Calibri Light"/>
          <w:color w:val="000000"/>
          <w:sz w:val="22"/>
          <w:szCs w:val="22"/>
        </w:rPr>
        <w:t>67</w:t>
      </w:r>
      <w:r w:rsidRPr="006324EF">
        <w:rPr>
          <w:rFonts w:ascii="Calibri Light" w:eastAsia="Calibri" w:hAnsi="Calibri Light" w:cs="Calibri Light"/>
          <w:color w:val="000000"/>
          <w:sz w:val="22"/>
          <w:szCs w:val="22"/>
        </w:rPr>
        <w:t xml:space="preserve">% correspondió a generación hidroeléctrica, el </w:t>
      </w:r>
      <w:r>
        <w:rPr>
          <w:rFonts w:ascii="Calibri Light" w:eastAsia="Calibri" w:hAnsi="Calibri Light" w:cs="Calibri Light"/>
          <w:color w:val="000000"/>
          <w:sz w:val="22"/>
          <w:szCs w:val="22"/>
        </w:rPr>
        <w:t>20</w:t>
      </w:r>
      <w:r w:rsidRPr="006324EF">
        <w:rPr>
          <w:rFonts w:ascii="Calibri Light" w:eastAsia="Calibri" w:hAnsi="Calibri Light" w:cs="Calibri Light"/>
          <w:color w:val="000000"/>
          <w:sz w:val="22"/>
          <w:szCs w:val="22"/>
        </w:rPr>
        <w:t xml:space="preserve">% a generación termoeléctrica, el </w:t>
      </w:r>
      <w:r>
        <w:rPr>
          <w:rFonts w:ascii="Calibri Light" w:eastAsia="Calibri" w:hAnsi="Calibri Light" w:cs="Calibri Light"/>
          <w:color w:val="000000"/>
          <w:sz w:val="22"/>
          <w:szCs w:val="22"/>
        </w:rPr>
        <w:t>4</w:t>
      </w:r>
      <w:r w:rsidRPr="006324EF">
        <w:rPr>
          <w:rFonts w:ascii="Calibri Light" w:eastAsia="Calibri" w:hAnsi="Calibri Light" w:cs="Calibri Light"/>
          <w:color w:val="000000"/>
          <w:sz w:val="22"/>
          <w:szCs w:val="22"/>
        </w:rPr>
        <w:t xml:space="preserve">% a importaciones desde Colombia y Perú, y el </w:t>
      </w:r>
      <w:r>
        <w:rPr>
          <w:rFonts w:ascii="Calibri Light" w:eastAsia="Calibri" w:hAnsi="Calibri Light" w:cs="Calibri Light"/>
          <w:color w:val="000000"/>
          <w:sz w:val="22"/>
          <w:szCs w:val="22"/>
        </w:rPr>
        <w:t>9</w:t>
      </w:r>
      <w:r w:rsidRPr="006324EF">
        <w:rPr>
          <w:rFonts w:ascii="Calibri Light" w:eastAsia="Calibri" w:hAnsi="Calibri Light" w:cs="Calibri Light"/>
          <w:color w:val="000000"/>
          <w:sz w:val="22"/>
          <w:szCs w:val="22"/>
        </w:rPr>
        <w:t xml:space="preserve">% a fuentes de generación no convencionales. Estos resultados reflejan la matriz energética predominante en </w:t>
      </w:r>
      <w:r w:rsidRPr="006324EF">
        <w:rPr>
          <w:rFonts w:ascii="Calibri Light" w:eastAsia="Calibri" w:hAnsi="Calibri Light" w:cs="Calibri Light"/>
          <w:color w:val="000000"/>
          <w:sz w:val="22"/>
          <w:szCs w:val="22"/>
        </w:rPr>
        <w:lastRenderedPageBreak/>
        <w:t>el país y permiten dimensionar la capacidad operativa, la infraestructura existente y la diversificación de las fuentes de generación eléctrica en Ecuador.</w:t>
      </w:r>
    </w:p>
    <w:p w14:paraId="0D5699B1" w14:textId="77777777" w:rsidR="00C420E7" w:rsidRDefault="00C420E7" w:rsidP="00C420E7">
      <w:pPr>
        <w:rPr>
          <w:i/>
          <w:iCs/>
        </w:rPr>
      </w:pPr>
    </w:p>
    <w:p w14:paraId="4E52C9E8" w14:textId="41BB4A4B" w:rsidR="00C420E7" w:rsidRPr="001E01AE" w:rsidRDefault="00C420E7" w:rsidP="00C420E7">
      <w:pPr>
        <w:pStyle w:val="Descripcin"/>
        <w:rPr>
          <w:rFonts w:asciiTheme="majorHAnsi" w:hAnsiTheme="majorHAnsi" w:cstheme="majorHAnsi"/>
        </w:rPr>
      </w:pPr>
      <w:bookmarkStart w:id="316" w:name="_Toc198110402"/>
      <w:bookmarkStart w:id="317" w:name="_Toc199757565"/>
      <w:r w:rsidRPr="001E01AE">
        <w:rPr>
          <w:rFonts w:asciiTheme="majorHAnsi" w:hAnsiTheme="majorHAnsi" w:cstheme="majorHAnsi"/>
        </w:rPr>
        <w:t xml:space="preserve">Figura </w:t>
      </w:r>
      <w:r w:rsidR="002026B0" w:rsidRPr="001E01AE">
        <w:rPr>
          <w:rFonts w:asciiTheme="majorHAnsi" w:hAnsiTheme="majorHAnsi" w:cstheme="majorHAnsi"/>
        </w:rPr>
        <w:fldChar w:fldCharType="begin"/>
      </w:r>
      <w:r w:rsidR="002026B0" w:rsidRPr="001E01AE">
        <w:rPr>
          <w:rFonts w:asciiTheme="majorHAnsi" w:hAnsiTheme="majorHAnsi" w:cstheme="majorHAnsi"/>
        </w:rPr>
        <w:instrText xml:space="preserve"> SEQ Figura \* ARABIC </w:instrText>
      </w:r>
      <w:r w:rsidR="002026B0" w:rsidRPr="001E01AE">
        <w:rPr>
          <w:rFonts w:asciiTheme="majorHAnsi" w:hAnsiTheme="majorHAnsi" w:cstheme="majorHAnsi"/>
        </w:rPr>
        <w:fldChar w:fldCharType="separate"/>
      </w:r>
      <w:r w:rsidR="0016337C">
        <w:rPr>
          <w:rFonts w:asciiTheme="majorHAnsi" w:hAnsiTheme="majorHAnsi" w:cstheme="majorHAnsi"/>
          <w:noProof/>
        </w:rPr>
        <w:t>22</w:t>
      </w:r>
      <w:r w:rsidR="002026B0" w:rsidRPr="001E01AE">
        <w:rPr>
          <w:rFonts w:asciiTheme="majorHAnsi" w:hAnsiTheme="majorHAnsi" w:cstheme="majorHAnsi"/>
        </w:rPr>
        <w:fldChar w:fldCharType="end"/>
      </w:r>
      <w:r w:rsidR="005817CB">
        <w:rPr>
          <w:rFonts w:asciiTheme="majorHAnsi" w:hAnsiTheme="majorHAnsi" w:cstheme="majorHAnsi"/>
        </w:rPr>
        <w:t xml:space="preserve">: </w:t>
      </w:r>
      <w:r w:rsidRPr="001E01AE">
        <w:rPr>
          <w:rFonts w:asciiTheme="majorHAnsi" w:hAnsiTheme="majorHAnsi" w:cstheme="majorHAnsi"/>
        </w:rPr>
        <w:t xml:space="preserve"> Producción de energía en bornes de generación GWh – S.N.I.</w:t>
      </w:r>
      <w:bookmarkEnd w:id="316"/>
      <w:bookmarkEnd w:id="317"/>
    </w:p>
    <w:p w14:paraId="5918A25F" w14:textId="77777777" w:rsidR="00C420E7" w:rsidRDefault="00C420E7" w:rsidP="00C420E7">
      <w:pPr>
        <w:jc w:val="center"/>
      </w:pPr>
      <w:r>
        <w:rPr>
          <w:noProof/>
        </w:rPr>
        <w:drawing>
          <wp:inline distT="0" distB="0" distL="0" distR="0" wp14:anchorId="2A63B781" wp14:editId="504CACC3">
            <wp:extent cx="3854370" cy="2274425"/>
            <wp:effectExtent l="0" t="0" r="0" b="0"/>
            <wp:docPr id="1421088706" name="Gráfico 1421088706">
              <a:extLst xmlns:a="http://schemas.openxmlformats.org/drawingml/2006/main">
                <a:ext uri="{FF2B5EF4-FFF2-40B4-BE49-F238E27FC236}">
                  <a16:creationId xmlns:a16="http://schemas.microsoft.com/office/drawing/2014/main" id="{C7515F1C-C5E3-43BF-80CB-79FDE1F6E5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F2DDCB7" w14:textId="2836773A" w:rsidR="00FD1FAB" w:rsidRPr="00941411" w:rsidRDefault="00C420E7" w:rsidP="00941411">
      <w:pPr>
        <w:jc w:val="center"/>
        <w:rPr>
          <w:rFonts w:asciiTheme="majorHAnsi" w:eastAsiaTheme="majorEastAsia" w:hAnsiTheme="majorHAnsi" w:cstheme="majorBidi"/>
          <w:i/>
          <w:color w:val="2F5496" w:themeColor="accent1" w:themeShade="BF"/>
          <w:sz w:val="18"/>
          <w:szCs w:val="18"/>
        </w:rPr>
      </w:pPr>
      <w:r w:rsidRPr="001E01AE">
        <w:rPr>
          <w:rFonts w:asciiTheme="majorHAnsi" w:hAnsiTheme="majorHAnsi" w:cstheme="majorHAnsi"/>
          <w:i/>
          <w:color w:val="7F7F7F" w:themeColor="text1" w:themeTint="80"/>
          <w:sz w:val="18"/>
          <w:szCs w:val="18"/>
        </w:rPr>
        <w:t>Fuente: Información CENACE 2024.</w:t>
      </w:r>
    </w:p>
    <w:p w14:paraId="7B645E4A" w14:textId="77777777" w:rsidR="00FD1FAB" w:rsidRDefault="00FD1FAB" w:rsidP="00C420E7">
      <w:pPr>
        <w:spacing w:before="120" w:after="120"/>
        <w:jc w:val="both"/>
        <w:rPr>
          <w:rFonts w:ascii="Calibri Light" w:eastAsia="Calibri" w:hAnsi="Calibri Light" w:cs="Calibri Light"/>
          <w:color w:val="000000"/>
          <w:sz w:val="22"/>
          <w:szCs w:val="22"/>
        </w:rPr>
      </w:pPr>
    </w:p>
    <w:p w14:paraId="1F4C7322" w14:textId="54822E40" w:rsidR="005817CB" w:rsidRDefault="00C420E7" w:rsidP="00C420E7">
      <w:pPr>
        <w:spacing w:before="120" w:after="120"/>
        <w:jc w:val="both"/>
        <w:rPr>
          <w:rFonts w:ascii="Calibri Light" w:eastAsia="Calibri" w:hAnsi="Calibri Light" w:cs="Calibri Light"/>
          <w:color w:val="000000"/>
          <w:sz w:val="22"/>
          <w:szCs w:val="22"/>
        </w:rPr>
      </w:pPr>
      <w:r w:rsidRPr="00B57B67">
        <w:rPr>
          <w:rFonts w:ascii="Calibri Light" w:eastAsia="Calibri" w:hAnsi="Calibri Light" w:cs="Calibri Light"/>
          <w:color w:val="000000"/>
          <w:sz w:val="22"/>
          <w:szCs w:val="22"/>
        </w:rPr>
        <w:t>Estos resultados evidencian la predominancia de la generación hidroeléctrica en la matriz e</w:t>
      </w:r>
      <w:r>
        <w:rPr>
          <w:rFonts w:ascii="Calibri Light" w:eastAsia="Calibri" w:hAnsi="Calibri Light" w:cs="Calibri Light"/>
          <w:color w:val="000000"/>
          <w:sz w:val="22"/>
          <w:szCs w:val="22"/>
        </w:rPr>
        <w:t>léctrica</w:t>
      </w:r>
      <w:r w:rsidRPr="00B57B67">
        <w:rPr>
          <w:rFonts w:ascii="Calibri Light" w:eastAsia="Calibri" w:hAnsi="Calibri Light" w:cs="Calibri Light"/>
          <w:color w:val="000000"/>
          <w:sz w:val="22"/>
          <w:szCs w:val="22"/>
        </w:rPr>
        <w:t xml:space="preserve"> ecuatoriana, así como la capacidad operativa del SNI, la extensión de su infraestructura y la complementariedad de las fuentes de generación, incluyendo la integración con los sistemas energéticos de países vecinos y la creciente participación de energías renovables no convencionales.</w:t>
      </w:r>
    </w:p>
    <w:p w14:paraId="5B0EDF61" w14:textId="77777777" w:rsidR="00C420E7" w:rsidRPr="00671525" w:rsidRDefault="00C420E7" w:rsidP="00C420E7">
      <w:pPr>
        <w:spacing w:before="120" w:after="120"/>
        <w:jc w:val="both"/>
        <w:rPr>
          <w:rFonts w:asciiTheme="majorHAnsi" w:hAnsiTheme="majorHAnsi" w:cstheme="majorHAnsi"/>
          <w:b/>
          <w:sz w:val="22"/>
        </w:rPr>
      </w:pPr>
      <w:r>
        <w:rPr>
          <w:rFonts w:asciiTheme="majorHAnsi" w:hAnsiTheme="majorHAnsi" w:cstheme="majorHAnsi"/>
          <w:b/>
          <w:sz w:val="22"/>
        </w:rPr>
        <w:t>Transacciones internacionales de electricidad con Colombia y Perú</w:t>
      </w:r>
    </w:p>
    <w:p w14:paraId="649C7882" w14:textId="77777777" w:rsidR="00C420E7" w:rsidRDefault="00C420E7" w:rsidP="00C420E7">
      <w:pPr>
        <w:jc w:val="both"/>
        <w:rPr>
          <w:rFonts w:ascii="Calibri Light" w:eastAsia="Calibri" w:hAnsi="Calibri Light" w:cs="Calibri Light"/>
          <w:color w:val="000000"/>
          <w:sz w:val="22"/>
          <w:szCs w:val="22"/>
        </w:rPr>
      </w:pPr>
      <w:r>
        <w:rPr>
          <w:rFonts w:ascii="Calibri Light" w:eastAsia="Calibri" w:hAnsi="Calibri Light" w:cs="Calibri Light"/>
          <w:color w:val="000000"/>
          <w:sz w:val="22"/>
          <w:szCs w:val="22"/>
        </w:rPr>
        <w:t>El</w:t>
      </w:r>
      <w:r w:rsidRPr="006324EF">
        <w:rPr>
          <w:rFonts w:ascii="Calibri Light" w:eastAsia="Calibri" w:hAnsi="Calibri Light" w:cs="Calibri Light"/>
          <w:color w:val="000000"/>
          <w:sz w:val="22"/>
          <w:szCs w:val="22"/>
        </w:rPr>
        <w:t xml:space="preserve"> rol estratégico del país dentro del mercado eléctrico regional evidencia el intercambio energético como un mecanismo complementario para garantizar la cobertura de la demanda nacional y optimizar el uso de los recursos disponibles.</w:t>
      </w:r>
      <w:r>
        <w:rPr>
          <w:rFonts w:ascii="Calibri Light" w:eastAsia="Calibri" w:hAnsi="Calibri Light" w:cs="Calibri Light"/>
          <w:color w:val="000000"/>
          <w:sz w:val="22"/>
          <w:szCs w:val="22"/>
        </w:rPr>
        <w:t xml:space="preserve"> </w:t>
      </w:r>
      <w:r w:rsidRPr="006324EF">
        <w:rPr>
          <w:rFonts w:ascii="Calibri Light" w:eastAsia="Calibri" w:hAnsi="Calibri Light" w:cs="Calibri Light"/>
          <w:color w:val="000000"/>
          <w:sz w:val="22"/>
          <w:szCs w:val="22"/>
        </w:rPr>
        <w:t xml:space="preserve">En el año 2024, Ecuador realizó transacciones internacionales de electricidad con Colombia y Perú. En total, se exportaron </w:t>
      </w:r>
      <w:r>
        <w:rPr>
          <w:rFonts w:ascii="Calibri Light" w:eastAsia="Calibri" w:hAnsi="Calibri Light" w:cs="Calibri Light"/>
          <w:color w:val="000000"/>
          <w:sz w:val="22"/>
          <w:szCs w:val="22"/>
        </w:rPr>
        <w:t>45,13</w:t>
      </w:r>
      <w:r w:rsidRPr="006324EF">
        <w:rPr>
          <w:rFonts w:ascii="Calibri Light" w:eastAsia="Calibri" w:hAnsi="Calibri Light" w:cs="Calibri Light"/>
          <w:color w:val="000000"/>
          <w:sz w:val="22"/>
          <w:szCs w:val="22"/>
        </w:rPr>
        <w:t xml:space="preserve"> GWh. Por otro lado, se importaron 1</w:t>
      </w:r>
      <w:r>
        <w:rPr>
          <w:rFonts w:ascii="Calibri Light" w:eastAsia="Calibri" w:hAnsi="Calibri Light" w:cs="Calibri Light"/>
          <w:color w:val="000000"/>
          <w:sz w:val="22"/>
          <w:szCs w:val="22"/>
        </w:rPr>
        <w:t>.</w:t>
      </w:r>
      <w:r w:rsidRPr="006324EF">
        <w:rPr>
          <w:rFonts w:ascii="Calibri Light" w:eastAsia="Calibri" w:hAnsi="Calibri Light" w:cs="Calibri Light"/>
          <w:color w:val="000000"/>
          <w:sz w:val="22"/>
          <w:szCs w:val="22"/>
        </w:rPr>
        <w:t>2</w:t>
      </w:r>
      <w:r>
        <w:rPr>
          <w:rFonts w:ascii="Calibri Light" w:eastAsia="Calibri" w:hAnsi="Calibri Light" w:cs="Calibri Light"/>
          <w:color w:val="000000"/>
          <w:sz w:val="22"/>
          <w:szCs w:val="22"/>
        </w:rPr>
        <w:t>69,55</w:t>
      </w:r>
      <w:r w:rsidRPr="006324EF">
        <w:rPr>
          <w:rFonts w:ascii="Calibri Light" w:eastAsia="Calibri" w:hAnsi="Calibri Light" w:cs="Calibri Light"/>
          <w:color w:val="000000"/>
          <w:sz w:val="22"/>
          <w:szCs w:val="22"/>
        </w:rPr>
        <w:t xml:space="preserve"> GWh</w:t>
      </w:r>
      <w:r>
        <w:rPr>
          <w:rFonts w:ascii="Calibri Light" w:eastAsia="Calibri" w:hAnsi="Calibri Light" w:cs="Calibri Light"/>
          <w:color w:val="000000"/>
          <w:sz w:val="22"/>
          <w:szCs w:val="22"/>
        </w:rPr>
        <w:t>.</w:t>
      </w:r>
    </w:p>
    <w:p w14:paraId="168640C7" w14:textId="14FA8165" w:rsidR="001E01AE" w:rsidRDefault="00C420E7" w:rsidP="001E01AE">
      <w:pPr>
        <w:pStyle w:val="Descripcin"/>
        <w:jc w:val="left"/>
      </w:pPr>
      <w:bookmarkStart w:id="318" w:name="_Toc198110403"/>
      <w:r w:rsidRPr="001E01AE">
        <w:rPr>
          <w:rFonts w:asciiTheme="majorHAnsi" w:hAnsiTheme="majorHAnsi" w:cstheme="majorHAnsi"/>
        </w:rPr>
        <w:t xml:space="preserve">. </w:t>
      </w:r>
      <w:bookmarkEnd w:id="318"/>
    </w:p>
    <w:p w14:paraId="3E093F9B" w14:textId="1C8485E8" w:rsidR="001E01AE" w:rsidRPr="001E01AE" w:rsidRDefault="001E01AE" w:rsidP="001E01AE">
      <w:pPr>
        <w:pStyle w:val="Descripcin"/>
        <w:rPr>
          <w:rFonts w:asciiTheme="majorHAnsi" w:hAnsiTheme="majorHAnsi" w:cstheme="majorHAnsi"/>
        </w:rPr>
      </w:pPr>
      <w:bookmarkStart w:id="319" w:name="_Toc199757566"/>
      <w:r w:rsidRPr="001E01AE">
        <w:rPr>
          <w:rFonts w:asciiTheme="majorHAnsi" w:hAnsiTheme="majorHAnsi" w:cstheme="majorHAnsi"/>
        </w:rPr>
        <w:t xml:space="preserve">Figura </w:t>
      </w:r>
      <w:r w:rsidRPr="001E01AE">
        <w:rPr>
          <w:rFonts w:asciiTheme="majorHAnsi" w:hAnsiTheme="majorHAnsi" w:cstheme="majorHAnsi"/>
        </w:rPr>
        <w:fldChar w:fldCharType="begin"/>
      </w:r>
      <w:r w:rsidRPr="001E01AE">
        <w:rPr>
          <w:rFonts w:asciiTheme="majorHAnsi" w:hAnsiTheme="majorHAnsi" w:cstheme="majorHAnsi"/>
        </w:rPr>
        <w:instrText xml:space="preserve"> SEQ Figura \* ARABIC </w:instrText>
      </w:r>
      <w:r w:rsidRPr="001E01AE">
        <w:rPr>
          <w:rFonts w:asciiTheme="majorHAnsi" w:hAnsiTheme="majorHAnsi" w:cstheme="majorHAnsi"/>
        </w:rPr>
        <w:fldChar w:fldCharType="separate"/>
      </w:r>
      <w:r w:rsidR="00EC08B4">
        <w:rPr>
          <w:rFonts w:asciiTheme="majorHAnsi" w:hAnsiTheme="majorHAnsi" w:cstheme="majorHAnsi"/>
          <w:noProof/>
        </w:rPr>
        <w:t>23</w:t>
      </w:r>
      <w:r w:rsidRPr="001E01AE">
        <w:rPr>
          <w:rFonts w:asciiTheme="majorHAnsi" w:hAnsiTheme="majorHAnsi" w:cstheme="majorHAnsi"/>
        </w:rPr>
        <w:fldChar w:fldCharType="end"/>
      </w:r>
      <w:r w:rsidR="0016337C">
        <w:rPr>
          <w:rFonts w:asciiTheme="majorHAnsi" w:hAnsiTheme="majorHAnsi" w:cstheme="majorHAnsi"/>
        </w:rPr>
        <w:t xml:space="preserve">. </w:t>
      </w:r>
      <w:r w:rsidRPr="001E01AE">
        <w:rPr>
          <w:rFonts w:asciiTheme="majorHAnsi" w:hAnsiTheme="majorHAnsi" w:cstheme="majorHAnsi"/>
        </w:rPr>
        <w:t>Transacciones Internacionales de Electricidad con Colombia y Perú (GWh)</w:t>
      </w:r>
      <w:bookmarkEnd w:id="319"/>
    </w:p>
    <w:p w14:paraId="3ACBEBDF" w14:textId="77777777" w:rsidR="00C420E7" w:rsidRDefault="00C420E7" w:rsidP="00C420E7">
      <w:pPr>
        <w:pStyle w:val="NormalWeb"/>
        <w:spacing w:before="0" w:beforeAutospacing="0" w:after="0" w:afterAutospacing="0"/>
        <w:jc w:val="center"/>
      </w:pPr>
      <w:r>
        <w:rPr>
          <w:noProof/>
        </w:rPr>
        <w:drawing>
          <wp:inline distT="0" distB="0" distL="0" distR="0" wp14:anchorId="2788E450" wp14:editId="6C320889">
            <wp:extent cx="5047699" cy="2172361"/>
            <wp:effectExtent l="0" t="0" r="635" b="18415"/>
            <wp:docPr id="1421088707" name="Gráfico 1421088707">
              <a:extLst xmlns:a="http://schemas.openxmlformats.org/drawingml/2006/main">
                <a:ext uri="{FF2B5EF4-FFF2-40B4-BE49-F238E27FC236}">
                  <a16:creationId xmlns:a16="http://schemas.microsoft.com/office/drawing/2014/main" id="{6D0F5137-73AA-4506-A50C-0193F2A88E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C24A5CD" w14:textId="77777777" w:rsidR="00C420E7" w:rsidRPr="001E01AE" w:rsidRDefault="00C420E7" w:rsidP="00C420E7">
      <w:pPr>
        <w:jc w:val="center"/>
        <w:rPr>
          <w:rFonts w:asciiTheme="majorHAnsi" w:hAnsiTheme="majorHAnsi" w:cstheme="majorHAnsi"/>
          <w:i/>
          <w:color w:val="7F7F7F" w:themeColor="text1" w:themeTint="80"/>
          <w:sz w:val="18"/>
          <w:szCs w:val="18"/>
        </w:rPr>
      </w:pPr>
      <w:r w:rsidRPr="001E01AE">
        <w:rPr>
          <w:rFonts w:asciiTheme="majorHAnsi" w:hAnsiTheme="majorHAnsi" w:cstheme="majorHAnsi"/>
          <w:i/>
          <w:color w:val="7F7F7F" w:themeColor="text1" w:themeTint="80"/>
          <w:sz w:val="18"/>
          <w:szCs w:val="18"/>
        </w:rPr>
        <w:t>Fuente: Operador Nacional de Electricidad 2024.</w:t>
      </w:r>
    </w:p>
    <w:p w14:paraId="4B63D796" w14:textId="77777777" w:rsidR="00192E54" w:rsidRDefault="00192E54" w:rsidP="00C420E7">
      <w:pPr>
        <w:rPr>
          <w:rFonts w:asciiTheme="majorHAnsi" w:hAnsiTheme="majorHAnsi" w:cstheme="majorHAnsi"/>
          <w:b/>
          <w:sz w:val="22"/>
        </w:rPr>
      </w:pPr>
    </w:p>
    <w:p w14:paraId="35D8506C" w14:textId="77777777" w:rsidR="00941411" w:rsidRDefault="00941411" w:rsidP="00C420E7">
      <w:pPr>
        <w:spacing w:before="120" w:after="120"/>
        <w:rPr>
          <w:rFonts w:asciiTheme="majorHAnsi" w:hAnsiTheme="majorHAnsi" w:cstheme="majorHAnsi"/>
          <w:b/>
          <w:sz w:val="22"/>
        </w:rPr>
      </w:pPr>
    </w:p>
    <w:p w14:paraId="6B5A9C48" w14:textId="77777777" w:rsidR="00941411" w:rsidRDefault="00941411" w:rsidP="00C420E7">
      <w:pPr>
        <w:spacing w:before="120" w:after="120"/>
        <w:rPr>
          <w:rFonts w:asciiTheme="majorHAnsi" w:hAnsiTheme="majorHAnsi" w:cstheme="majorHAnsi"/>
          <w:b/>
          <w:sz w:val="22"/>
        </w:rPr>
      </w:pPr>
    </w:p>
    <w:p w14:paraId="505DE632" w14:textId="46920870" w:rsidR="00C420E7" w:rsidRDefault="00C420E7" w:rsidP="00C420E7">
      <w:pPr>
        <w:spacing w:before="120" w:after="120"/>
        <w:rPr>
          <w:rFonts w:asciiTheme="majorHAnsi" w:hAnsiTheme="majorHAnsi" w:cstheme="majorHAnsi"/>
          <w:b/>
          <w:sz w:val="22"/>
        </w:rPr>
      </w:pPr>
      <w:r>
        <w:rPr>
          <w:rFonts w:asciiTheme="majorHAnsi" w:hAnsiTheme="majorHAnsi" w:cstheme="majorHAnsi"/>
          <w:b/>
          <w:sz w:val="22"/>
        </w:rPr>
        <w:lastRenderedPageBreak/>
        <w:t>Periodo de estiaje 2024</w:t>
      </w:r>
    </w:p>
    <w:p w14:paraId="3D54E421" w14:textId="77777777" w:rsidR="00C420E7" w:rsidRDefault="00C420E7" w:rsidP="00C420E7">
      <w:pPr>
        <w:jc w:val="both"/>
        <w:rPr>
          <w:rFonts w:ascii="Calibri Light" w:eastAsia="Calibri" w:hAnsi="Calibri Light" w:cs="Calibri Light"/>
          <w:color w:val="000000"/>
          <w:sz w:val="22"/>
          <w:szCs w:val="22"/>
        </w:rPr>
      </w:pPr>
      <w:r w:rsidRPr="002929ED">
        <w:rPr>
          <w:rFonts w:ascii="Calibri Light" w:eastAsia="Calibri" w:hAnsi="Calibri Light" w:cs="Calibri Light"/>
          <w:color w:val="000000"/>
          <w:sz w:val="22"/>
          <w:szCs w:val="22"/>
        </w:rPr>
        <w:t>Orientados a garantizar la operación segura, económica y dentro de los parámetros de calidad del Sistema Nacional Interconectado, se dispuso a todas las instituciones, empresas relacionadas y vinculadas con el sector eléctrico dentro del ámbito de vuestras competencias, la articulación de acciones para el cumplimiento de las disposiciones y circulares emitidos por esta cartera de estado garantizando la continuidad del suministro de energía eléctrica al país</w:t>
      </w:r>
      <w:r>
        <w:rPr>
          <w:rFonts w:ascii="Calibri Light" w:eastAsia="Calibri" w:hAnsi="Calibri Light" w:cs="Calibri Light"/>
          <w:color w:val="000000"/>
          <w:sz w:val="22"/>
          <w:szCs w:val="22"/>
        </w:rPr>
        <w:t>.</w:t>
      </w:r>
    </w:p>
    <w:p w14:paraId="28E5AC8D" w14:textId="42C50A4E" w:rsidR="00C420E7" w:rsidRPr="002929ED" w:rsidRDefault="00C420E7" w:rsidP="00C420E7">
      <w:pPr>
        <w:jc w:val="both"/>
        <w:rPr>
          <w:rFonts w:ascii="Calibri Light" w:eastAsia="Calibri" w:hAnsi="Calibri Light" w:cs="Calibri Light"/>
          <w:color w:val="000000"/>
          <w:sz w:val="22"/>
          <w:szCs w:val="22"/>
        </w:rPr>
      </w:pPr>
    </w:p>
    <w:p w14:paraId="0E19744B" w14:textId="77777777" w:rsidR="00C420E7" w:rsidRDefault="00C420E7" w:rsidP="00C420E7">
      <w:pPr>
        <w:spacing w:before="120" w:after="120"/>
        <w:rPr>
          <w:rFonts w:asciiTheme="majorHAnsi" w:hAnsiTheme="majorHAnsi" w:cstheme="majorHAnsi"/>
          <w:b/>
          <w:sz w:val="22"/>
        </w:rPr>
      </w:pPr>
      <w:r>
        <w:rPr>
          <w:rFonts w:asciiTheme="majorHAnsi" w:hAnsiTheme="majorHAnsi" w:cstheme="majorHAnsi"/>
          <w:b/>
          <w:sz w:val="22"/>
        </w:rPr>
        <w:t>Recuperación de las unidades de generación Hidroeléctrico – Térmico</w:t>
      </w:r>
    </w:p>
    <w:p w14:paraId="018F1746" w14:textId="77777777" w:rsidR="00C420E7" w:rsidRPr="002929ED" w:rsidRDefault="00C420E7" w:rsidP="00C420E7">
      <w:pPr>
        <w:spacing w:before="120" w:after="120"/>
        <w:jc w:val="both"/>
        <w:rPr>
          <w:rFonts w:ascii="Calibri Light" w:eastAsia="Calibri" w:hAnsi="Calibri Light" w:cs="Calibri Light"/>
          <w:color w:val="000000"/>
          <w:sz w:val="22"/>
          <w:szCs w:val="22"/>
        </w:rPr>
      </w:pPr>
      <w:r w:rsidRPr="002929ED">
        <w:rPr>
          <w:rFonts w:ascii="Calibri Light" w:eastAsia="Calibri" w:hAnsi="Calibri Light" w:cs="Calibri Light"/>
          <w:color w:val="000000"/>
          <w:sz w:val="22"/>
          <w:szCs w:val="22"/>
        </w:rPr>
        <w:t>En el marco del “Plan de Recuperación del Parque Termoeléctrico”, CELEC EP ha impulsado acciones estratégicas orientadas a la rehabilitación de unidades de generación termoeléctrica.</w:t>
      </w:r>
    </w:p>
    <w:p w14:paraId="09C41A4B" w14:textId="36218F5C" w:rsidR="001E01AE" w:rsidRDefault="00C420E7" w:rsidP="00C420E7">
      <w:pPr>
        <w:spacing w:after="120"/>
        <w:jc w:val="both"/>
        <w:rPr>
          <w:rFonts w:ascii="Calibri Light" w:eastAsia="Calibri" w:hAnsi="Calibri Light" w:cs="Calibri Light"/>
          <w:color w:val="000000"/>
          <w:sz w:val="22"/>
          <w:szCs w:val="22"/>
        </w:rPr>
      </w:pPr>
      <w:r w:rsidRPr="002929ED">
        <w:rPr>
          <w:rFonts w:ascii="Calibri Light" w:eastAsia="Calibri" w:hAnsi="Calibri Light" w:cs="Calibri Light"/>
          <w:color w:val="000000"/>
          <w:sz w:val="22"/>
          <w:szCs w:val="22"/>
        </w:rPr>
        <w:t xml:space="preserve">Durante el año 2024, se logró la recuperación de las centrales termoeléctricas Enrique García (96 MW), Trinitaria (85 MW) y Esmeraldas I (112,5 MW) además, se realizó la reposición de 20,4 MW de la central Quevedo II y 8,5 MW de potencia de la central Santa Elena, respectivamente. Adicionalmente, se puede mencionar como parte del rol de seguimiento la incorporación de </w:t>
      </w:r>
      <w:r w:rsidRPr="002929ED">
        <w:rPr>
          <w:rFonts w:ascii="Calibri Light" w:eastAsia="Calibri" w:hAnsi="Calibri Light" w:cs="Calibri Light"/>
          <w:bCs/>
          <w:color w:val="000000"/>
          <w:sz w:val="22"/>
          <w:szCs w:val="22"/>
        </w:rPr>
        <w:t>475 MW de nueva generación</w:t>
      </w:r>
      <w:r w:rsidRPr="002929ED">
        <w:rPr>
          <w:rFonts w:ascii="Calibri Light" w:eastAsia="Calibri" w:hAnsi="Calibri Light" w:cs="Calibri Light"/>
          <w:color w:val="000000"/>
          <w:sz w:val="22"/>
          <w:szCs w:val="22"/>
        </w:rPr>
        <w:t>, conforme análisis de suficiencia del CENACE para el estiaje 2024–2025 en este contexto, la Corporación Eléctrica del Ecuador - CELEC EP ha gestionado la adquisición de nueva capacidad de generación de Ebert Bay y Murat Bay (alquiler de generación) con 105 MW y 80 MW que se han puesto en marcha durante el 2024.</w:t>
      </w:r>
    </w:p>
    <w:p w14:paraId="69D97769" w14:textId="77777777" w:rsidR="00C420E7" w:rsidRDefault="00C420E7" w:rsidP="00C420E7">
      <w:pPr>
        <w:spacing w:after="120"/>
        <w:jc w:val="both"/>
        <w:rPr>
          <w:rFonts w:ascii="Calibri Light" w:eastAsia="Calibri" w:hAnsi="Calibri Light" w:cs="Calibri Light"/>
          <w:color w:val="000000"/>
          <w:sz w:val="22"/>
          <w:szCs w:val="22"/>
        </w:rPr>
      </w:pPr>
      <w:r>
        <w:rPr>
          <w:rFonts w:ascii="Calibri Light" w:eastAsia="Calibri" w:hAnsi="Calibri Light" w:cs="Calibri Light"/>
          <w:color w:val="000000"/>
          <w:sz w:val="22"/>
          <w:szCs w:val="22"/>
        </w:rPr>
        <w:t xml:space="preserve">En el mismo contexto, se realizó un seguimiento a la planificación de recuperación de otras unidades estratégicas que se podrían mencionar: </w:t>
      </w:r>
    </w:p>
    <w:p w14:paraId="56C6DD92" w14:textId="77777777" w:rsidR="00C420E7" w:rsidRPr="003F0154" w:rsidRDefault="00C420E7" w:rsidP="00C420E7">
      <w:pPr>
        <w:pStyle w:val="Prrafodelista"/>
        <w:numPr>
          <w:ilvl w:val="0"/>
          <w:numId w:val="184"/>
        </w:numPr>
        <w:jc w:val="both"/>
        <w:rPr>
          <w:rFonts w:asciiTheme="majorHAnsi" w:hAnsiTheme="majorHAnsi" w:cstheme="majorHAnsi"/>
          <w:b/>
          <w:sz w:val="22"/>
        </w:rPr>
      </w:pPr>
      <w:r w:rsidRPr="003F0154">
        <w:rPr>
          <w:rFonts w:asciiTheme="majorHAnsi" w:hAnsiTheme="majorHAnsi" w:cstheme="majorHAnsi"/>
          <w:b/>
          <w:sz w:val="22"/>
        </w:rPr>
        <w:t xml:space="preserve">Recuperación de las unidades U2 </w:t>
      </w:r>
      <w:proofErr w:type="spellStart"/>
      <w:r w:rsidRPr="003F0154">
        <w:rPr>
          <w:rFonts w:asciiTheme="majorHAnsi" w:hAnsiTheme="majorHAnsi" w:cstheme="majorHAnsi"/>
          <w:b/>
          <w:sz w:val="22"/>
        </w:rPr>
        <w:t>Nayón</w:t>
      </w:r>
      <w:proofErr w:type="spellEnd"/>
      <w:r w:rsidRPr="003F0154">
        <w:rPr>
          <w:rFonts w:asciiTheme="majorHAnsi" w:hAnsiTheme="majorHAnsi" w:cstheme="majorHAnsi"/>
          <w:b/>
          <w:sz w:val="22"/>
        </w:rPr>
        <w:t xml:space="preserve"> y U6 </w:t>
      </w:r>
      <w:proofErr w:type="spellStart"/>
      <w:r w:rsidRPr="003F0154">
        <w:rPr>
          <w:rFonts w:asciiTheme="majorHAnsi" w:hAnsiTheme="majorHAnsi" w:cstheme="majorHAnsi"/>
          <w:b/>
          <w:sz w:val="22"/>
        </w:rPr>
        <w:t>Guangopolo</w:t>
      </w:r>
      <w:proofErr w:type="spellEnd"/>
      <w:r>
        <w:rPr>
          <w:rFonts w:asciiTheme="majorHAnsi" w:hAnsiTheme="majorHAnsi" w:cstheme="majorHAnsi"/>
          <w:b/>
          <w:sz w:val="22"/>
        </w:rPr>
        <w:t xml:space="preserve">: </w:t>
      </w:r>
      <w:r w:rsidRPr="003F0154">
        <w:rPr>
          <w:rFonts w:ascii="Calibri Light" w:eastAsia="Times New Roman" w:hAnsi="Calibri Light" w:cs="Calibri Light"/>
          <w:color w:val="000000"/>
          <w:sz w:val="22"/>
          <w:szCs w:val="22"/>
          <w:lang w:eastAsia="es-EC"/>
        </w:rPr>
        <w:t xml:space="preserve">U2 y U6 están disponibles para 2024 y se programó </w:t>
      </w:r>
      <w:proofErr w:type="spellStart"/>
      <w:r w:rsidRPr="003F0154">
        <w:rPr>
          <w:rFonts w:ascii="Calibri Light" w:eastAsia="Times New Roman" w:hAnsi="Calibri Light" w:cs="Calibri Light"/>
          <w:color w:val="000000"/>
          <w:sz w:val="22"/>
          <w:szCs w:val="22"/>
          <w:lang w:eastAsia="es-EC"/>
        </w:rPr>
        <w:t>Overhaul</w:t>
      </w:r>
      <w:proofErr w:type="spellEnd"/>
      <w:r w:rsidRPr="003F0154">
        <w:rPr>
          <w:rFonts w:ascii="Calibri Light" w:eastAsia="Times New Roman" w:hAnsi="Calibri Light" w:cs="Calibri Light"/>
          <w:color w:val="000000"/>
          <w:sz w:val="22"/>
          <w:szCs w:val="22"/>
          <w:lang w:eastAsia="es-EC"/>
        </w:rPr>
        <w:t xml:space="preserve"> según el Plan de Operación 2024–2025.</w:t>
      </w:r>
    </w:p>
    <w:p w14:paraId="262F0F7E" w14:textId="77777777" w:rsidR="00C420E7" w:rsidRPr="005A0227" w:rsidRDefault="00C420E7" w:rsidP="00C420E7">
      <w:pPr>
        <w:pStyle w:val="Prrafodelista"/>
        <w:numPr>
          <w:ilvl w:val="0"/>
          <w:numId w:val="184"/>
        </w:numPr>
        <w:jc w:val="both"/>
        <w:rPr>
          <w:rFonts w:asciiTheme="majorHAnsi" w:hAnsiTheme="majorHAnsi" w:cstheme="majorHAnsi"/>
          <w:b/>
          <w:sz w:val="22"/>
        </w:rPr>
      </w:pPr>
      <w:r w:rsidRPr="003F0154">
        <w:rPr>
          <w:rFonts w:ascii="Calibri Light" w:eastAsia="Times New Roman" w:hAnsi="Calibri Light" w:cs="Calibri Light"/>
          <w:b/>
          <w:bCs/>
          <w:color w:val="000000"/>
          <w:sz w:val="22"/>
          <w:szCs w:val="22"/>
          <w:lang w:eastAsia="es-EC"/>
        </w:rPr>
        <w:t>Mantenimiento Central Enrique García</w:t>
      </w:r>
      <w:r>
        <w:rPr>
          <w:rFonts w:ascii="Calibri Light" w:eastAsia="Times New Roman" w:hAnsi="Calibri Light" w:cs="Calibri Light"/>
          <w:b/>
          <w:bCs/>
          <w:color w:val="000000"/>
          <w:sz w:val="22"/>
          <w:szCs w:val="22"/>
          <w:lang w:eastAsia="es-EC"/>
        </w:rPr>
        <w:t>:</w:t>
      </w:r>
      <w:r>
        <w:rPr>
          <w:rFonts w:ascii="Calibri Light" w:eastAsia="Times New Roman" w:hAnsi="Calibri Light" w:cs="Calibri Light"/>
          <w:color w:val="000000"/>
          <w:sz w:val="22"/>
          <w:szCs w:val="22"/>
          <w:lang w:eastAsia="es-EC"/>
        </w:rPr>
        <w:t xml:space="preserve"> </w:t>
      </w:r>
      <w:r w:rsidRPr="003F0154">
        <w:rPr>
          <w:rFonts w:ascii="Calibri Light" w:eastAsia="Times New Roman" w:hAnsi="Calibri Light" w:cs="Calibri Light"/>
          <w:color w:val="000000"/>
          <w:sz w:val="22"/>
          <w:szCs w:val="22"/>
          <w:lang w:eastAsia="es-EC"/>
        </w:rPr>
        <w:t>La Central Enrique García fue recuperada en octubre 2024 tras un seguimiento intensivo por su importancia en el estiaje.</w:t>
      </w:r>
    </w:p>
    <w:p w14:paraId="76722C5D" w14:textId="77777777" w:rsidR="00C420E7" w:rsidRPr="005A0227" w:rsidRDefault="00C420E7" w:rsidP="00C420E7">
      <w:pPr>
        <w:pStyle w:val="Prrafodelista"/>
        <w:numPr>
          <w:ilvl w:val="0"/>
          <w:numId w:val="184"/>
        </w:numPr>
        <w:jc w:val="both"/>
        <w:rPr>
          <w:rFonts w:asciiTheme="majorHAnsi" w:hAnsiTheme="majorHAnsi" w:cstheme="majorHAnsi"/>
          <w:b/>
          <w:sz w:val="22"/>
        </w:rPr>
      </w:pPr>
      <w:r w:rsidRPr="00146906">
        <w:rPr>
          <w:rFonts w:ascii="Calibri Light" w:eastAsia="Times New Roman" w:hAnsi="Calibri Light" w:cs="Calibri Light"/>
          <w:b/>
          <w:bCs/>
          <w:color w:val="000000"/>
          <w:sz w:val="22"/>
          <w:szCs w:val="22"/>
          <w:lang w:eastAsia="es-EC"/>
        </w:rPr>
        <w:t>Recuperación Unidad 2 de Sopladora</w:t>
      </w:r>
      <w:r>
        <w:rPr>
          <w:rFonts w:ascii="Calibri Light" w:eastAsia="Times New Roman" w:hAnsi="Calibri Light" w:cs="Calibri Light"/>
          <w:b/>
          <w:bCs/>
          <w:color w:val="000000"/>
          <w:sz w:val="22"/>
          <w:szCs w:val="22"/>
          <w:lang w:eastAsia="es-EC"/>
        </w:rPr>
        <w:t xml:space="preserve">: </w:t>
      </w:r>
      <w:r w:rsidRPr="00146906">
        <w:rPr>
          <w:rFonts w:ascii="Calibri Light" w:eastAsia="Times New Roman" w:hAnsi="Calibri Light" w:cs="Calibri Light"/>
          <w:color w:val="000000"/>
          <w:sz w:val="22"/>
          <w:szCs w:val="22"/>
          <w:lang w:eastAsia="es-EC"/>
        </w:rPr>
        <w:t>La Unidad 2 de Sopladora operó al 80% desde julio de 2024; su recuperación total se prevé para 2025.</w:t>
      </w:r>
    </w:p>
    <w:p w14:paraId="151CD297" w14:textId="77777777" w:rsidR="00C420E7" w:rsidRPr="00851383" w:rsidRDefault="00C420E7" w:rsidP="00C420E7">
      <w:pPr>
        <w:pStyle w:val="Prrafodelista"/>
        <w:numPr>
          <w:ilvl w:val="0"/>
          <w:numId w:val="184"/>
        </w:numPr>
        <w:jc w:val="both"/>
        <w:rPr>
          <w:rFonts w:asciiTheme="majorHAnsi" w:hAnsiTheme="majorHAnsi" w:cstheme="majorHAnsi"/>
          <w:b/>
          <w:sz w:val="22"/>
        </w:rPr>
      </w:pPr>
      <w:r w:rsidRPr="00146906">
        <w:rPr>
          <w:rFonts w:ascii="Calibri Light" w:eastAsia="Times New Roman" w:hAnsi="Calibri Light" w:cs="Calibri Light"/>
          <w:b/>
          <w:bCs/>
          <w:color w:val="000000"/>
          <w:sz w:val="22"/>
          <w:szCs w:val="22"/>
          <w:lang w:eastAsia="es-EC"/>
        </w:rPr>
        <w:t xml:space="preserve">Seguimiento Central </w:t>
      </w:r>
      <w:proofErr w:type="spellStart"/>
      <w:r w:rsidRPr="00146906">
        <w:rPr>
          <w:rFonts w:ascii="Calibri Light" w:eastAsia="Times New Roman" w:hAnsi="Calibri Light" w:cs="Calibri Light"/>
          <w:b/>
          <w:bCs/>
          <w:color w:val="000000"/>
          <w:sz w:val="22"/>
          <w:szCs w:val="22"/>
          <w:lang w:eastAsia="es-EC"/>
        </w:rPr>
        <w:t>Delsitanisagua</w:t>
      </w:r>
      <w:proofErr w:type="spellEnd"/>
      <w:r>
        <w:rPr>
          <w:rFonts w:ascii="Calibri Light" w:eastAsia="Times New Roman" w:hAnsi="Calibri Light" w:cs="Calibri Light"/>
          <w:b/>
          <w:bCs/>
          <w:color w:val="000000"/>
          <w:sz w:val="22"/>
          <w:szCs w:val="22"/>
          <w:lang w:eastAsia="es-EC"/>
        </w:rPr>
        <w:t xml:space="preserve">: </w:t>
      </w:r>
      <w:r w:rsidRPr="00146906">
        <w:rPr>
          <w:rFonts w:ascii="Calibri Light" w:eastAsia="Times New Roman" w:hAnsi="Calibri Light" w:cs="Calibri Light"/>
          <w:color w:val="000000"/>
          <w:sz w:val="22"/>
          <w:szCs w:val="22"/>
          <w:lang w:eastAsia="es-EC"/>
        </w:rPr>
        <w:t xml:space="preserve">Se cumplió el 100% del mantenimiento en </w:t>
      </w:r>
      <w:proofErr w:type="spellStart"/>
      <w:r w:rsidRPr="00146906">
        <w:rPr>
          <w:rFonts w:ascii="Calibri Light" w:eastAsia="Times New Roman" w:hAnsi="Calibri Light" w:cs="Calibri Light"/>
          <w:color w:val="000000"/>
          <w:sz w:val="22"/>
          <w:szCs w:val="22"/>
          <w:lang w:eastAsia="es-EC"/>
        </w:rPr>
        <w:t>Delsitanisagua</w:t>
      </w:r>
      <w:proofErr w:type="spellEnd"/>
      <w:r w:rsidRPr="00146906">
        <w:rPr>
          <w:rFonts w:ascii="Calibri Light" w:eastAsia="Times New Roman" w:hAnsi="Calibri Light" w:cs="Calibri Light"/>
          <w:color w:val="000000"/>
          <w:sz w:val="22"/>
          <w:szCs w:val="22"/>
          <w:lang w:eastAsia="es-EC"/>
        </w:rPr>
        <w:t xml:space="preserve"> en 2024, pero algunas acciones continuarán en 2025.</w:t>
      </w:r>
    </w:p>
    <w:p w14:paraId="0DC7A66D" w14:textId="77777777" w:rsidR="00C420E7" w:rsidRPr="00851383" w:rsidRDefault="00C420E7" w:rsidP="00C420E7">
      <w:pPr>
        <w:pStyle w:val="Prrafodelista"/>
        <w:numPr>
          <w:ilvl w:val="0"/>
          <w:numId w:val="184"/>
        </w:numPr>
        <w:jc w:val="both"/>
        <w:rPr>
          <w:rFonts w:asciiTheme="majorHAnsi" w:hAnsiTheme="majorHAnsi" w:cstheme="majorHAnsi"/>
          <w:b/>
          <w:sz w:val="22"/>
        </w:rPr>
      </w:pPr>
      <w:r w:rsidRPr="00146906">
        <w:rPr>
          <w:rFonts w:ascii="Calibri Light" w:eastAsia="Times New Roman" w:hAnsi="Calibri Light" w:cs="Calibri Light"/>
          <w:b/>
          <w:bCs/>
          <w:color w:val="000000"/>
          <w:sz w:val="22"/>
          <w:szCs w:val="22"/>
          <w:lang w:eastAsia="es-EC"/>
        </w:rPr>
        <w:t>Traspaso Subestación Puerto Napo</w:t>
      </w:r>
      <w:r>
        <w:rPr>
          <w:rFonts w:ascii="Calibri Light" w:eastAsia="Times New Roman" w:hAnsi="Calibri Light" w:cs="Calibri Light"/>
          <w:b/>
          <w:bCs/>
          <w:color w:val="000000"/>
          <w:sz w:val="22"/>
          <w:szCs w:val="22"/>
          <w:lang w:eastAsia="es-EC"/>
        </w:rPr>
        <w:t xml:space="preserve">: </w:t>
      </w:r>
      <w:r w:rsidRPr="00146906">
        <w:rPr>
          <w:rFonts w:ascii="Calibri Light" w:eastAsia="Times New Roman" w:hAnsi="Calibri Light" w:cs="Calibri Light"/>
          <w:color w:val="000000"/>
          <w:sz w:val="22"/>
          <w:szCs w:val="22"/>
          <w:lang w:eastAsia="es-EC"/>
        </w:rPr>
        <w:t>El traspaso de la Subestación Puerto Napo se retrasó en 2024, previéndose su culminación en 2025.</w:t>
      </w:r>
    </w:p>
    <w:p w14:paraId="3F486695" w14:textId="77777777" w:rsidR="00C420E7" w:rsidRPr="00851383" w:rsidRDefault="00C420E7" w:rsidP="00C420E7">
      <w:pPr>
        <w:pStyle w:val="Prrafodelista"/>
        <w:numPr>
          <w:ilvl w:val="0"/>
          <w:numId w:val="184"/>
        </w:numPr>
        <w:jc w:val="both"/>
        <w:rPr>
          <w:rFonts w:asciiTheme="majorHAnsi" w:hAnsiTheme="majorHAnsi" w:cstheme="majorHAnsi"/>
          <w:b/>
          <w:sz w:val="22"/>
        </w:rPr>
      </w:pPr>
      <w:r w:rsidRPr="00851383">
        <w:rPr>
          <w:rFonts w:ascii="Calibri Light" w:eastAsia="Times New Roman" w:hAnsi="Calibri Light" w:cs="Calibri Light"/>
          <w:b/>
          <w:bCs/>
          <w:color w:val="000000"/>
          <w:sz w:val="22"/>
          <w:szCs w:val="22"/>
          <w:lang w:eastAsia="es-EC"/>
        </w:rPr>
        <w:t xml:space="preserve">Taller </w:t>
      </w:r>
      <w:proofErr w:type="spellStart"/>
      <w:r w:rsidRPr="00851383">
        <w:rPr>
          <w:rFonts w:ascii="Calibri Light" w:eastAsia="Times New Roman" w:hAnsi="Calibri Light" w:cs="Calibri Light"/>
          <w:b/>
          <w:bCs/>
          <w:color w:val="000000"/>
          <w:sz w:val="22"/>
          <w:szCs w:val="22"/>
          <w:lang w:eastAsia="es-EC"/>
        </w:rPr>
        <w:t>Cargabilidad</w:t>
      </w:r>
      <w:proofErr w:type="spellEnd"/>
      <w:r w:rsidRPr="00851383">
        <w:rPr>
          <w:rFonts w:ascii="Calibri Light" w:eastAsia="Times New Roman" w:hAnsi="Calibri Light" w:cs="Calibri Light"/>
          <w:b/>
          <w:bCs/>
          <w:color w:val="000000"/>
          <w:sz w:val="22"/>
          <w:szCs w:val="22"/>
          <w:lang w:eastAsia="es-EC"/>
        </w:rPr>
        <w:t xml:space="preserve"> Zona Costa: </w:t>
      </w:r>
      <w:r w:rsidRPr="00851383">
        <w:rPr>
          <w:rFonts w:ascii="Calibri Light" w:eastAsia="Times New Roman" w:hAnsi="Calibri Light" w:cs="Calibri Light"/>
          <w:color w:val="000000"/>
          <w:sz w:val="22"/>
          <w:szCs w:val="22"/>
          <w:lang w:eastAsia="es-EC"/>
        </w:rPr>
        <w:t>Se identificaron problemas críticos en la Zona Costa; CELEC EP avanzó con carácter operativo, especialmente en generación térmica y planificación de subestaciones estratégicas.</w:t>
      </w:r>
    </w:p>
    <w:p w14:paraId="57944ACD" w14:textId="77777777" w:rsidR="00C420E7" w:rsidRPr="00220948" w:rsidRDefault="00C420E7" w:rsidP="00C420E7">
      <w:pPr>
        <w:pStyle w:val="Prrafodelista"/>
        <w:numPr>
          <w:ilvl w:val="0"/>
          <w:numId w:val="184"/>
        </w:numPr>
        <w:jc w:val="both"/>
        <w:rPr>
          <w:rFonts w:asciiTheme="majorHAnsi" w:hAnsiTheme="majorHAnsi" w:cstheme="majorHAnsi"/>
          <w:b/>
          <w:sz w:val="22"/>
        </w:rPr>
      </w:pPr>
      <w:r w:rsidRPr="00851383">
        <w:rPr>
          <w:rFonts w:ascii="Calibri Light" w:eastAsia="Times New Roman" w:hAnsi="Calibri Light" w:cs="Calibri Light"/>
          <w:b/>
          <w:bCs/>
          <w:color w:val="000000"/>
          <w:sz w:val="22"/>
          <w:szCs w:val="22"/>
          <w:lang w:eastAsia="es-EC"/>
        </w:rPr>
        <w:t xml:space="preserve">Mantenimiento Central Marcel </w:t>
      </w:r>
      <w:proofErr w:type="spellStart"/>
      <w:r w:rsidRPr="00851383">
        <w:rPr>
          <w:rFonts w:ascii="Calibri Light" w:eastAsia="Times New Roman" w:hAnsi="Calibri Light" w:cs="Calibri Light"/>
          <w:b/>
          <w:bCs/>
          <w:color w:val="000000"/>
          <w:sz w:val="22"/>
          <w:szCs w:val="22"/>
          <w:lang w:eastAsia="es-EC"/>
        </w:rPr>
        <w:t>Laniado</w:t>
      </w:r>
      <w:proofErr w:type="spellEnd"/>
      <w:r w:rsidRPr="00851383">
        <w:rPr>
          <w:rFonts w:ascii="Calibri Light" w:eastAsia="Times New Roman" w:hAnsi="Calibri Light" w:cs="Calibri Light"/>
          <w:b/>
          <w:bCs/>
          <w:color w:val="000000"/>
          <w:sz w:val="22"/>
          <w:szCs w:val="22"/>
          <w:lang w:eastAsia="es-EC"/>
        </w:rPr>
        <w:t xml:space="preserve"> de </w:t>
      </w:r>
      <w:proofErr w:type="spellStart"/>
      <w:r w:rsidRPr="00851383">
        <w:rPr>
          <w:rFonts w:ascii="Calibri Light" w:eastAsia="Times New Roman" w:hAnsi="Calibri Light" w:cs="Calibri Light"/>
          <w:b/>
          <w:bCs/>
          <w:color w:val="000000"/>
          <w:sz w:val="22"/>
          <w:szCs w:val="22"/>
          <w:lang w:eastAsia="es-EC"/>
        </w:rPr>
        <w:t>Wind</w:t>
      </w:r>
      <w:proofErr w:type="spellEnd"/>
      <w:r w:rsidRPr="00851383">
        <w:rPr>
          <w:rFonts w:ascii="Calibri Light" w:eastAsia="Times New Roman" w:hAnsi="Calibri Light" w:cs="Calibri Light"/>
          <w:b/>
          <w:bCs/>
          <w:color w:val="000000"/>
          <w:sz w:val="22"/>
          <w:szCs w:val="22"/>
          <w:lang w:eastAsia="es-EC"/>
        </w:rPr>
        <w:t xml:space="preserve">: </w:t>
      </w:r>
      <w:r w:rsidRPr="00851383">
        <w:rPr>
          <w:rFonts w:ascii="Calibri Light" w:eastAsia="Times New Roman" w:hAnsi="Calibri Light" w:cs="Calibri Light"/>
          <w:color w:val="000000"/>
          <w:sz w:val="22"/>
          <w:szCs w:val="22"/>
          <w:lang w:eastAsia="es-EC"/>
        </w:rPr>
        <w:t xml:space="preserve">El </w:t>
      </w:r>
      <w:proofErr w:type="spellStart"/>
      <w:r w:rsidRPr="00851383">
        <w:rPr>
          <w:rFonts w:ascii="Calibri Light" w:eastAsia="Times New Roman" w:hAnsi="Calibri Light" w:cs="Calibri Light"/>
          <w:color w:val="000000"/>
          <w:sz w:val="22"/>
          <w:szCs w:val="22"/>
          <w:lang w:eastAsia="es-EC"/>
        </w:rPr>
        <w:t>Overhaul</w:t>
      </w:r>
      <w:proofErr w:type="spellEnd"/>
      <w:r w:rsidRPr="00851383">
        <w:rPr>
          <w:rFonts w:ascii="Calibri Light" w:eastAsia="Times New Roman" w:hAnsi="Calibri Light" w:cs="Calibri Light"/>
          <w:color w:val="000000"/>
          <w:sz w:val="22"/>
          <w:szCs w:val="22"/>
          <w:lang w:eastAsia="es-EC"/>
        </w:rPr>
        <w:t xml:space="preserve"> en Marcel </w:t>
      </w:r>
      <w:proofErr w:type="spellStart"/>
      <w:r w:rsidRPr="00851383">
        <w:rPr>
          <w:rFonts w:ascii="Calibri Light" w:eastAsia="Times New Roman" w:hAnsi="Calibri Light" w:cs="Calibri Light"/>
          <w:color w:val="000000"/>
          <w:sz w:val="22"/>
          <w:szCs w:val="22"/>
          <w:lang w:eastAsia="es-EC"/>
        </w:rPr>
        <w:t>Laniado</w:t>
      </w:r>
      <w:proofErr w:type="spellEnd"/>
      <w:r w:rsidRPr="00851383">
        <w:rPr>
          <w:rFonts w:ascii="Calibri Light" w:eastAsia="Times New Roman" w:hAnsi="Calibri Light" w:cs="Calibri Light"/>
          <w:color w:val="000000"/>
          <w:sz w:val="22"/>
          <w:szCs w:val="22"/>
          <w:lang w:eastAsia="es-EC"/>
        </w:rPr>
        <w:t xml:space="preserve"> de </w:t>
      </w:r>
      <w:proofErr w:type="spellStart"/>
      <w:r w:rsidRPr="00851383">
        <w:rPr>
          <w:rFonts w:ascii="Calibri Light" w:eastAsia="Times New Roman" w:hAnsi="Calibri Light" w:cs="Calibri Light"/>
          <w:color w:val="000000"/>
          <w:sz w:val="22"/>
          <w:szCs w:val="22"/>
          <w:lang w:eastAsia="es-EC"/>
        </w:rPr>
        <w:t>Wind</w:t>
      </w:r>
      <w:proofErr w:type="spellEnd"/>
      <w:r w:rsidRPr="00851383">
        <w:rPr>
          <w:rFonts w:ascii="Calibri Light" w:eastAsia="Times New Roman" w:hAnsi="Calibri Light" w:cs="Calibri Light"/>
          <w:color w:val="000000"/>
          <w:sz w:val="22"/>
          <w:szCs w:val="22"/>
          <w:lang w:eastAsia="es-EC"/>
        </w:rPr>
        <w:t xml:space="preserve"> inició en diciembre 2024 y continuará en enero 2025 debido al déficit térmico.</w:t>
      </w:r>
    </w:p>
    <w:p w14:paraId="2E49E7CB" w14:textId="52E9A7CE" w:rsidR="00EC08B4" w:rsidRPr="00181E09" w:rsidRDefault="00C420E7" w:rsidP="00C420E7">
      <w:pPr>
        <w:spacing w:before="120"/>
        <w:rPr>
          <w:rFonts w:ascii="Calibri Light" w:eastAsia="Calibri" w:hAnsi="Calibri Light" w:cs="Calibri Light"/>
          <w:color w:val="000000"/>
          <w:sz w:val="22"/>
          <w:szCs w:val="22"/>
        </w:rPr>
      </w:pPr>
      <w:r w:rsidRPr="002929ED">
        <w:rPr>
          <w:rFonts w:ascii="Calibri Light" w:eastAsia="Calibri" w:hAnsi="Calibri Light" w:cs="Calibri Light"/>
          <w:color w:val="000000"/>
          <w:sz w:val="22"/>
          <w:szCs w:val="22"/>
        </w:rPr>
        <w:t xml:space="preserve">Estas acciones forman parte de una estrategia integral orientada a fortalecer la confiabilidad y disponibilidad del sistema eléctrico nacional. </w:t>
      </w:r>
    </w:p>
    <w:p w14:paraId="69FBA0F1" w14:textId="77777777" w:rsidR="00C420E7" w:rsidRPr="004A7A6D" w:rsidRDefault="00C420E7" w:rsidP="00C420E7">
      <w:pPr>
        <w:spacing w:before="120" w:after="120"/>
        <w:rPr>
          <w:rFonts w:asciiTheme="majorHAnsi" w:hAnsiTheme="majorHAnsi" w:cstheme="majorHAnsi"/>
          <w:b/>
          <w:sz w:val="22"/>
        </w:rPr>
      </w:pPr>
      <w:r w:rsidRPr="004A7A6D">
        <w:rPr>
          <w:rFonts w:asciiTheme="majorHAnsi" w:hAnsiTheme="majorHAnsi" w:cstheme="majorHAnsi"/>
          <w:b/>
          <w:sz w:val="22"/>
        </w:rPr>
        <w:t>Convenio de dación de pago CNEL EP – CELEC EP</w:t>
      </w:r>
    </w:p>
    <w:p w14:paraId="58FE6A9A" w14:textId="2BE4D11D" w:rsidR="00C420E7" w:rsidRPr="00213F2B" w:rsidRDefault="00C420E7" w:rsidP="00213F2B">
      <w:pPr>
        <w:spacing w:after="120"/>
        <w:jc w:val="both"/>
        <w:rPr>
          <w:rFonts w:ascii="Calibri Light" w:eastAsia="Calibri" w:hAnsi="Calibri Light" w:cs="Calibri Light"/>
          <w:color w:val="000000"/>
          <w:sz w:val="22"/>
          <w:szCs w:val="22"/>
        </w:rPr>
      </w:pPr>
      <w:r w:rsidRPr="00671525">
        <w:rPr>
          <w:rFonts w:ascii="Calibri Light" w:eastAsia="Calibri" w:hAnsi="Calibri Light" w:cs="Calibri Light"/>
          <w:color w:val="000000"/>
          <w:sz w:val="22"/>
          <w:szCs w:val="22"/>
        </w:rPr>
        <w:t>Se impulso la formalización de un Convenio de Dación de Pago entre CNEL EP y CELEC EP, el cual permitirá viabilizar el traspaso de propiedad de las centrales termoeléctricas Aníbal Santos (132 MW) y Álvaro Tinajero (80 MW) desde CNEL EP hacia CELEC EP admitiendo planificar inversiones, ejecutar mantenimientos y optimizar el suministro eléctrico en zonas críticas</w:t>
      </w:r>
      <w:bookmarkStart w:id="320" w:name="_Toc196831383"/>
    </w:p>
    <w:p w14:paraId="2DCF2AB7" w14:textId="2F840919" w:rsidR="005817CB" w:rsidRDefault="00C420E7" w:rsidP="00C420E7">
      <w:pPr>
        <w:jc w:val="both"/>
        <w:rPr>
          <w:rFonts w:asciiTheme="majorHAnsi" w:hAnsiTheme="majorHAnsi" w:cstheme="majorHAnsi"/>
          <w:b/>
          <w:sz w:val="22"/>
        </w:rPr>
      </w:pPr>
      <w:r w:rsidRPr="009D72BF">
        <w:rPr>
          <w:rFonts w:asciiTheme="majorHAnsi" w:hAnsiTheme="majorHAnsi" w:cstheme="majorHAnsi"/>
          <w:b/>
          <w:sz w:val="22"/>
        </w:rPr>
        <w:t xml:space="preserve">Seguimiento </w:t>
      </w:r>
      <w:r>
        <w:rPr>
          <w:rFonts w:asciiTheme="majorHAnsi" w:hAnsiTheme="majorHAnsi" w:cstheme="majorHAnsi"/>
          <w:b/>
          <w:sz w:val="22"/>
        </w:rPr>
        <w:t xml:space="preserve">y evaluación </w:t>
      </w:r>
      <w:r w:rsidRPr="009D72BF">
        <w:rPr>
          <w:rFonts w:asciiTheme="majorHAnsi" w:hAnsiTheme="majorHAnsi" w:cstheme="majorHAnsi"/>
          <w:b/>
          <w:sz w:val="22"/>
        </w:rPr>
        <w:t xml:space="preserve">a las transacciones comerciales de la demanda de </w:t>
      </w:r>
      <w:r>
        <w:rPr>
          <w:rFonts w:asciiTheme="majorHAnsi" w:hAnsiTheme="majorHAnsi" w:cstheme="majorHAnsi"/>
          <w:b/>
          <w:sz w:val="22"/>
        </w:rPr>
        <w:t>e</w:t>
      </w:r>
      <w:r w:rsidRPr="009D72BF">
        <w:rPr>
          <w:rFonts w:asciiTheme="majorHAnsi" w:hAnsiTheme="majorHAnsi" w:cstheme="majorHAnsi"/>
          <w:b/>
          <w:sz w:val="22"/>
        </w:rPr>
        <w:t>nergía a nivel mayorista</w:t>
      </w:r>
    </w:p>
    <w:p w14:paraId="775DC125" w14:textId="77777777" w:rsidR="005817CB" w:rsidRPr="009D72BF" w:rsidRDefault="005817CB" w:rsidP="00C420E7">
      <w:pPr>
        <w:jc w:val="both"/>
        <w:rPr>
          <w:rFonts w:asciiTheme="majorHAnsi" w:hAnsiTheme="majorHAnsi" w:cstheme="majorHAnsi"/>
          <w:b/>
          <w:sz w:val="22"/>
        </w:rPr>
      </w:pPr>
    </w:p>
    <w:p w14:paraId="263D0F21" w14:textId="77777777" w:rsidR="00C420E7" w:rsidRDefault="00C420E7" w:rsidP="00C420E7">
      <w:pPr>
        <w:jc w:val="both"/>
        <w:rPr>
          <w:rFonts w:ascii="Calibri Light" w:eastAsia="Calibri" w:hAnsi="Calibri Light" w:cs="Calibri Light"/>
          <w:color w:val="000000"/>
          <w:sz w:val="22"/>
          <w:szCs w:val="22"/>
        </w:rPr>
      </w:pPr>
      <w:r w:rsidRPr="003D5C89">
        <w:rPr>
          <w:rFonts w:ascii="Calibri Light" w:eastAsia="Calibri" w:hAnsi="Calibri Light" w:cs="Calibri Light"/>
          <w:color w:val="000000"/>
          <w:sz w:val="22"/>
          <w:szCs w:val="22"/>
        </w:rPr>
        <w:lastRenderedPageBreak/>
        <w:t xml:space="preserve">La demanda de energía está constituida por </w:t>
      </w:r>
      <w:r>
        <w:rPr>
          <w:rFonts w:ascii="Calibri Light" w:eastAsia="Calibri" w:hAnsi="Calibri Light" w:cs="Calibri Light"/>
          <w:color w:val="000000"/>
          <w:sz w:val="22"/>
          <w:szCs w:val="22"/>
        </w:rPr>
        <w:t>d</w:t>
      </w:r>
      <w:r w:rsidRPr="003D5C89">
        <w:rPr>
          <w:rFonts w:ascii="Calibri Light" w:eastAsia="Calibri" w:hAnsi="Calibri Light" w:cs="Calibri Light"/>
          <w:color w:val="000000"/>
          <w:sz w:val="22"/>
          <w:szCs w:val="22"/>
        </w:rPr>
        <w:t xml:space="preserve">istribuidores, </w:t>
      </w:r>
      <w:r>
        <w:rPr>
          <w:rFonts w:ascii="Calibri Light" w:eastAsia="Calibri" w:hAnsi="Calibri Light" w:cs="Calibri Light"/>
          <w:color w:val="000000"/>
          <w:sz w:val="22"/>
          <w:szCs w:val="22"/>
        </w:rPr>
        <w:t>g</w:t>
      </w:r>
      <w:r w:rsidRPr="003D5C89">
        <w:rPr>
          <w:rFonts w:ascii="Calibri Light" w:eastAsia="Calibri" w:hAnsi="Calibri Light" w:cs="Calibri Light"/>
          <w:color w:val="000000"/>
          <w:sz w:val="22"/>
          <w:szCs w:val="22"/>
        </w:rPr>
        <w:t xml:space="preserve">randes </w:t>
      </w:r>
      <w:r>
        <w:rPr>
          <w:rFonts w:ascii="Calibri Light" w:eastAsia="Calibri" w:hAnsi="Calibri Light" w:cs="Calibri Light"/>
          <w:color w:val="000000"/>
          <w:sz w:val="22"/>
          <w:szCs w:val="22"/>
        </w:rPr>
        <w:t>c</w:t>
      </w:r>
      <w:r w:rsidRPr="003D5C89">
        <w:rPr>
          <w:rFonts w:ascii="Calibri Light" w:eastAsia="Calibri" w:hAnsi="Calibri Light" w:cs="Calibri Light"/>
          <w:color w:val="000000"/>
          <w:sz w:val="22"/>
          <w:szCs w:val="22"/>
        </w:rPr>
        <w:t xml:space="preserve">onsumidores y </w:t>
      </w:r>
      <w:r>
        <w:rPr>
          <w:rFonts w:ascii="Calibri Light" w:eastAsia="Calibri" w:hAnsi="Calibri Light" w:cs="Calibri Light"/>
          <w:color w:val="000000"/>
          <w:sz w:val="22"/>
          <w:szCs w:val="22"/>
        </w:rPr>
        <w:t>c</w:t>
      </w:r>
      <w:r w:rsidRPr="003D5C89">
        <w:rPr>
          <w:rFonts w:ascii="Calibri Light" w:eastAsia="Calibri" w:hAnsi="Calibri Light" w:cs="Calibri Light"/>
          <w:color w:val="000000"/>
          <w:sz w:val="22"/>
          <w:szCs w:val="22"/>
        </w:rPr>
        <w:t xml:space="preserve">onsumos </w:t>
      </w:r>
      <w:r>
        <w:rPr>
          <w:rFonts w:ascii="Calibri Light" w:eastAsia="Calibri" w:hAnsi="Calibri Light" w:cs="Calibri Light"/>
          <w:color w:val="000000"/>
          <w:sz w:val="22"/>
          <w:szCs w:val="22"/>
        </w:rPr>
        <w:t>p</w:t>
      </w:r>
      <w:r w:rsidRPr="003D5C89">
        <w:rPr>
          <w:rFonts w:ascii="Calibri Light" w:eastAsia="Calibri" w:hAnsi="Calibri Light" w:cs="Calibri Light"/>
          <w:color w:val="000000"/>
          <w:sz w:val="22"/>
          <w:szCs w:val="22"/>
        </w:rPr>
        <w:t xml:space="preserve">ropios de los </w:t>
      </w:r>
      <w:proofErr w:type="spellStart"/>
      <w:r>
        <w:rPr>
          <w:rFonts w:ascii="Calibri Light" w:eastAsia="Calibri" w:hAnsi="Calibri Light" w:cs="Calibri Light"/>
          <w:color w:val="000000"/>
          <w:sz w:val="22"/>
          <w:szCs w:val="22"/>
        </w:rPr>
        <w:t>a</w:t>
      </w:r>
      <w:r w:rsidRPr="003D5C89">
        <w:rPr>
          <w:rFonts w:ascii="Calibri Light" w:eastAsia="Calibri" w:hAnsi="Calibri Light" w:cs="Calibri Light"/>
          <w:color w:val="000000"/>
          <w:sz w:val="22"/>
          <w:szCs w:val="22"/>
        </w:rPr>
        <w:t>utogeneradores</w:t>
      </w:r>
      <w:proofErr w:type="spellEnd"/>
      <w:r w:rsidRPr="003D5C89">
        <w:rPr>
          <w:rFonts w:ascii="Calibri Light" w:eastAsia="Calibri" w:hAnsi="Calibri Light" w:cs="Calibri Light"/>
          <w:color w:val="000000"/>
          <w:sz w:val="22"/>
          <w:szCs w:val="22"/>
        </w:rPr>
        <w:t>, los cuales adquieren energía a nivel mayorista ya sea a través de contratos regulados o con contratos bilaterales.</w:t>
      </w:r>
    </w:p>
    <w:p w14:paraId="0F7A31B8" w14:textId="77777777" w:rsidR="00C420E7" w:rsidRPr="003D5C89" w:rsidRDefault="00C420E7" w:rsidP="00C420E7">
      <w:pPr>
        <w:jc w:val="both"/>
        <w:rPr>
          <w:rFonts w:ascii="Calibri Light" w:eastAsia="Calibri" w:hAnsi="Calibri Light" w:cs="Calibri Light"/>
          <w:color w:val="000000"/>
          <w:sz w:val="22"/>
          <w:szCs w:val="22"/>
        </w:rPr>
      </w:pPr>
    </w:p>
    <w:p w14:paraId="5DD21351" w14:textId="77777777" w:rsidR="00C420E7" w:rsidRDefault="00C420E7" w:rsidP="00C420E7">
      <w:pPr>
        <w:jc w:val="both"/>
        <w:rPr>
          <w:rFonts w:asciiTheme="majorHAnsi" w:hAnsiTheme="majorHAnsi" w:cstheme="majorHAnsi"/>
          <w:sz w:val="22"/>
        </w:rPr>
      </w:pPr>
      <w:r w:rsidRPr="007A444C">
        <w:rPr>
          <w:rFonts w:ascii="Calibri Light" w:eastAsia="Calibri" w:hAnsi="Calibri Light" w:cs="Calibri Light"/>
          <w:color w:val="000000"/>
          <w:sz w:val="22"/>
          <w:szCs w:val="22"/>
        </w:rPr>
        <w:t xml:space="preserve">La figura adjunta presenta las transacciones comerciales mayoristas de energía eléctrica durante el año 2024, detallando la demanda total y el precio medio de compra (expresado en </w:t>
      </w:r>
      <w:proofErr w:type="spellStart"/>
      <w:r w:rsidRPr="007A444C">
        <w:rPr>
          <w:rFonts w:ascii="Calibri Light" w:eastAsia="Calibri" w:hAnsi="Calibri Light" w:cs="Calibri Light"/>
          <w:color w:val="000000"/>
          <w:sz w:val="22"/>
          <w:szCs w:val="22"/>
        </w:rPr>
        <w:t>ctv</w:t>
      </w:r>
      <w:proofErr w:type="spellEnd"/>
      <w:r w:rsidRPr="007A444C">
        <w:rPr>
          <w:rFonts w:ascii="Calibri Light" w:eastAsia="Calibri" w:hAnsi="Calibri Light" w:cs="Calibri Light"/>
          <w:color w:val="000000"/>
          <w:sz w:val="22"/>
          <w:szCs w:val="22"/>
        </w:rPr>
        <w:t xml:space="preserve"> USD/kWh). Destaca que en noviembre se observó el precio más alto del año, situándose en 7.9 </w:t>
      </w:r>
      <w:proofErr w:type="spellStart"/>
      <w:r w:rsidRPr="007A444C">
        <w:rPr>
          <w:rFonts w:ascii="Calibri Light" w:eastAsia="Calibri" w:hAnsi="Calibri Light" w:cs="Calibri Light"/>
          <w:color w:val="000000"/>
          <w:sz w:val="22"/>
          <w:szCs w:val="22"/>
        </w:rPr>
        <w:t>ctv</w:t>
      </w:r>
      <w:proofErr w:type="spellEnd"/>
      <w:r w:rsidRPr="007A444C">
        <w:rPr>
          <w:rFonts w:ascii="Calibri Light" w:eastAsia="Calibri" w:hAnsi="Calibri Light" w:cs="Calibri Light"/>
          <w:color w:val="000000"/>
          <w:sz w:val="22"/>
          <w:szCs w:val="22"/>
        </w:rPr>
        <w:t xml:space="preserve"> USD/kWh.</w:t>
      </w:r>
    </w:p>
    <w:p w14:paraId="5F3C0276" w14:textId="77777777" w:rsidR="00C420E7" w:rsidRDefault="00C420E7" w:rsidP="00C420E7">
      <w:pPr>
        <w:rPr>
          <w:rFonts w:asciiTheme="majorHAnsi" w:hAnsiTheme="majorHAnsi" w:cstheme="majorHAnsi"/>
          <w:sz w:val="22"/>
        </w:rPr>
      </w:pPr>
    </w:p>
    <w:p w14:paraId="1C374242" w14:textId="7AD2749A" w:rsidR="00C420E7" w:rsidRPr="001E01AE" w:rsidRDefault="00C420E7" w:rsidP="00C420E7">
      <w:pPr>
        <w:pStyle w:val="Descripcin"/>
        <w:rPr>
          <w:rFonts w:asciiTheme="majorHAnsi" w:hAnsiTheme="majorHAnsi" w:cstheme="majorHAnsi"/>
        </w:rPr>
      </w:pPr>
      <w:bookmarkStart w:id="321" w:name="_Toc198110404"/>
      <w:bookmarkStart w:id="322" w:name="_Toc199757567"/>
      <w:r w:rsidRPr="001E01AE">
        <w:rPr>
          <w:rFonts w:asciiTheme="majorHAnsi" w:hAnsiTheme="majorHAnsi" w:cstheme="majorHAnsi"/>
        </w:rPr>
        <w:t xml:space="preserve">Figura </w:t>
      </w:r>
      <w:r w:rsidR="002026B0" w:rsidRPr="001E01AE">
        <w:rPr>
          <w:rFonts w:asciiTheme="majorHAnsi" w:hAnsiTheme="majorHAnsi" w:cstheme="majorHAnsi"/>
        </w:rPr>
        <w:fldChar w:fldCharType="begin"/>
      </w:r>
      <w:r w:rsidR="002026B0" w:rsidRPr="001E01AE">
        <w:rPr>
          <w:rFonts w:asciiTheme="majorHAnsi" w:hAnsiTheme="majorHAnsi" w:cstheme="majorHAnsi"/>
        </w:rPr>
        <w:instrText xml:space="preserve"> SEQ Figura \* ARABIC </w:instrText>
      </w:r>
      <w:r w:rsidR="002026B0" w:rsidRPr="001E01AE">
        <w:rPr>
          <w:rFonts w:asciiTheme="majorHAnsi" w:hAnsiTheme="majorHAnsi" w:cstheme="majorHAnsi"/>
        </w:rPr>
        <w:fldChar w:fldCharType="separate"/>
      </w:r>
      <w:r w:rsidR="00C751F5">
        <w:rPr>
          <w:rFonts w:asciiTheme="majorHAnsi" w:hAnsiTheme="majorHAnsi" w:cstheme="majorHAnsi"/>
          <w:noProof/>
        </w:rPr>
        <w:t>24</w:t>
      </w:r>
      <w:r w:rsidR="002026B0" w:rsidRPr="001E01AE">
        <w:rPr>
          <w:rFonts w:asciiTheme="majorHAnsi" w:hAnsiTheme="majorHAnsi" w:cstheme="majorHAnsi"/>
        </w:rPr>
        <w:fldChar w:fldCharType="end"/>
      </w:r>
      <w:r w:rsidR="00190089">
        <w:rPr>
          <w:rFonts w:asciiTheme="majorHAnsi" w:hAnsiTheme="majorHAnsi" w:cstheme="majorHAnsi"/>
        </w:rPr>
        <w:t xml:space="preserve">: </w:t>
      </w:r>
      <w:r w:rsidRPr="001E01AE">
        <w:rPr>
          <w:rFonts w:asciiTheme="majorHAnsi" w:hAnsiTheme="majorHAnsi" w:cstheme="majorHAnsi"/>
        </w:rPr>
        <w:t>Transacciones comerciales de la demanda año 2024</w:t>
      </w:r>
      <w:bookmarkEnd w:id="321"/>
      <w:bookmarkEnd w:id="322"/>
    </w:p>
    <w:p w14:paraId="0EF5AC34" w14:textId="77777777" w:rsidR="00C420E7" w:rsidRPr="00EE3E59" w:rsidRDefault="00C420E7" w:rsidP="00C420E7">
      <w:pPr>
        <w:jc w:val="center"/>
        <w:rPr>
          <w:rFonts w:asciiTheme="majorHAnsi" w:hAnsiTheme="majorHAnsi" w:cstheme="majorHAnsi"/>
          <w:sz w:val="22"/>
        </w:rPr>
      </w:pPr>
      <w:r>
        <w:rPr>
          <w:noProof/>
        </w:rPr>
        <w:drawing>
          <wp:inline distT="0" distB="0" distL="0" distR="0" wp14:anchorId="56419A32" wp14:editId="7ACC3642">
            <wp:extent cx="4793993" cy="2225216"/>
            <wp:effectExtent l="0" t="0" r="6985" b="3810"/>
            <wp:docPr id="1421088708" name="Gráfico 1421088708">
              <a:extLst xmlns:a="http://schemas.openxmlformats.org/drawingml/2006/main">
                <a:ext uri="{FF2B5EF4-FFF2-40B4-BE49-F238E27FC236}">
                  <a16:creationId xmlns:a16="http://schemas.microsoft.com/office/drawing/2014/main" id="{397A17ED-ABEF-455D-8163-8CB7D73168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12E83AA" w14:textId="074A6E2D" w:rsidR="00EC08B4" w:rsidRPr="00192E54" w:rsidRDefault="00C420E7" w:rsidP="00192E54">
      <w:pPr>
        <w:jc w:val="center"/>
        <w:rPr>
          <w:rFonts w:asciiTheme="majorHAnsi" w:hAnsiTheme="majorHAnsi" w:cstheme="majorHAnsi"/>
          <w:i/>
          <w:iCs/>
          <w:color w:val="44546A" w:themeColor="text2"/>
          <w:sz w:val="18"/>
          <w:szCs w:val="18"/>
        </w:rPr>
      </w:pPr>
      <w:r w:rsidRPr="001E01AE">
        <w:rPr>
          <w:rFonts w:asciiTheme="majorHAnsi" w:hAnsiTheme="majorHAnsi" w:cstheme="majorHAnsi"/>
          <w:i/>
          <w:iCs/>
          <w:color w:val="44546A" w:themeColor="text2"/>
          <w:sz w:val="18"/>
          <w:szCs w:val="18"/>
        </w:rPr>
        <w:t>Fuente: Boletín CENACE, diciembre 2024.</w:t>
      </w:r>
    </w:p>
    <w:p w14:paraId="47591B61" w14:textId="77777777" w:rsidR="00EC08B4" w:rsidRDefault="00EC08B4" w:rsidP="00C420E7">
      <w:pPr>
        <w:jc w:val="both"/>
        <w:rPr>
          <w:rFonts w:ascii="Calibri Light" w:eastAsia="Calibri" w:hAnsi="Calibri Light" w:cs="Calibri Light"/>
          <w:color w:val="000000"/>
          <w:sz w:val="22"/>
          <w:szCs w:val="22"/>
        </w:rPr>
      </w:pPr>
    </w:p>
    <w:p w14:paraId="66A38B41" w14:textId="107DDB77" w:rsidR="00C420E7" w:rsidRDefault="00C420E7" w:rsidP="00C420E7">
      <w:pPr>
        <w:jc w:val="both"/>
        <w:rPr>
          <w:rFonts w:ascii="Calibri Light" w:eastAsia="Calibri" w:hAnsi="Calibri Light" w:cs="Calibri Light"/>
          <w:color w:val="000000"/>
          <w:sz w:val="22"/>
          <w:szCs w:val="22"/>
        </w:rPr>
      </w:pPr>
      <w:r w:rsidRPr="008D7FD2">
        <w:rPr>
          <w:rFonts w:ascii="Calibri Light" w:eastAsia="Calibri" w:hAnsi="Calibri Light" w:cs="Calibri Light"/>
          <w:color w:val="000000"/>
          <w:sz w:val="22"/>
          <w:szCs w:val="22"/>
        </w:rPr>
        <w:t xml:space="preserve">La siguiente tabla presenta el valor (en millones de dólares) de las transacciones comerciales mayoristas de energía eléctrica en Ecuador para 2023 y 2024, junto con su variación porcentual. Según datos de CENACE, el precio medio de estas transacciones entre enero y diciembre de 2024 fue de 5.252 </w:t>
      </w:r>
      <w:proofErr w:type="spellStart"/>
      <w:r w:rsidRPr="008D7FD2">
        <w:rPr>
          <w:rFonts w:ascii="Calibri Light" w:eastAsia="Calibri" w:hAnsi="Calibri Light" w:cs="Calibri Light"/>
          <w:color w:val="000000"/>
          <w:sz w:val="22"/>
          <w:szCs w:val="22"/>
        </w:rPr>
        <w:t>ctv</w:t>
      </w:r>
      <w:proofErr w:type="spellEnd"/>
      <w:r w:rsidRPr="008D7FD2">
        <w:rPr>
          <w:rFonts w:ascii="Calibri Light" w:eastAsia="Calibri" w:hAnsi="Calibri Light" w:cs="Calibri Light"/>
          <w:color w:val="000000"/>
          <w:sz w:val="22"/>
          <w:szCs w:val="22"/>
        </w:rPr>
        <w:t xml:space="preserve"> USD/kWh, lo que representa un incremento del 27% respecto a 2023 (4.14 </w:t>
      </w:r>
      <w:proofErr w:type="spellStart"/>
      <w:r w:rsidRPr="008D7FD2">
        <w:rPr>
          <w:rFonts w:ascii="Calibri Light" w:eastAsia="Calibri" w:hAnsi="Calibri Light" w:cs="Calibri Light"/>
          <w:color w:val="000000"/>
          <w:sz w:val="22"/>
          <w:szCs w:val="22"/>
        </w:rPr>
        <w:t>ctv</w:t>
      </w:r>
      <w:proofErr w:type="spellEnd"/>
      <w:r w:rsidRPr="008D7FD2">
        <w:rPr>
          <w:rFonts w:ascii="Calibri Light" w:eastAsia="Calibri" w:hAnsi="Calibri Light" w:cs="Calibri Light"/>
          <w:color w:val="000000"/>
          <w:sz w:val="22"/>
          <w:szCs w:val="22"/>
        </w:rPr>
        <w:t xml:space="preserve"> USD/kWh). Este precio incorpora el aporte por generación propia (AGP) para clientes regulados y no regulados, en cumplimiento con la regulación Nro. ARCONEL – 003/24 (CODIFICADA), y la tabla desglosa las transacciones por conceptos como contratos regulados, generación no convencional, intercambios con Colombia y Perú, tarifas de transmisión, servicios complementarios y transacciones de corto plazo.</w:t>
      </w:r>
    </w:p>
    <w:p w14:paraId="129564FF" w14:textId="77777777" w:rsidR="00C420E7" w:rsidRPr="00F81B20" w:rsidRDefault="00C420E7" w:rsidP="00C420E7">
      <w:pPr>
        <w:jc w:val="both"/>
        <w:rPr>
          <w:rFonts w:asciiTheme="majorHAnsi" w:eastAsia="Calibri" w:hAnsiTheme="majorHAnsi" w:cs="Calibri Light"/>
          <w:color w:val="000000"/>
          <w:sz w:val="22"/>
          <w:szCs w:val="22"/>
        </w:rPr>
      </w:pPr>
    </w:p>
    <w:p w14:paraId="085038B9" w14:textId="5E15AEA6" w:rsidR="00C420E7" w:rsidRPr="00F81B20" w:rsidRDefault="00C420E7" w:rsidP="00C420E7">
      <w:pPr>
        <w:pStyle w:val="Descripcin"/>
        <w:rPr>
          <w:rFonts w:asciiTheme="majorHAnsi" w:hAnsiTheme="majorHAnsi"/>
        </w:rPr>
      </w:pPr>
      <w:bookmarkStart w:id="323" w:name="_Toc198110373"/>
      <w:bookmarkStart w:id="324" w:name="_Toc199759697"/>
      <w:r w:rsidRPr="00F81B20">
        <w:rPr>
          <w:rFonts w:asciiTheme="majorHAnsi" w:hAnsiTheme="majorHAnsi"/>
        </w:rPr>
        <w:t xml:space="preserve">Tabla </w:t>
      </w:r>
      <w:r w:rsidR="003A269C" w:rsidRPr="00F81B20">
        <w:rPr>
          <w:rFonts w:asciiTheme="majorHAnsi" w:hAnsiTheme="majorHAnsi"/>
        </w:rPr>
        <w:fldChar w:fldCharType="begin"/>
      </w:r>
      <w:r w:rsidR="003A269C" w:rsidRPr="00F81B20">
        <w:rPr>
          <w:rFonts w:asciiTheme="majorHAnsi" w:hAnsiTheme="majorHAnsi"/>
        </w:rPr>
        <w:instrText xml:space="preserve"> SEQ Tabla \* ARABIC </w:instrText>
      </w:r>
      <w:r w:rsidR="003A269C" w:rsidRPr="00F81B20">
        <w:rPr>
          <w:rFonts w:asciiTheme="majorHAnsi" w:hAnsiTheme="majorHAnsi"/>
        </w:rPr>
        <w:fldChar w:fldCharType="separate"/>
      </w:r>
      <w:r w:rsidR="00CF0AD2">
        <w:rPr>
          <w:rFonts w:asciiTheme="majorHAnsi" w:hAnsiTheme="majorHAnsi"/>
          <w:noProof/>
        </w:rPr>
        <w:t>27</w:t>
      </w:r>
      <w:r w:rsidR="003A269C" w:rsidRPr="00F81B20">
        <w:rPr>
          <w:rFonts w:asciiTheme="majorHAnsi" w:hAnsiTheme="majorHAnsi"/>
          <w:noProof/>
        </w:rPr>
        <w:fldChar w:fldCharType="end"/>
      </w:r>
      <w:r w:rsidR="00192E54">
        <w:rPr>
          <w:rFonts w:asciiTheme="majorHAnsi" w:hAnsiTheme="majorHAnsi"/>
        </w:rPr>
        <w:t xml:space="preserve">: </w:t>
      </w:r>
      <w:r w:rsidRPr="00F81B20">
        <w:rPr>
          <w:rFonts w:asciiTheme="majorHAnsi" w:hAnsiTheme="majorHAnsi"/>
        </w:rPr>
        <w:t>Transacciones comerciales de la demanda 2023 2024</w:t>
      </w:r>
      <w:bookmarkEnd w:id="323"/>
      <w:bookmarkEnd w:id="324"/>
    </w:p>
    <w:tbl>
      <w:tblPr>
        <w:tblW w:w="7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1271"/>
        <w:gridCol w:w="1276"/>
        <w:gridCol w:w="753"/>
      </w:tblGrid>
      <w:tr w:rsidR="00C420E7" w:rsidRPr="008B6745" w14:paraId="3535F097" w14:textId="77777777" w:rsidTr="00192E54">
        <w:trPr>
          <w:trHeight w:val="194"/>
          <w:tblHeader/>
          <w:jc w:val="center"/>
        </w:trPr>
        <w:tc>
          <w:tcPr>
            <w:tcW w:w="4531" w:type="dxa"/>
            <w:shd w:val="clear" w:color="auto" w:fill="5B9BD5" w:themeFill="accent5"/>
            <w:noWrap/>
            <w:vAlign w:val="center"/>
            <w:hideMark/>
          </w:tcPr>
          <w:p w14:paraId="089CB986" w14:textId="77777777" w:rsidR="00C420E7" w:rsidRPr="008B6745" w:rsidRDefault="00C420E7" w:rsidP="000A4588">
            <w:pPr>
              <w:jc w:val="center"/>
              <w:rPr>
                <w:rFonts w:ascii="Calibri Light" w:eastAsia="Times New Roman" w:hAnsi="Calibri Light" w:cs="Calibri Light"/>
                <w:b/>
                <w:bCs/>
                <w:color w:val="FFFFFF"/>
                <w:sz w:val="18"/>
                <w:szCs w:val="18"/>
                <w:lang w:eastAsia="es-EC"/>
              </w:rPr>
            </w:pPr>
            <w:r w:rsidRPr="008B6745">
              <w:rPr>
                <w:rFonts w:ascii="Calibri Light" w:eastAsia="Times New Roman" w:hAnsi="Calibri Light" w:cs="Calibri Light"/>
                <w:b/>
                <w:bCs/>
                <w:color w:val="FFFFFF"/>
                <w:sz w:val="18"/>
                <w:szCs w:val="18"/>
                <w:lang w:eastAsia="es-EC"/>
              </w:rPr>
              <w:t>C</w:t>
            </w:r>
            <w:r>
              <w:rPr>
                <w:rFonts w:ascii="Calibri Light" w:eastAsia="Times New Roman" w:hAnsi="Calibri Light" w:cs="Calibri Light"/>
                <w:b/>
                <w:bCs/>
                <w:color w:val="FFFFFF"/>
                <w:sz w:val="18"/>
                <w:szCs w:val="18"/>
                <w:lang w:eastAsia="es-EC"/>
              </w:rPr>
              <w:t>oncepto</w:t>
            </w:r>
          </w:p>
        </w:tc>
        <w:tc>
          <w:tcPr>
            <w:tcW w:w="1271" w:type="dxa"/>
            <w:shd w:val="clear" w:color="auto" w:fill="5B9BD5" w:themeFill="accent5"/>
            <w:noWrap/>
            <w:vAlign w:val="center"/>
            <w:hideMark/>
          </w:tcPr>
          <w:p w14:paraId="7F85F283" w14:textId="77777777" w:rsidR="00C420E7" w:rsidRPr="008B6745" w:rsidRDefault="00C420E7" w:rsidP="000A4588">
            <w:pPr>
              <w:jc w:val="center"/>
              <w:rPr>
                <w:rFonts w:ascii="Calibri Light" w:eastAsia="Times New Roman" w:hAnsi="Calibri Light" w:cs="Calibri Light"/>
                <w:b/>
                <w:bCs/>
                <w:color w:val="FFFFFF"/>
                <w:sz w:val="18"/>
                <w:szCs w:val="18"/>
                <w:lang w:eastAsia="es-EC"/>
              </w:rPr>
            </w:pPr>
            <w:r w:rsidRPr="008B6745">
              <w:rPr>
                <w:rFonts w:ascii="Calibri Light" w:eastAsia="Times New Roman" w:hAnsi="Calibri Light" w:cs="Calibri Light"/>
                <w:b/>
                <w:bCs/>
                <w:color w:val="FFFFFF"/>
                <w:sz w:val="18"/>
                <w:szCs w:val="18"/>
                <w:lang w:eastAsia="es-EC"/>
              </w:rPr>
              <w:t>2023</w:t>
            </w:r>
          </w:p>
        </w:tc>
        <w:tc>
          <w:tcPr>
            <w:tcW w:w="1276" w:type="dxa"/>
            <w:shd w:val="clear" w:color="auto" w:fill="5B9BD5" w:themeFill="accent5"/>
            <w:noWrap/>
            <w:vAlign w:val="center"/>
            <w:hideMark/>
          </w:tcPr>
          <w:p w14:paraId="50B58B91" w14:textId="77777777" w:rsidR="00C420E7" w:rsidRPr="008B6745" w:rsidRDefault="00C420E7" w:rsidP="000A4588">
            <w:pPr>
              <w:jc w:val="center"/>
              <w:rPr>
                <w:rFonts w:ascii="Calibri Light" w:eastAsia="Times New Roman" w:hAnsi="Calibri Light" w:cs="Calibri Light"/>
                <w:b/>
                <w:bCs/>
                <w:color w:val="FFFFFF"/>
                <w:sz w:val="18"/>
                <w:szCs w:val="18"/>
                <w:lang w:eastAsia="es-EC"/>
              </w:rPr>
            </w:pPr>
            <w:r w:rsidRPr="008B6745">
              <w:rPr>
                <w:rFonts w:ascii="Calibri Light" w:eastAsia="Times New Roman" w:hAnsi="Calibri Light" w:cs="Calibri Light"/>
                <w:b/>
                <w:bCs/>
                <w:color w:val="FFFFFF"/>
                <w:sz w:val="18"/>
                <w:szCs w:val="18"/>
                <w:lang w:eastAsia="es-EC"/>
              </w:rPr>
              <w:t>2024</w:t>
            </w:r>
          </w:p>
        </w:tc>
        <w:tc>
          <w:tcPr>
            <w:tcW w:w="753" w:type="dxa"/>
            <w:shd w:val="clear" w:color="auto" w:fill="5B9BD5" w:themeFill="accent5"/>
            <w:noWrap/>
            <w:vAlign w:val="center"/>
            <w:hideMark/>
          </w:tcPr>
          <w:p w14:paraId="5FB81CCE" w14:textId="77777777" w:rsidR="00C420E7" w:rsidRPr="008B6745" w:rsidRDefault="00C420E7" w:rsidP="000A4588">
            <w:pPr>
              <w:jc w:val="center"/>
              <w:rPr>
                <w:rFonts w:ascii="Calibri Light" w:eastAsia="Times New Roman" w:hAnsi="Calibri Light" w:cs="Calibri Light"/>
                <w:b/>
                <w:bCs/>
                <w:color w:val="FFFFFF"/>
                <w:sz w:val="18"/>
                <w:szCs w:val="18"/>
                <w:lang w:eastAsia="es-EC"/>
              </w:rPr>
            </w:pPr>
            <w:r w:rsidRPr="008B6745">
              <w:rPr>
                <w:rFonts w:ascii="Calibri Light" w:eastAsia="Times New Roman" w:hAnsi="Calibri Light" w:cs="Calibri Light"/>
                <w:b/>
                <w:bCs/>
                <w:color w:val="FFFFFF"/>
                <w:sz w:val="18"/>
                <w:szCs w:val="18"/>
                <w:lang w:eastAsia="es-EC"/>
              </w:rPr>
              <w:t>%</w:t>
            </w:r>
          </w:p>
        </w:tc>
      </w:tr>
      <w:tr w:rsidR="00C420E7" w:rsidRPr="008B6745" w14:paraId="0649434B" w14:textId="77777777" w:rsidTr="000A4588">
        <w:trPr>
          <w:trHeight w:val="279"/>
          <w:jc w:val="center"/>
        </w:trPr>
        <w:tc>
          <w:tcPr>
            <w:tcW w:w="4531" w:type="dxa"/>
            <w:shd w:val="clear" w:color="auto" w:fill="auto"/>
            <w:noWrap/>
            <w:vAlign w:val="bottom"/>
            <w:hideMark/>
          </w:tcPr>
          <w:p w14:paraId="715B9DF4" w14:textId="77777777" w:rsidR="00C420E7" w:rsidRPr="008B6745" w:rsidRDefault="00C420E7" w:rsidP="000A4588">
            <w:pPr>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Contratos Regulados</w:t>
            </w:r>
          </w:p>
        </w:tc>
        <w:tc>
          <w:tcPr>
            <w:tcW w:w="1271" w:type="dxa"/>
            <w:shd w:val="clear" w:color="auto" w:fill="auto"/>
            <w:noWrap/>
            <w:vAlign w:val="bottom"/>
            <w:hideMark/>
          </w:tcPr>
          <w:p w14:paraId="62C79652"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692,77 </w:t>
            </w:r>
          </w:p>
        </w:tc>
        <w:tc>
          <w:tcPr>
            <w:tcW w:w="1276" w:type="dxa"/>
            <w:shd w:val="clear" w:color="auto" w:fill="auto"/>
            <w:noWrap/>
            <w:vAlign w:val="bottom"/>
            <w:hideMark/>
          </w:tcPr>
          <w:p w14:paraId="1DDEAB39"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912,37 </w:t>
            </w:r>
          </w:p>
        </w:tc>
        <w:tc>
          <w:tcPr>
            <w:tcW w:w="753" w:type="dxa"/>
            <w:shd w:val="clear" w:color="auto" w:fill="auto"/>
            <w:noWrap/>
            <w:vAlign w:val="bottom"/>
            <w:hideMark/>
          </w:tcPr>
          <w:p w14:paraId="025B5E9C"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31,7</w:t>
            </w:r>
          </w:p>
        </w:tc>
      </w:tr>
      <w:tr w:rsidR="00C420E7" w:rsidRPr="008B6745" w14:paraId="1D2AE85E" w14:textId="77777777" w:rsidTr="000A4588">
        <w:trPr>
          <w:trHeight w:val="194"/>
          <w:jc w:val="center"/>
        </w:trPr>
        <w:tc>
          <w:tcPr>
            <w:tcW w:w="4531" w:type="dxa"/>
            <w:shd w:val="clear" w:color="auto" w:fill="auto"/>
            <w:noWrap/>
            <w:vAlign w:val="bottom"/>
            <w:hideMark/>
          </w:tcPr>
          <w:p w14:paraId="43A745B4" w14:textId="77777777" w:rsidR="00C420E7" w:rsidRPr="008B6745" w:rsidRDefault="00C420E7" w:rsidP="000A4588">
            <w:pPr>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Generación No Convencional</w:t>
            </w:r>
          </w:p>
        </w:tc>
        <w:tc>
          <w:tcPr>
            <w:tcW w:w="1271" w:type="dxa"/>
            <w:shd w:val="clear" w:color="auto" w:fill="auto"/>
            <w:noWrap/>
            <w:vAlign w:val="bottom"/>
            <w:hideMark/>
          </w:tcPr>
          <w:p w14:paraId="0329D05E"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152,33 </w:t>
            </w:r>
          </w:p>
        </w:tc>
        <w:tc>
          <w:tcPr>
            <w:tcW w:w="1276" w:type="dxa"/>
            <w:shd w:val="clear" w:color="auto" w:fill="auto"/>
            <w:noWrap/>
            <w:vAlign w:val="bottom"/>
            <w:hideMark/>
          </w:tcPr>
          <w:p w14:paraId="762B635D"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156,89 </w:t>
            </w:r>
          </w:p>
        </w:tc>
        <w:tc>
          <w:tcPr>
            <w:tcW w:w="753" w:type="dxa"/>
            <w:shd w:val="clear" w:color="auto" w:fill="auto"/>
            <w:noWrap/>
            <w:vAlign w:val="bottom"/>
            <w:hideMark/>
          </w:tcPr>
          <w:p w14:paraId="798FCFFC"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2,99</w:t>
            </w:r>
          </w:p>
        </w:tc>
      </w:tr>
      <w:tr w:rsidR="00C420E7" w:rsidRPr="008B6745" w14:paraId="1BC60E17" w14:textId="77777777" w:rsidTr="000A4588">
        <w:trPr>
          <w:trHeight w:val="194"/>
          <w:jc w:val="center"/>
        </w:trPr>
        <w:tc>
          <w:tcPr>
            <w:tcW w:w="4531" w:type="dxa"/>
            <w:shd w:val="clear" w:color="auto" w:fill="auto"/>
            <w:noWrap/>
            <w:vAlign w:val="bottom"/>
            <w:hideMark/>
          </w:tcPr>
          <w:p w14:paraId="12210E55" w14:textId="77777777" w:rsidR="00C420E7" w:rsidRPr="008B6745" w:rsidRDefault="00C420E7" w:rsidP="000A4588">
            <w:pPr>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Importación Colombia</w:t>
            </w:r>
          </w:p>
        </w:tc>
        <w:tc>
          <w:tcPr>
            <w:tcW w:w="1271" w:type="dxa"/>
            <w:shd w:val="clear" w:color="auto" w:fill="auto"/>
            <w:noWrap/>
            <w:vAlign w:val="bottom"/>
            <w:hideMark/>
          </w:tcPr>
          <w:p w14:paraId="192F7E7D"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230,76 </w:t>
            </w:r>
          </w:p>
        </w:tc>
        <w:tc>
          <w:tcPr>
            <w:tcW w:w="1276" w:type="dxa"/>
            <w:shd w:val="clear" w:color="auto" w:fill="auto"/>
            <w:noWrap/>
            <w:vAlign w:val="bottom"/>
            <w:hideMark/>
          </w:tcPr>
          <w:p w14:paraId="4E14504F"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334,30 </w:t>
            </w:r>
          </w:p>
        </w:tc>
        <w:tc>
          <w:tcPr>
            <w:tcW w:w="753" w:type="dxa"/>
            <w:shd w:val="clear" w:color="auto" w:fill="auto"/>
            <w:noWrap/>
            <w:vAlign w:val="bottom"/>
            <w:hideMark/>
          </w:tcPr>
          <w:p w14:paraId="7C59CACD"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44,87</w:t>
            </w:r>
          </w:p>
        </w:tc>
      </w:tr>
      <w:tr w:rsidR="00C420E7" w:rsidRPr="008B6745" w14:paraId="2174A242" w14:textId="77777777" w:rsidTr="000A4588">
        <w:trPr>
          <w:trHeight w:val="194"/>
          <w:jc w:val="center"/>
        </w:trPr>
        <w:tc>
          <w:tcPr>
            <w:tcW w:w="4531" w:type="dxa"/>
            <w:shd w:val="clear" w:color="auto" w:fill="auto"/>
            <w:noWrap/>
            <w:vAlign w:val="bottom"/>
            <w:hideMark/>
          </w:tcPr>
          <w:p w14:paraId="18174653" w14:textId="77777777" w:rsidR="00C420E7" w:rsidRPr="008B6745" w:rsidRDefault="00C420E7" w:rsidP="000A4588">
            <w:pPr>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Importación Perú</w:t>
            </w:r>
          </w:p>
        </w:tc>
        <w:tc>
          <w:tcPr>
            <w:tcW w:w="1271" w:type="dxa"/>
            <w:shd w:val="clear" w:color="auto" w:fill="auto"/>
            <w:noWrap/>
            <w:vAlign w:val="bottom"/>
            <w:hideMark/>
          </w:tcPr>
          <w:p w14:paraId="4FF199F2"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4,57 </w:t>
            </w:r>
          </w:p>
        </w:tc>
        <w:tc>
          <w:tcPr>
            <w:tcW w:w="1276" w:type="dxa"/>
            <w:shd w:val="clear" w:color="auto" w:fill="auto"/>
            <w:noWrap/>
            <w:vAlign w:val="bottom"/>
            <w:hideMark/>
          </w:tcPr>
          <w:p w14:paraId="02ABB0CF"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0,20 </w:t>
            </w:r>
          </w:p>
        </w:tc>
        <w:tc>
          <w:tcPr>
            <w:tcW w:w="753" w:type="dxa"/>
            <w:shd w:val="clear" w:color="auto" w:fill="auto"/>
            <w:noWrap/>
            <w:vAlign w:val="bottom"/>
            <w:hideMark/>
          </w:tcPr>
          <w:p w14:paraId="0FAAAB27"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-95,7</w:t>
            </w:r>
          </w:p>
        </w:tc>
      </w:tr>
      <w:tr w:rsidR="00C420E7" w:rsidRPr="008B6745" w14:paraId="2AFA1C85" w14:textId="77777777" w:rsidTr="000A4588">
        <w:trPr>
          <w:trHeight w:val="194"/>
          <w:jc w:val="center"/>
        </w:trPr>
        <w:tc>
          <w:tcPr>
            <w:tcW w:w="4531" w:type="dxa"/>
            <w:shd w:val="clear" w:color="auto" w:fill="auto"/>
            <w:noWrap/>
            <w:vAlign w:val="bottom"/>
            <w:hideMark/>
          </w:tcPr>
          <w:p w14:paraId="1281731B" w14:textId="77777777" w:rsidR="00C420E7" w:rsidRPr="008B6745" w:rsidRDefault="00C420E7" w:rsidP="000A4588">
            <w:pPr>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Exportación Perú</w:t>
            </w:r>
          </w:p>
        </w:tc>
        <w:tc>
          <w:tcPr>
            <w:tcW w:w="1271" w:type="dxa"/>
            <w:shd w:val="clear" w:color="auto" w:fill="auto"/>
            <w:noWrap/>
            <w:vAlign w:val="bottom"/>
            <w:hideMark/>
          </w:tcPr>
          <w:p w14:paraId="0B297DF9"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-0,35 </w:t>
            </w:r>
          </w:p>
        </w:tc>
        <w:tc>
          <w:tcPr>
            <w:tcW w:w="1276" w:type="dxa"/>
            <w:shd w:val="clear" w:color="auto" w:fill="auto"/>
            <w:noWrap/>
            <w:vAlign w:val="bottom"/>
            <w:hideMark/>
          </w:tcPr>
          <w:p w14:paraId="51D25E8C" w14:textId="77777777" w:rsidR="00C420E7" w:rsidRPr="008B6745" w:rsidRDefault="00C420E7" w:rsidP="000A4588">
            <w:pPr>
              <w:jc w:val="right"/>
              <w:rPr>
                <w:rFonts w:ascii="Calibri Light" w:eastAsia="Times New Roman" w:hAnsi="Calibri Light" w:cs="Calibri Light"/>
                <w:color w:val="000000"/>
                <w:sz w:val="18"/>
                <w:szCs w:val="18"/>
                <w:lang w:eastAsia="es-EC"/>
              </w:rPr>
            </w:pPr>
            <w:r>
              <w:rPr>
                <w:rFonts w:ascii="Calibri Light" w:eastAsia="Times New Roman" w:hAnsi="Calibri Light" w:cs="Calibri Light"/>
                <w:color w:val="000000"/>
                <w:sz w:val="18"/>
                <w:szCs w:val="18"/>
                <w:lang w:eastAsia="es-EC"/>
              </w:rPr>
              <w:t>-</w:t>
            </w:r>
            <w:r w:rsidRPr="008B6745">
              <w:rPr>
                <w:rFonts w:ascii="Calibri Light" w:eastAsia="Times New Roman" w:hAnsi="Calibri Light" w:cs="Calibri Light"/>
                <w:color w:val="000000"/>
                <w:sz w:val="18"/>
                <w:szCs w:val="18"/>
                <w:lang w:eastAsia="es-EC"/>
              </w:rPr>
              <w:t> </w:t>
            </w:r>
          </w:p>
        </w:tc>
        <w:tc>
          <w:tcPr>
            <w:tcW w:w="753" w:type="dxa"/>
            <w:shd w:val="clear" w:color="auto" w:fill="auto"/>
            <w:noWrap/>
            <w:vAlign w:val="bottom"/>
            <w:hideMark/>
          </w:tcPr>
          <w:p w14:paraId="0E81F754"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-100</w:t>
            </w:r>
          </w:p>
        </w:tc>
      </w:tr>
      <w:tr w:rsidR="00C420E7" w:rsidRPr="008B6745" w14:paraId="728F2CC6" w14:textId="77777777" w:rsidTr="000A4588">
        <w:trPr>
          <w:trHeight w:val="194"/>
          <w:jc w:val="center"/>
        </w:trPr>
        <w:tc>
          <w:tcPr>
            <w:tcW w:w="4531" w:type="dxa"/>
            <w:shd w:val="clear" w:color="auto" w:fill="auto"/>
            <w:noWrap/>
            <w:vAlign w:val="bottom"/>
            <w:hideMark/>
          </w:tcPr>
          <w:p w14:paraId="5824ED56" w14:textId="77777777" w:rsidR="00C420E7" w:rsidRPr="008B6745" w:rsidRDefault="00C420E7" w:rsidP="000A4588">
            <w:pPr>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Exportación Colombia</w:t>
            </w:r>
          </w:p>
        </w:tc>
        <w:tc>
          <w:tcPr>
            <w:tcW w:w="1271" w:type="dxa"/>
            <w:shd w:val="clear" w:color="auto" w:fill="auto"/>
            <w:noWrap/>
            <w:vAlign w:val="bottom"/>
            <w:hideMark/>
          </w:tcPr>
          <w:p w14:paraId="1BB1DFF9"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-4,30 </w:t>
            </w:r>
          </w:p>
        </w:tc>
        <w:tc>
          <w:tcPr>
            <w:tcW w:w="1276" w:type="dxa"/>
            <w:shd w:val="clear" w:color="auto" w:fill="auto"/>
            <w:noWrap/>
            <w:vAlign w:val="bottom"/>
            <w:hideMark/>
          </w:tcPr>
          <w:p w14:paraId="11EA243C"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-0,48 </w:t>
            </w:r>
          </w:p>
        </w:tc>
        <w:tc>
          <w:tcPr>
            <w:tcW w:w="753" w:type="dxa"/>
            <w:shd w:val="clear" w:color="auto" w:fill="auto"/>
            <w:noWrap/>
            <w:vAlign w:val="bottom"/>
            <w:hideMark/>
          </w:tcPr>
          <w:p w14:paraId="5E7CBDEE"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-88,81</w:t>
            </w:r>
          </w:p>
        </w:tc>
      </w:tr>
      <w:tr w:rsidR="00C420E7" w:rsidRPr="008B6745" w14:paraId="5F4A5709" w14:textId="77777777" w:rsidTr="000A4588">
        <w:trPr>
          <w:trHeight w:val="194"/>
          <w:jc w:val="center"/>
        </w:trPr>
        <w:tc>
          <w:tcPr>
            <w:tcW w:w="4531" w:type="dxa"/>
            <w:shd w:val="clear" w:color="auto" w:fill="auto"/>
            <w:noWrap/>
            <w:vAlign w:val="bottom"/>
            <w:hideMark/>
          </w:tcPr>
          <w:p w14:paraId="79B5958C" w14:textId="77777777" w:rsidR="00C420E7" w:rsidRPr="008B6745" w:rsidRDefault="00C420E7" w:rsidP="000A4588">
            <w:pPr>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Tarifa de Transmisión sin interconexiones</w:t>
            </w:r>
          </w:p>
        </w:tc>
        <w:tc>
          <w:tcPr>
            <w:tcW w:w="1271" w:type="dxa"/>
            <w:shd w:val="clear" w:color="auto" w:fill="auto"/>
            <w:noWrap/>
            <w:vAlign w:val="bottom"/>
            <w:hideMark/>
          </w:tcPr>
          <w:p w14:paraId="4637122C"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189,91 </w:t>
            </w:r>
          </w:p>
        </w:tc>
        <w:tc>
          <w:tcPr>
            <w:tcW w:w="1276" w:type="dxa"/>
            <w:shd w:val="clear" w:color="auto" w:fill="auto"/>
            <w:noWrap/>
            <w:vAlign w:val="bottom"/>
            <w:hideMark/>
          </w:tcPr>
          <w:p w14:paraId="49C0F4A1"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160,10 </w:t>
            </w:r>
          </w:p>
        </w:tc>
        <w:tc>
          <w:tcPr>
            <w:tcW w:w="753" w:type="dxa"/>
            <w:shd w:val="clear" w:color="auto" w:fill="auto"/>
            <w:noWrap/>
            <w:vAlign w:val="bottom"/>
            <w:hideMark/>
          </w:tcPr>
          <w:p w14:paraId="0A75ABBE"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-15,7</w:t>
            </w:r>
          </w:p>
        </w:tc>
      </w:tr>
      <w:tr w:rsidR="00C420E7" w:rsidRPr="008B6745" w14:paraId="031A1A2D" w14:textId="77777777" w:rsidTr="000A4588">
        <w:trPr>
          <w:trHeight w:val="194"/>
          <w:jc w:val="center"/>
        </w:trPr>
        <w:tc>
          <w:tcPr>
            <w:tcW w:w="4531" w:type="dxa"/>
            <w:shd w:val="clear" w:color="auto" w:fill="auto"/>
            <w:noWrap/>
            <w:vAlign w:val="bottom"/>
            <w:hideMark/>
          </w:tcPr>
          <w:p w14:paraId="41F9EB42" w14:textId="77777777" w:rsidR="00C420E7" w:rsidRPr="008B6745" w:rsidRDefault="00C420E7" w:rsidP="000A4588">
            <w:pPr>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Servicios Complementarios </w:t>
            </w:r>
          </w:p>
        </w:tc>
        <w:tc>
          <w:tcPr>
            <w:tcW w:w="1271" w:type="dxa"/>
            <w:shd w:val="clear" w:color="auto" w:fill="auto"/>
            <w:noWrap/>
            <w:vAlign w:val="bottom"/>
            <w:hideMark/>
          </w:tcPr>
          <w:p w14:paraId="2BC3078A"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0,35 </w:t>
            </w:r>
          </w:p>
        </w:tc>
        <w:tc>
          <w:tcPr>
            <w:tcW w:w="1276" w:type="dxa"/>
            <w:shd w:val="clear" w:color="auto" w:fill="auto"/>
            <w:noWrap/>
            <w:vAlign w:val="bottom"/>
            <w:hideMark/>
          </w:tcPr>
          <w:p w14:paraId="7404F453"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0,19 </w:t>
            </w:r>
          </w:p>
        </w:tc>
        <w:tc>
          <w:tcPr>
            <w:tcW w:w="753" w:type="dxa"/>
            <w:shd w:val="clear" w:color="auto" w:fill="auto"/>
            <w:noWrap/>
            <w:vAlign w:val="bottom"/>
            <w:hideMark/>
          </w:tcPr>
          <w:p w14:paraId="7D1E0105"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-46,14</w:t>
            </w:r>
          </w:p>
        </w:tc>
      </w:tr>
      <w:tr w:rsidR="00C420E7" w:rsidRPr="008B6745" w14:paraId="6E2823BB" w14:textId="77777777" w:rsidTr="000A4588">
        <w:trPr>
          <w:trHeight w:val="194"/>
          <w:jc w:val="center"/>
        </w:trPr>
        <w:tc>
          <w:tcPr>
            <w:tcW w:w="4531" w:type="dxa"/>
            <w:shd w:val="clear" w:color="auto" w:fill="auto"/>
            <w:noWrap/>
            <w:vAlign w:val="bottom"/>
            <w:hideMark/>
          </w:tcPr>
          <w:p w14:paraId="1B6ADF7B" w14:textId="77777777" w:rsidR="00C420E7" w:rsidRPr="008B6745" w:rsidRDefault="00C420E7" w:rsidP="000A4588">
            <w:pPr>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Transacciones de Corto Plazo deuda</w:t>
            </w:r>
          </w:p>
        </w:tc>
        <w:tc>
          <w:tcPr>
            <w:tcW w:w="1271" w:type="dxa"/>
            <w:shd w:val="clear" w:color="auto" w:fill="auto"/>
            <w:noWrap/>
            <w:vAlign w:val="bottom"/>
            <w:hideMark/>
          </w:tcPr>
          <w:p w14:paraId="6E0C2ED3"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0,26 </w:t>
            </w:r>
          </w:p>
        </w:tc>
        <w:tc>
          <w:tcPr>
            <w:tcW w:w="1276" w:type="dxa"/>
            <w:shd w:val="clear" w:color="auto" w:fill="auto"/>
            <w:noWrap/>
            <w:vAlign w:val="bottom"/>
            <w:hideMark/>
          </w:tcPr>
          <w:p w14:paraId="646D4DE2"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0,69 </w:t>
            </w:r>
          </w:p>
        </w:tc>
        <w:tc>
          <w:tcPr>
            <w:tcW w:w="753" w:type="dxa"/>
            <w:shd w:val="clear" w:color="auto" w:fill="auto"/>
            <w:noWrap/>
            <w:vAlign w:val="bottom"/>
            <w:hideMark/>
          </w:tcPr>
          <w:p w14:paraId="5051D368"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165,67</w:t>
            </w:r>
          </w:p>
        </w:tc>
      </w:tr>
      <w:tr w:rsidR="00C420E7" w:rsidRPr="008B6745" w14:paraId="095BB70A" w14:textId="77777777" w:rsidTr="000A4588">
        <w:trPr>
          <w:trHeight w:val="194"/>
          <w:jc w:val="center"/>
        </w:trPr>
        <w:tc>
          <w:tcPr>
            <w:tcW w:w="4531" w:type="dxa"/>
            <w:shd w:val="clear" w:color="auto" w:fill="auto"/>
            <w:noWrap/>
            <w:vAlign w:val="bottom"/>
            <w:hideMark/>
          </w:tcPr>
          <w:p w14:paraId="14EFACCE" w14:textId="77777777" w:rsidR="00C420E7" w:rsidRPr="008B6745" w:rsidRDefault="00C420E7" w:rsidP="000A4588">
            <w:pPr>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Transacciones de Corto Plazo acreencia</w:t>
            </w:r>
          </w:p>
        </w:tc>
        <w:tc>
          <w:tcPr>
            <w:tcW w:w="1271" w:type="dxa"/>
            <w:shd w:val="clear" w:color="auto" w:fill="auto"/>
            <w:noWrap/>
            <w:vAlign w:val="bottom"/>
            <w:hideMark/>
          </w:tcPr>
          <w:p w14:paraId="49C515A8"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-14,12 </w:t>
            </w:r>
          </w:p>
        </w:tc>
        <w:tc>
          <w:tcPr>
            <w:tcW w:w="1276" w:type="dxa"/>
            <w:shd w:val="clear" w:color="auto" w:fill="auto"/>
            <w:noWrap/>
            <w:vAlign w:val="bottom"/>
            <w:hideMark/>
          </w:tcPr>
          <w:p w14:paraId="28DC9810"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-14,21 </w:t>
            </w:r>
          </w:p>
        </w:tc>
        <w:tc>
          <w:tcPr>
            <w:tcW w:w="753" w:type="dxa"/>
            <w:shd w:val="clear" w:color="auto" w:fill="auto"/>
            <w:noWrap/>
            <w:vAlign w:val="bottom"/>
            <w:hideMark/>
          </w:tcPr>
          <w:p w14:paraId="31C262F9"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0,66</w:t>
            </w:r>
          </w:p>
        </w:tc>
      </w:tr>
      <w:tr w:rsidR="00C420E7" w:rsidRPr="008B6745" w14:paraId="146C3CED" w14:textId="77777777" w:rsidTr="000A4588">
        <w:trPr>
          <w:trHeight w:val="194"/>
          <w:jc w:val="center"/>
        </w:trPr>
        <w:tc>
          <w:tcPr>
            <w:tcW w:w="4531" w:type="dxa"/>
            <w:shd w:val="clear" w:color="auto" w:fill="auto"/>
            <w:noWrap/>
            <w:vAlign w:val="bottom"/>
            <w:hideMark/>
          </w:tcPr>
          <w:p w14:paraId="1E89A02D" w14:textId="77777777" w:rsidR="00C420E7" w:rsidRPr="008B6745" w:rsidRDefault="00C420E7" w:rsidP="000A4588">
            <w:pPr>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Aporte por Generación Propia No Regulados</w:t>
            </w:r>
          </w:p>
        </w:tc>
        <w:tc>
          <w:tcPr>
            <w:tcW w:w="1271" w:type="dxa"/>
            <w:shd w:val="clear" w:color="auto" w:fill="auto"/>
            <w:noWrap/>
            <w:vAlign w:val="bottom"/>
            <w:hideMark/>
          </w:tcPr>
          <w:p w14:paraId="20D291E7" w14:textId="77777777" w:rsidR="00C420E7" w:rsidRPr="008B6745" w:rsidRDefault="00C420E7" w:rsidP="000A4588">
            <w:pPr>
              <w:jc w:val="right"/>
              <w:rPr>
                <w:rFonts w:ascii="Calibri Light" w:eastAsia="Times New Roman" w:hAnsi="Calibri Light" w:cs="Calibri Light"/>
                <w:color w:val="000000"/>
                <w:sz w:val="18"/>
                <w:szCs w:val="18"/>
                <w:lang w:eastAsia="es-EC"/>
              </w:rPr>
            </w:pPr>
            <w:r>
              <w:rPr>
                <w:rFonts w:ascii="Calibri Light" w:eastAsia="Times New Roman" w:hAnsi="Calibri Light" w:cs="Calibri Light"/>
                <w:color w:val="000000"/>
                <w:sz w:val="18"/>
                <w:szCs w:val="18"/>
                <w:lang w:eastAsia="es-EC"/>
              </w:rPr>
              <w:t>-</w:t>
            </w:r>
            <w:r w:rsidRPr="008B6745">
              <w:rPr>
                <w:rFonts w:ascii="Calibri Light" w:eastAsia="Times New Roman" w:hAnsi="Calibri Light" w:cs="Calibri Light"/>
                <w:color w:val="000000"/>
                <w:sz w:val="18"/>
                <w:szCs w:val="18"/>
                <w:lang w:eastAsia="es-EC"/>
              </w:rPr>
              <w:t> </w:t>
            </w:r>
          </w:p>
        </w:tc>
        <w:tc>
          <w:tcPr>
            <w:tcW w:w="1276" w:type="dxa"/>
            <w:shd w:val="clear" w:color="auto" w:fill="auto"/>
            <w:noWrap/>
            <w:vAlign w:val="bottom"/>
            <w:hideMark/>
          </w:tcPr>
          <w:p w14:paraId="4933FD32"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4,66 </w:t>
            </w:r>
          </w:p>
        </w:tc>
        <w:tc>
          <w:tcPr>
            <w:tcW w:w="753" w:type="dxa"/>
            <w:shd w:val="clear" w:color="auto" w:fill="auto"/>
            <w:noWrap/>
            <w:vAlign w:val="bottom"/>
            <w:hideMark/>
          </w:tcPr>
          <w:p w14:paraId="6A853C6E" w14:textId="77777777" w:rsidR="00C420E7" w:rsidRPr="008B6745" w:rsidRDefault="00C420E7" w:rsidP="000A4588">
            <w:pPr>
              <w:jc w:val="right"/>
              <w:rPr>
                <w:rFonts w:ascii="Calibri Light" w:eastAsia="Times New Roman" w:hAnsi="Calibri Light" w:cs="Calibri Light"/>
                <w:color w:val="000000"/>
                <w:sz w:val="18"/>
                <w:szCs w:val="18"/>
                <w:lang w:eastAsia="es-EC"/>
              </w:rPr>
            </w:pPr>
            <w:r>
              <w:rPr>
                <w:rFonts w:ascii="Calibri Light" w:eastAsia="Times New Roman" w:hAnsi="Calibri Light" w:cs="Calibri Light"/>
                <w:color w:val="000000"/>
                <w:sz w:val="18"/>
                <w:szCs w:val="18"/>
                <w:lang w:eastAsia="es-EC"/>
              </w:rPr>
              <w:t>-</w:t>
            </w:r>
            <w:r w:rsidRPr="008B6745">
              <w:rPr>
                <w:rFonts w:ascii="Calibri Light" w:eastAsia="Times New Roman" w:hAnsi="Calibri Light" w:cs="Calibri Light"/>
                <w:color w:val="000000"/>
                <w:sz w:val="18"/>
                <w:szCs w:val="18"/>
                <w:lang w:eastAsia="es-EC"/>
              </w:rPr>
              <w:t> </w:t>
            </w:r>
          </w:p>
        </w:tc>
      </w:tr>
      <w:tr w:rsidR="00C420E7" w:rsidRPr="008B6745" w14:paraId="153A67ED" w14:textId="77777777" w:rsidTr="000A4588">
        <w:trPr>
          <w:trHeight w:val="194"/>
          <w:jc w:val="center"/>
        </w:trPr>
        <w:tc>
          <w:tcPr>
            <w:tcW w:w="4531" w:type="dxa"/>
            <w:shd w:val="clear" w:color="auto" w:fill="auto"/>
            <w:noWrap/>
            <w:vAlign w:val="bottom"/>
            <w:hideMark/>
          </w:tcPr>
          <w:p w14:paraId="176A1855" w14:textId="77777777" w:rsidR="00C420E7" w:rsidRPr="008B6745" w:rsidRDefault="00C420E7" w:rsidP="000A4588">
            <w:pPr>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Aporte por Generación Propia Regulados</w:t>
            </w:r>
          </w:p>
        </w:tc>
        <w:tc>
          <w:tcPr>
            <w:tcW w:w="1271" w:type="dxa"/>
            <w:shd w:val="clear" w:color="auto" w:fill="auto"/>
            <w:noWrap/>
            <w:vAlign w:val="bottom"/>
            <w:hideMark/>
          </w:tcPr>
          <w:p w14:paraId="5C342C40" w14:textId="77777777" w:rsidR="00C420E7" w:rsidRPr="008B6745" w:rsidRDefault="00C420E7" w:rsidP="000A4588">
            <w:pPr>
              <w:jc w:val="right"/>
              <w:rPr>
                <w:rFonts w:ascii="Calibri Light" w:eastAsia="Times New Roman" w:hAnsi="Calibri Light" w:cs="Calibri Light"/>
                <w:color w:val="000000"/>
                <w:sz w:val="18"/>
                <w:szCs w:val="18"/>
                <w:lang w:eastAsia="es-EC"/>
              </w:rPr>
            </w:pPr>
            <w:r>
              <w:rPr>
                <w:rFonts w:ascii="Calibri Light" w:eastAsia="Times New Roman" w:hAnsi="Calibri Light" w:cs="Calibri Light"/>
                <w:color w:val="000000"/>
                <w:sz w:val="18"/>
                <w:szCs w:val="18"/>
                <w:lang w:eastAsia="es-EC"/>
              </w:rPr>
              <w:t>-</w:t>
            </w:r>
            <w:r w:rsidRPr="008B6745">
              <w:rPr>
                <w:rFonts w:ascii="Calibri Light" w:eastAsia="Times New Roman" w:hAnsi="Calibri Light" w:cs="Calibri Light"/>
                <w:color w:val="000000"/>
                <w:sz w:val="18"/>
                <w:szCs w:val="18"/>
                <w:lang w:eastAsia="es-EC"/>
              </w:rPr>
              <w:t> </w:t>
            </w:r>
          </w:p>
        </w:tc>
        <w:tc>
          <w:tcPr>
            <w:tcW w:w="1276" w:type="dxa"/>
            <w:shd w:val="clear" w:color="auto" w:fill="auto"/>
            <w:noWrap/>
            <w:vAlign w:val="bottom"/>
            <w:hideMark/>
          </w:tcPr>
          <w:p w14:paraId="58927601" w14:textId="77777777" w:rsidR="00C420E7" w:rsidRPr="008B6745" w:rsidRDefault="00C420E7" w:rsidP="000A4588">
            <w:pPr>
              <w:jc w:val="right"/>
              <w:rPr>
                <w:rFonts w:ascii="Calibri Light" w:eastAsia="Times New Roman" w:hAnsi="Calibri Light" w:cs="Calibri Light"/>
                <w:color w:val="000000"/>
                <w:sz w:val="18"/>
                <w:szCs w:val="18"/>
                <w:lang w:eastAsia="es-EC"/>
              </w:rPr>
            </w:pPr>
            <w:r w:rsidRPr="008B6745">
              <w:rPr>
                <w:rFonts w:ascii="Calibri Light" w:eastAsia="Times New Roman" w:hAnsi="Calibri Light" w:cs="Calibri Light"/>
                <w:color w:val="000000"/>
                <w:sz w:val="18"/>
                <w:szCs w:val="18"/>
                <w:lang w:eastAsia="es-EC"/>
              </w:rPr>
              <w:t xml:space="preserve">            9,36 </w:t>
            </w:r>
          </w:p>
        </w:tc>
        <w:tc>
          <w:tcPr>
            <w:tcW w:w="753" w:type="dxa"/>
            <w:shd w:val="clear" w:color="auto" w:fill="auto"/>
            <w:noWrap/>
            <w:vAlign w:val="bottom"/>
            <w:hideMark/>
          </w:tcPr>
          <w:p w14:paraId="05C5EDA4" w14:textId="77777777" w:rsidR="00C420E7" w:rsidRPr="008B6745" w:rsidRDefault="00C420E7" w:rsidP="000A4588">
            <w:pPr>
              <w:jc w:val="right"/>
              <w:rPr>
                <w:rFonts w:ascii="Calibri Light" w:eastAsia="Times New Roman" w:hAnsi="Calibri Light" w:cs="Calibri Light"/>
                <w:color w:val="000000"/>
                <w:sz w:val="18"/>
                <w:szCs w:val="18"/>
                <w:lang w:eastAsia="es-EC"/>
              </w:rPr>
            </w:pPr>
            <w:r>
              <w:rPr>
                <w:rFonts w:ascii="Calibri Light" w:eastAsia="Times New Roman" w:hAnsi="Calibri Light" w:cs="Calibri Light"/>
                <w:color w:val="000000"/>
                <w:sz w:val="18"/>
                <w:szCs w:val="18"/>
                <w:lang w:eastAsia="es-EC"/>
              </w:rPr>
              <w:t>-</w:t>
            </w:r>
            <w:r w:rsidRPr="008B6745">
              <w:rPr>
                <w:rFonts w:ascii="Calibri Light" w:eastAsia="Times New Roman" w:hAnsi="Calibri Light" w:cs="Calibri Light"/>
                <w:color w:val="000000"/>
                <w:sz w:val="18"/>
                <w:szCs w:val="18"/>
                <w:lang w:eastAsia="es-EC"/>
              </w:rPr>
              <w:t> </w:t>
            </w:r>
          </w:p>
        </w:tc>
      </w:tr>
      <w:tr w:rsidR="00C420E7" w:rsidRPr="008B6745" w14:paraId="48F36EEC" w14:textId="77777777" w:rsidTr="000A4588">
        <w:trPr>
          <w:trHeight w:val="194"/>
          <w:jc w:val="center"/>
        </w:trPr>
        <w:tc>
          <w:tcPr>
            <w:tcW w:w="4531" w:type="dxa"/>
            <w:shd w:val="clear" w:color="auto" w:fill="auto"/>
            <w:noWrap/>
            <w:vAlign w:val="bottom"/>
            <w:hideMark/>
          </w:tcPr>
          <w:p w14:paraId="7CB19D2D" w14:textId="77777777" w:rsidR="00C420E7" w:rsidRPr="008B6745" w:rsidRDefault="00C420E7" w:rsidP="000A4588">
            <w:pPr>
              <w:rPr>
                <w:rFonts w:ascii="Calibri Light" w:eastAsia="Times New Roman" w:hAnsi="Calibri Light" w:cs="Calibri Light"/>
                <w:b/>
                <w:color w:val="000000"/>
                <w:sz w:val="18"/>
                <w:szCs w:val="18"/>
                <w:lang w:eastAsia="es-EC"/>
              </w:rPr>
            </w:pPr>
            <w:r w:rsidRPr="008B6745">
              <w:rPr>
                <w:rFonts w:ascii="Calibri Light" w:eastAsia="Times New Roman" w:hAnsi="Calibri Light" w:cs="Calibri Light"/>
                <w:b/>
                <w:color w:val="000000"/>
                <w:sz w:val="18"/>
                <w:szCs w:val="18"/>
                <w:lang w:eastAsia="es-EC"/>
              </w:rPr>
              <w:t>Total</w:t>
            </w:r>
          </w:p>
        </w:tc>
        <w:tc>
          <w:tcPr>
            <w:tcW w:w="1271" w:type="dxa"/>
            <w:shd w:val="clear" w:color="auto" w:fill="auto"/>
            <w:noWrap/>
            <w:vAlign w:val="bottom"/>
            <w:hideMark/>
          </w:tcPr>
          <w:p w14:paraId="44E7BC63" w14:textId="77777777" w:rsidR="00C420E7" w:rsidRPr="008B6745" w:rsidRDefault="00C420E7" w:rsidP="000A4588">
            <w:pPr>
              <w:jc w:val="right"/>
              <w:rPr>
                <w:rFonts w:ascii="Calibri Light" w:eastAsia="Times New Roman" w:hAnsi="Calibri Light" w:cs="Calibri Light"/>
                <w:b/>
                <w:color w:val="000000"/>
                <w:sz w:val="18"/>
                <w:szCs w:val="18"/>
                <w:lang w:eastAsia="es-EC"/>
              </w:rPr>
            </w:pPr>
            <w:r w:rsidRPr="008B6745">
              <w:rPr>
                <w:rFonts w:ascii="Calibri Light" w:eastAsia="Times New Roman" w:hAnsi="Calibri Light" w:cs="Calibri Light"/>
                <w:b/>
                <w:color w:val="000000"/>
                <w:sz w:val="18"/>
                <w:szCs w:val="18"/>
                <w:lang w:eastAsia="es-EC"/>
              </w:rPr>
              <w:t>1.252,18</w:t>
            </w:r>
          </w:p>
        </w:tc>
        <w:tc>
          <w:tcPr>
            <w:tcW w:w="1276" w:type="dxa"/>
            <w:shd w:val="clear" w:color="auto" w:fill="auto"/>
            <w:noWrap/>
            <w:vAlign w:val="bottom"/>
            <w:hideMark/>
          </w:tcPr>
          <w:p w14:paraId="0932F151" w14:textId="77777777" w:rsidR="00C420E7" w:rsidRPr="008B6745" w:rsidRDefault="00C420E7" w:rsidP="000A4588">
            <w:pPr>
              <w:jc w:val="right"/>
              <w:rPr>
                <w:rFonts w:ascii="Calibri Light" w:eastAsia="Times New Roman" w:hAnsi="Calibri Light" w:cs="Calibri Light"/>
                <w:b/>
                <w:color w:val="000000"/>
                <w:sz w:val="18"/>
                <w:szCs w:val="18"/>
                <w:lang w:eastAsia="es-EC"/>
              </w:rPr>
            </w:pPr>
            <w:r w:rsidRPr="008B6745">
              <w:rPr>
                <w:rFonts w:ascii="Calibri Light" w:eastAsia="Times New Roman" w:hAnsi="Calibri Light" w:cs="Calibri Light"/>
                <w:b/>
                <w:color w:val="000000"/>
                <w:sz w:val="18"/>
                <w:szCs w:val="18"/>
                <w:lang w:eastAsia="es-EC"/>
              </w:rPr>
              <w:t>1.564,07</w:t>
            </w:r>
          </w:p>
        </w:tc>
        <w:tc>
          <w:tcPr>
            <w:tcW w:w="753" w:type="dxa"/>
            <w:shd w:val="clear" w:color="auto" w:fill="auto"/>
            <w:noWrap/>
            <w:vAlign w:val="center"/>
            <w:hideMark/>
          </w:tcPr>
          <w:p w14:paraId="0260719E" w14:textId="77777777" w:rsidR="00C420E7" w:rsidRPr="008B6745" w:rsidRDefault="00C420E7" w:rsidP="000A4588">
            <w:pPr>
              <w:jc w:val="right"/>
              <w:rPr>
                <w:rFonts w:ascii="Calibri Light" w:eastAsia="Times New Roman" w:hAnsi="Calibri Light" w:cs="Calibri Light"/>
                <w:b/>
                <w:color w:val="000000"/>
                <w:sz w:val="18"/>
                <w:szCs w:val="18"/>
                <w:lang w:eastAsia="es-EC"/>
              </w:rPr>
            </w:pPr>
            <w:r w:rsidRPr="008B6745">
              <w:rPr>
                <w:rFonts w:ascii="Calibri Light" w:eastAsia="Times New Roman" w:hAnsi="Calibri Light" w:cs="Calibri Light"/>
                <w:b/>
                <w:color w:val="000000"/>
                <w:sz w:val="18"/>
                <w:szCs w:val="18"/>
                <w:lang w:eastAsia="es-EC"/>
              </w:rPr>
              <w:t>24,91</w:t>
            </w:r>
          </w:p>
        </w:tc>
      </w:tr>
      <w:tr w:rsidR="00C420E7" w:rsidRPr="008B6745" w14:paraId="23C50452" w14:textId="77777777" w:rsidTr="000A4588">
        <w:trPr>
          <w:trHeight w:val="199"/>
          <w:jc w:val="center"/>
        </w:trPr>
        <w:tc>
          <w:tcPr>
            <w:tcW w:w="4531" w:type="dxa"/>
            <w:shd w:val="clear" w:color="auto" w:fill="auto"/>
            <w:noWrap/>
            <w:vAlign w:val="bottom"/>
            <w:hideMark/>
          </w:tcPr>
          <w:p w14:paraId="3DF33A3D" w14:textId="77777777" w:rsidR="00C420E7" w:rsidRPr="008B6745" w:rsidRDefault="00C420E7" w:rsidP="000A4588">
            <w:pPr>
              <w:rPr>
                <w:rFonts w:ascii="Calibri Light" w:eastAsia="Times New Roman" w:hAnsi="Calibri Light" w:cs="Calibri Light"/>
                <w:b/>
                <w:color w:val="000000"/>
                <w:sz w:val="18"/>
                <w:szCs w:val="18"/>
                <w:lang w:eastAsia="es-EC"/>
              </w:rPr>
            </w:pPr>
            <w:r w:rsidRPr="008B6745">
              <w:rPr>
                <w:rFonts w:ascii="Calibri Light" w:eastAsia="Times New Roman" w:hAnsi="Calibri Light" w:cs="Calibri Light"/>
                <w:b/>
                <w:color w:val="000000"/>
                <w:sz w:val="18"/>
                <w:szCs w:val="18"/>
                <w:lang w:eastAsia="es-EC"/>
              </w:rPr>
              <w:t xml:space="preserve">Precio Medio </w:t>
            </w:r>
            <w:proofErr w:type="spellStart"/>
            <w:r w:rsidRPr="008B6745">
              <w:rPr>
                <w:rFonts w:ascii="Calibri Light" w:eastAsia="Times New Roman" w:hAnsi="Calibri Light" w:cs="Calibri Light"/>
                <w:b/>
                <w:color w:val="000000"/>
                <w:sz w:val="18"/>
                <w:szCs w:val="18"/>
                <w:lang w:eastAsia="es-EC"/>
              </w:rPr>
              <w:t>ctv</w:t>
            </w:r>
            <w:proofErr w:type="spellEnd"/>
            <w:r w:rsidRPr="008B6745">
              <w:rPr>
                <w:rFonts w:ascii="Calibri Light" w:eastAsia="Times New Roman" w:hAnsi="Calibri Light" w:cs="Calibri Light"/>
                <w:b/>
                <w:color w:val="000000"/>
                <w:sz w:val="18"/>
                <w:szCs w:val="18"/>
                <w:lang w:eastAsia="es-EC"/>
              </w:rPr>
              <w:t xml:space="preserve"> USD/KWh</w:t>
            </w:r>
          </w:p>
        </w:tc>
        <w:tc>
          <w:tcPr>
            <w:tcW w:w="1271" w:type="dxa"/>
            <w:shd w:val="clear" w:color="auto" w:fill="auto"/>
            <w:noWrap/>
            <w:vAlign w:val="bottom"/>
            <w:hideMark/>
          </w:tcPr>
          <w:p w14:paraId="370E1339" w14:textId="77777777" w:rsidR="00C420E7" w:rsidRPr="008B6745" w:rsidRDefault="00C420E7" w:rsidP="000A4588">
            <w:pPr>
              <w:jc w:val="right"/>
              <w:rPr>
                <w:rFonts w:ascii="Calibri Light" w:eastAsia="Times New Roman" w:hAnsi="Calibri Light" w:cs="Calibri Light"/>
                <w:b/>
                <w:color w:val="000000"/>
                <w:sz w:val="18"/>
                <w:szCs w:val="18"/>
                <w:lang w:eastAsia="es-EC"/>
              </w:rPr>
            </w:pPr>
            <w:r w:rsidRPr="008B6745">
              <w:rPr>
                <w:rFonts w:ascii="Calibri Light" w:eastAsia="Times New Roman" w:hAnsi="Calibri Light" w:cs="Calibri Light"/>
                <w:b/>
                <w:color w:val="000000"/>
                <w:sz w:val="18"/>
                <w:szCs w:val="18"/>
                <w:lang w:eastAsia="es-EC"/>
              </w:rPr>
              <w:t>4,1</w:t>
            </w:r>
            <w:r>
              <w:rPr>
                <w:rFonts w:ascii="Calibri Light" w:eastAsia="Times New Roman" w:hAnsi="Calibri Light" w:cs="Calibri Light"/>
                <w:b/>
                <w:color w:val="000000"/>
                <w:sz w:val="18"/>
                <w:szCs w:val="18"/>
                <w:lang w:eastAsia="es-EC"/>
              </w:rPr>
              <w:t>4</w:t>
            </w:r>
          </w:p>
        </w:tc>
        <w:tc>
          <w:tcPr>
            <w:tcW w:w="1276" w:type="dxa"/>
            <w:shd w:val="clear" w:color="auto" w:fill="auto"/>
            <w:noWrap/>
            <w:vAlign w:val="bottom"/>
            <w:hideMark/>
          </w:tcPr>
          <w:p w14:paraId="32043C1D" w14:textId="77777777" w:rsidR="00C420E7" w:rsidRPr="008B6745" w:rsidRDefault="00C420E7" w:rsidP="000A4588">
            <w:pPr>
              <w:jc w:val="right"/>
              <w:rPr>
                <w:rFonts w:ascii="Calibri Light" w:eastAsia="Times New Roman" w:hAnsi="Calibri Light" w:cs="Calibri Light"/>
                <w:b/>
                <w:color w:val="000000"/>
                <w:sz w:val="18"/>
                <w:szCs w:val="18"/>
                <w:lang w:eastAsia="es-EC"/>
              </w:rPr>
            </w:pPr>
            <w:r w:rsidRPr="008B6745">
              <w:rPr>
                <w:rFonts w:ascii="Calibri Light" w:eastAsia="Times New Roman" w:hAnsi="Calibri Light" w:cs="Calibri Light"/>
                <w:b/>
                <w:color w:val="000000"/>
                <w:sz w:val="18"/>
                <w:szCs w:val="18"/>
                <w:lang w:eastAsia="es-EC"/>
              </w:rPr>
              <w:t>5,25</w:t>
            </w:r>
          </w:p>
        </w:tc>
        <w:tc>
          <w:tcPr>
            <w:tcW w:w="753" w:type="dxa"/>
            <w:shd w:val="clear" w:color="auto" w:fill="auto"/>
            <w:noWrap/>
            <w:vAlign w:val="center"/>
            <w:hideMark/>
          </w:tcPr>
          <w:p w14:paraId="6782E62C" w14:textId="77777777" w:rsidR="00C420E7" w:rsidRPr="008B6745" w:rsidRDefault="00C420E7" w:rsidP="000A4588">
            <w:pPr>
              <w:jc w:val="right"/>
              <w:rPr>
                <w:rFonts w:ascii="Calibri Light" w:eastAsia="Times New Roman" w:hAnsi="Calibri Light" w:cs="Calibri Light"/>
                <w:b/>
                <w:color w:val="000000"/>
                <w:sz w:val="18"/>
                <w:szCs w:val="18"/>
                <w:lang w:eastAsia="es-EC"/>
              </w:rPr>
            </w:pPr>
            <w:r w:rsidRPr="008B6745">
              <w:rPr>
                <w:rFonts w:ascii="Calibri Light" w:eastAsia="Times New Roman" w:hAnsi="Calibri Light" w:cs="Calibri Light"/>
                <w:b/>
                <w:color w:val="000000"/>
                <w:sz w:val="18"/>
                <w:szCs w:val="18"/>
                <w:lang w:eastAsia="es-EC"/>
              </w:rPr>
              <w:t>27,00</w:t>
            </w:r>
          </w:p>
        </w:tc>
      </w:tr>
    </w:tbl>
    <w:p w14:paraId="58438B90" w14:textId="77777777" w:rsidR="00C420E7" w:rsidRPr="00192E54" w:rsidRDefault="00C420E7" w:rsidP="00C420E7">
      <w:pPr>
        <w:jc w:val="center"/>
        <w:rPr>
          <w:rFonts w:asciiTheme="majorHAnsi" w:hAnsiTheme="majorHAnsi" w:cstheme="majorHAnsi"/>
          <w:i/>
          <w:iCs/>
          <w:color w:val="44546A" w:themeColor="text2"/>
          <w:sz w:val="18"/>
          <w:szCs w:val="18"/>
        </w:rPr>
      </w:pPr>
      <w:r w:rsidRPr="00192E54">
        <w:rPr>
          <w:rFonts w:asciiTheme="majorHAnsi" w:hAnsiTheme="majorHAnsi" w:cstheme="majorHAnsi"/>
          <w:i/>
          <w:iCs/>
          <w:color w:val="44546A" w:themeColor="text2"/>
          <w:sz w:val="18"/>
          <w:szCs w:val="18"/>
        </w:rPr>
        <w:t>Fuente: Boletín CENACE, diciembre 2024.</w:t>
      </w:r>
    </w:p>
    <w:p w14:paraId="679DAEC4" w14:textId="77777777" w:rsidR="00415726" w:rsidRDefault="00415726" w:rsidP="00C420E7">
      <w:pPr>
        <w:jc w:val="both"/>
        <w:rPr>
          <w:rFonts w:asciiTheme="majorHAnsi" w:hAnsiTheme="majorHAnsi" w:cstheme="majorHAnsi"/>
          <w:b/>
          <w:sz w:val="22"/>
        </w:rPr>
      </w:pPr>
    </w:p>
    <w:p w14:paraId="75AEDEE2" w14:textId="77777777" w:rsidR="00C420E7" w:rsidRDefault="00C420E7" w:rsidP="00C420E7">
      <w:pPr>
        <w:jc w:val="both"/>
        <w:rPr>
          <w:rFonts w:asciiTheme="majorHAnsi" w:hAnsiTheme="majorHAnsi" w:cstheme="majorHAnsi"/>
          <w:b/>
          <w:sz w:val="22"/>
        </w:rPr>
      </w:pPr>
      <w:r>
        <w:rPr>
          <w:rFonts w:asciiTheme="majorHAnsi" w:hAnsiTheme="majorHAnsi" w:cstheme="majorHAnsi"/>
          <w:b/>
          <w:sz w:val="22"/>
        </w:rPr>
        <w:lastRenderedPageBreak/>
        <w:t>Seguimiento y evaluación a la gestión comercial de las empresas de generación y transmisión de energía eléctrica.</w:t>
      </w:r>
    </w:p>
    <w:p w14:paraId="50A98919" w14:textId="77777777" w:rsidR="00C420E7" w:rsidRDefault="00C420E7" w:rsidP="00C420E7">
      <w:pPr>
        <w:jc w:val="both"/>
        <w:rPr>
          <w:rFonts w:asciiTheme="majorHAnsi" w:hAnsiTheme="majorHAnsi" w:cstheme="majorHAnsi"/>
          <w:b/>
          <w:sz w:val="22"/>
        </w:rPr>
      </w:pPr>
    </w:p>
    <w:p w14:paraId="1F6A5CFE" w14:textId="62C7AA11" w:rsidR="00C420E7" w:rsidRDefault="00C420E7" w:rsidP="00C420E7">
      <w:pPr>
        <w:jc w:val="both"/>
        <w:rPr>
          <w:rFonts w:ascii="Calibri Light" w:eastAsia="Calibri" w:hAnsi="Calibri Light" w:cs="Calibri Light"/>
          <w:color w:val="000000"/>
          <w:sz w:val="22"/>
          <w:szCs w:val="22"/>
        </w:rPr>
      </w:pPr>
      <w:r w:rsidRPr="007239CB">
        <w:rPr>
          <w:rFonts w:ascii="Calibri Light" w:eastAsia="Calibri" w:hAnsi="Calibri Light" w:cs="Calibri Light"/>
          <w:color w:val="000000"/>
          <w:sz w:val="22"/>
          <w:szCs w:val="22"/>
        </w:rPr>
        <w:t>En 2024, se realizó el seguimiento de los principales indicadores de Gestión Comercial de las generadoras públicas ecuatorianas CELEC EP y ELECAUSTRO, recopilándose información mensual sobre su facturación y recaudación por la compra-venta de energía.</w:t>
      </w:r>
    </w:p>
    <w:p w14:paraId="4E7E37FE" w14:textId="77777777" w:rsidR="00C420E7" w:rsidRDefault="00C420E7" w:rsidP="00C420E7">
      <w:pPr>
        <w:jc w:val="both"/>
        <w:rPr>
          <w:rFonts w:ascii="Calibri Light" w:eastAsia="Calibri" w:hAnsi="Calibri Light" w:cs="Calibri Light"/>
          <w:color w:val="000000"/>
          <w:sz w:val="22"/>
          <w:szCs w:val="22"/>
        </w:rPr>
      </w:pPr>
      <w:r>
        <w:rPr>
          <w:rFonts w:ascii="Calibri Light" w:eastAsia="Calibri" w:hAnsi="Calibri Light" w:cs="Calibri Light"/>
          <w:color w:val="000000"/>
          <w:sz w:val="22"/>
          <w:szCs w:val="22"/>
        </w:rPr>
        <w:t>En el caso de la Corporación Eléctrica del Ecuador - CELEC EP, la facturación y recaudación mensual se presentó de la siguiente manera:</w:t>
      </w:r>
    </w:p>
    <w:p w14:paraId="5B36DC32" w14:textId="77777777" w:rsidR="00C420E7" w:rsidRDefault="00C420E7" w:rsidP="00C420E7">
      <w:pPr>
        <w:tabs>
          <w:tab w:val="left" w:pos="4806"/>
        </w:tabs>
      </w:pPr>
    </w:p>
    <w:p w14:paraId="62AA4A98" w14:textId="7D36B430" w:rsidR="00C420E7" w:rsidRPr="001E01AE" w:rsidRDefault="00C420E7" w:rsidP="00C420E7">
      <w:pPr>
        <w:pStyle w:val="Descripcin"/>
        <w:rPr>
          <w:rFonts w:asciiTheme="majorHAnsi" w:hAnsiTheme="majorHAnsi" w:cstheme="majorHAnsi"/>
        </w:rPr>
      </w:pPr>
      <w:bookmarkStart w:id="325" w:name="_Toc198110405"/>
      <w:bookmarkStart w:id="326" w:name="_Toc199757568"/>
      <w:r w:rsidRPr="001E01AE">
        <w:rPr>
          <w:rFonts w:asciiTheme="majorHAnsi" w:hAnsiTheme="majorHAnsi" w:cstheme="majorHAnsi"/>
        </w:rPr>
        <w:t xml:space="preserve">Figura </w:t>
      </w:r>
      <w:r w:rsidR="002026B0" w:rsidRPr="001E01AE">
        <w:rPr>
          <w:rFonts w:asciiTheme="majorHAnsi" w:hAnsiTheme="majorHAnsi" w:cstheme="majorHAnsi"/>
        </w:rPr>
        <w:fldChar w:fldCharType="begin"/>
      </w:r>
      <w:r w:rsidR="002026B0" w:rsidRPr="001E01AE">
        <w:rPr>
          <w:rFonts w:asciiTheme="majorHAnsi" w:hAnsiTheme="majorHAnsi" w:cstheme="majorHAnsi"/>
        </w:rPr>
        <w:instrText xml:space="preserve"> SEQ Figura \* ARABIC </w:instrText>
      </w:r>
      <w:r w:rsidR="002026B0" w:rsidRPr="001E01AE">
        <w:rPr>
          <w:rFonts w:asciiTheme="majorHAnsi" w:hAnsiTheme="majorHAnsi" w:cstheme="majorHAnsi"/>
        </w:rPr>
        <w:fldChar w:fldCharType="separate"/>
      </w:r>
      <w:r w:rsidR="00C751F5">
        <w:rPr>
          <w:rFonts w:asciiTheme="majorHAnsi" w:hAnsiTheme="majorHAnsi" w:cstheme="majorHAnsi"/>
          <w:noProof/>
        </w:rPr>
        <w:t>25</w:t>
      </w:r>
      <w:r w:rsidR="002026B0" w:rsidRPr="001E01AE">
        <w:rPr>
          <w:rFonts w:asciiTheme="majorHAnsi" w:hAnsiTheme="majorHAnsi" w:cstheme="majorHAnsi"/>
        </w:rPr>
        <w:fldChar w:fldCharType="end"/>
      </w:r>
      <w:r w:rsidR="00190089">
        <w:rPr>
          <w:rFonts w:asciiTheme="majorHAnsi" w:hAnsiTheme="majorHAnsi" w:cstheme="majorHAnsi"/>
        </w:rPr>
        <w:t xml:space="preserve">: </w:t>
      </w:r>
      <w:r w:rsidRPr="001E01AE">
        <w:rPr>
          <w:rFonts w:asciiTheme="majorHAnsi" w:hAnsiTheme="majorHAnsi" w:cstheme="majorHAnsi"/>
        </w:rPr>
        <w:t xml:space="preserve"> Facturación y recaudación CELEC EP enero – diciembre 2024</w:t>
      </w:r>
      <w:bookmarkEnd w:id="325"/>
      <w:bookmarkEnd w:id="326"/>
    </w:p>
    <w:p w14:paraId="39FCA0A8" w14:textId="77777777" w:rsidR="00C420E7" w:rsidRDefault="00C420E7" w:rsidP="00C420E7">
      <w:pPr>
        <w:jc w:val="center"/>
      </w:pPr>
      <w:r>
        <w:rPr>
          <w:noProof/>
        </w:rPr>
        <w:drawing>
          <wp:inline distT="0" distB="0" distL="0" distR="0" wp14:anchorId="08D6AA72" wp14:editId="32B41CE3">
            <wp:extent cx="5295418" cy="2147104"/>
            <wp:effectExtent l="0" t="0" r="635" b="5715"/>
            <wp:docPr id="1421088709" name="Gráfico 1421088709">
              <a:extLst xmlns:a="http://schemas.openxmlformats.org/drawingml/2006/main">
                <a:ext uri="{FF2B5EF4-FFF2-40B4-BE49-F238E27FC236}">
                  <a16:creationId xmlns:a16="http://schemas.microsoft.com/office/drawing/2014/main" id="{7887F126-5716-4727-BDA6-DE36F5898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BAC150A" w14:textId="77777777" w:rsidR="00C420E7" w:rsidRPr="001E01AE" w:rsidRDefault="00C420E7" w:rsidP="00C420E7">
      <w:pPr>
        <w:jc w:val="center"/>
        <w:rPr>
          <w:rFonts w:asciiTheme="majorHAnsi" w:hAnsiTheme="majorHAnsi" w:cstheme="majorHAnsi"/>
          <w:i/>
          <w:iCs/>
          <w:color w:val="44546A" w:themeColor="text2"/>
          <w:sz w:val="18"/>
          <w:szCs w:val="18"/>
        </w:rPr>
      </w:pPr>
      <w:r w:rsidRPr="001E01AE">
        <w:rPr>
          <w:rFonts w:asciiTheme="majorHAnsi" w:hAnsiTheme="majorHAnsi" w:cstheme="majorHAnsi"/>
          <w:i/>
          <w:iCs/>
          <w:color w:val="44546A" w:themeColor="text2"/>
          <w:sz w:val="18"/>
          <w:szCs w:val="18"/>
        </w:rPr>
        <w:t>Fuente: Reporte mensual de CELEC EP 2024</w:t>
      </w:r>
    </w:p>
    <w:p w14:paraId="79F9945C" w14:textId="77777777" w:rsidR="001E01AE" w:rsidRDefault="001E01AE" w:rsidP="00C420E7">
      <w:pPr>
        <w:jc w:val="both"/>
        <w:rPr>
          <w:rFonts w:ascii="Calibri Light" w:eastAsia="Calibri" w:hAnsi="Calibri Light" w:cs="Calibri Light"/>
          <w:color w:val="000000"/>
          <w:sz w:val="22"/>
          <w:szCs w:val="22"/>
        </w:rPr>
      </w:pPr>
    </w:p>
    <w:p w14:paraId="0E9C42FD" w14:textId="77777777" w:rsidR="00C420E7" w:rsidRDefault="00C420E7" w:rsidP="00C420E7">
      <w:pPr>
        <w:jc w:val="both"/>
        <w:rPr>
          <w:rFonts w:ascii="Calibri Light" w:eastAsia="Calibri" w:hAnsi="Calibri Light" w:cs="Calibri Light"/>
          <w:color w:val="000000"/>
          <w:sz w:val="22"/>
          <w:szCs w:val="22"/>
        </w:rPr>
      </w:pPr>
      <w:r w:rsidRPr="008D7FD2">
        <w:rPr>
          <w:rFonts w:ascii="Calibri Light" w:eastAsia="Calibri" w:hAnsi="Calibri Light" w:cs="Calibri Light"/>
          <w:color w:val="000000"/>
          <w:sz w:val="22"/>
          <w:szCs w:val="22"/>
        </w:rPr>
        <w:t>A pesar del incremento en la facturación de CELEC EP entre septiembre y diciembre de 2024, impulsado por la facturación a Esclusas Generación Móvil, la recaudación general anual se situó por debajo de lo esperado. Esto se debió principalmente al estiaje que afectó al país desde agosto de 2024, obligando a CENACE a requerir garantías importantes para la importación de energía desde Colombia, lo que impactó en los pagos a la generación y transmisión. La Tabla 9 presenta los indicadores de gestión de CELEC EP en 2024, comparados con el año 2023 y el cumplimiento de las metas anuales:</w:t>
      </w:r>
    </w:p>
    <w:p w14:paraId="1BC2A5B3" w14:textId="77777777" w:rsidR="00C420E7" w:rsidRDefault="00C420E7" w:rsidP="00C420E7">
      <w:pPr>
        <w:jc w:val="both"/>
        <w:rPr>
          <w:rFonts w:ascii="Calibri Light" w:eastAsia="Calibri" w:hAnsi="Calibri Light" w:cs="Calibri Light"/>
          <w:color w:val="000000"/>
          <w:sz w:val="22"/>
          <w:szCs w:val="22"/>
        </w:rPr>
      </w:pPr>
    </w:p>
    <w:p w14:paraId="155B89F0" w14:textId="5565AF45" w:rsidR="00C420E7" w:rsidRPr="001E01AE" w:rsidRDefault="00C420E7" w:rsidP="00C420E7">
      <w:pPr>
        <w:pStyle w:val="Descripcin"/>
        <w:rPr>
          <w:rFonts w:asciiTheme="majorHAnsi" w:hAnsiTheme="majorHAnsi" w:cstheme="majorHAnsi"/>
        </w:rPr>
      </w:pPr>
      <w:bookmarkStart w:id="327" w:name="_Toc198110374"/>
      <w:bookmarkStart w:id="328" w:name="_Toc199759698"/>
      <w:r w:rsidRPr="001E01AE">
        <w:rPr>
          <w:rFonts w:asciiTheme="majorHAnsi" w:hAnsiTheme="majorHAnsi" w:cstheme="majorHAnsi"/>
        </w:rPr>
        <w:t xml:space="preserve">Tabla </w:t>
      </w:r>
      <w:r w:rsidR="003A269C" w:rsidRPr="001E01AE">
        <w:rPr>
          <w:rFonts w:asciiTheme="majorHAnsi" w:hAnsiTheme="majorHAnsi" w:cstheme="majorHAnsi"/>
        </w:rPr>
        <w:fldChar w:fldCharType="begin"/>
      </w:r>
      <w:r w:rsidR="003A269C" w:rsidRPr="001E01AE">
        <w:rPr>
          <w:rFonts w:asciiTheme="majorHAnsi" w:hAnsiTheme="majorHAnsi" w:cstheme="majorHAnsi"/>
        </w:rPr>
        <w:instrText xml:space="preserve"> SEQ Tabla \* ARABIC </w:instrText>
      </w:r>
      <w:r w:rsidR="003A269C" w:rsidRPr="001E01AE">
        <w:rPr>
          <w:rFonts w:asciiTheme="majorHAnsi" w:hAnsiTheme="majorHAnsi" w:cstheme="majorHAnsi"/>
        </w:rPr>
        <w:fldChar w:fldCharType="separate"/>
      </w:r>
      <w:r w:rsidR="00CF0AD2">
        <w:rPr>
          <w:rFonts w:asciiTheme="majorHAnsi" w:hAnsiTheme="majorHAnsi" w:cstheme="majorHAnsi"/>
          <w:noProof/>
        </w:rPr>
        <w:t>28</w:t>
      </w:r>
      <w:r w:rsidR="003A269C" w:rsidRPr="001E01AE">
        <w:rPr>
          <w:rFonts w:asciiTheme="majorHAnsi" w:hAnsiTheme="majorHAnsi" w:cstheme="majorHAnsi"/>
          <w:noProof/>
        </w:rPr>
        <w:fldChar w:fldCharType="end"/>
      </w:r>
      <w:r w:rsidR="00192E54">
        <w:rPr>
          <w:rFonts w:asciiTheme="majorHAnsi" w:hAnsiTheme="majorHAnsi" w:cstheme="majorHAnsi"/>
        </w:rPr>
        <w:t>:</w:t>
      </w:r>
      <w:r w:rsidRPr="001E01AE">
        <w:rPr>
          <w:rFonts w:asciiTheme="majorHAnsi" w:hAnsiTheme="majorHAnsi" w:cstheme="majorHAnsi"/>
        </w:rPr>
        <w:t xml:space="preserve"> Indicadores de Gestión 2024</w:t>
      </w:r>
      <w:bookmarkEnd w:id="327"/>
      <w:bookmarkEnd w:id="328"/>
    </w:p>
    <w:tbl>
      <w:tblPr>
        <w:tblW w:w="6192" w:type="dxa"/>
        <w:jc w:val="center"/>
        <w:tblCellMar>
          <w:left w:w="70" w:type="dxa"/>
          <w:right w:w="70" w:type="dxa"/>
        </w:tblCellMar>
        <w:tblLook w:val="04A0" w:firstRow="1" w:lastRow="0" w:firstColumn="1" w:lastColumn="0" w:noHBand="0" w:noVBand="1"/>
      </w:tblPr>
      <w:tblGrid>
        <w:gridCol w:w="1838"/>
        <w:gridCol w:w="776"/>
        <w:gridCol w:w="1320"/>
        <w:gridCol w:w="1115"/>
        <w:gridCol w:w="1285"/>
      </w:tblGrid>
      <w:tr w:rsidR="00C420E7" w:rsidRPr="00451824" w14:paraId="04479AA9" w14:textId="77777777" w:rsidTr="000A4588">
        <w:trPr>
          <w:trHeight w:val="50"/>
          <w:jc w:val="center"/>
        </w:trPr>
        <w:tc>
          <w:tcPr>
            <w:tcW w:w="1838" w:type="dxa"/>
            <w:vMerge w:val="restart"/>
            <w:tcBorders>
              <w:top w:val="single" w:sz="4" w:space="0" w:color="auto"/>
              <w:left w:val="single" w:sz="4" w:space="0" w:color="auto"/>
              <w:bottom w:val="single" w:sz="4" w:space="0" w:color="000000"/>
              <w:right w:val="single" w:sz="4" w:space="0" w:color="auto"/>
            </w:tcBorders>
            <w:shd w:val="clear" w:color="auto" w:fill="5B9BD5" w:themeFill="accent5"/>
            <w:noWrap/>
            <w:vAlign w:val="center"/>
            <w:hideMark/>
          </w:tcPr>
          <w:p w14:paraId="73C781B8" w14:textId="77777777" w:rsidR="00C420E7" w:rsidRPr="00755702" w:rsidRDefault="00C420E7" w:rsidP="000A4588">
            <w:pPr>
              <w:jc w:val="center"/>
              <w:rPr>
                <w:rFonts w:ascii="Calibri Light" w:eastAsia="Times New Roman" w:hAnsi="Calibri Light" w:cs="Calibri Light"/>
                <w:b/>
                <w:bCs/>
                <w:color w:val="FFFFFF"/>
                <w:sz w:val="16"/>
                <w:szCs w:val="18"/>
                <w:lang w:eastAsia="es-EC"/>
              </w:rPr>
            </w:pPr>
            <w:r w:rsidRPr="00755702">
              <w:rPr>
                <w:rFonts w:ascii="Calibri Light" w:eastAsia="Times New Roman" w:hAnsi="Calibri Light" w:cs="Calibri Light"/>
                <w:b/>
                <w:bCs/>
                <w:color w:val="FFFFFF"/>
                <w:sz w:val="16"/>
                <w:szCs w:val="18"/>
                <w:lang w:eastAsia="es-EC"/>
              </w:rPr>
              <w:t>Indicador</w:t>
            </w:r>
          </w:p>
        </w:tc>
        <w:tc>
          <w:tcPr>
            <w:tcW w:w="1954" w:type="dxa"/>
            <w:gridSpan w:val="2"/>
            <w:tcBorders>
              <w:top w:val="single" w:sz="4" w:space="0" w:color="auto"/>
              <w:left w:val="nil"/>
              <w:bottom w:val="single" w:sz="4" w:space="0" w:color="auto"/>
              <w:right w:val="single" w:sz="4" w:space="0" w:color="auto"/>
            </w:tcBorders>
            <w:shd w:val="clear" w:color="auto" w:fill="5B9BD5" w:themeFill="accent5"/>
            <w:noWrap/>
            <w:vAlign w:val="bottom"/>
            <w:hideMark/>
          </w:tcPr>
          <w:p w14:paraId="47C85F43" w14:textId="77777777" w:rsidR="00C420E7" w:rsidRPr="00755702" w:rsidRDefault="00C420E7" w:rsidP="000A4588">
            <w:pPr>
              <w:jc w:val="center"/>
              <w:rPr>
                <w:rFonts w:ascii="Calibri Light" w:eastAsia="Times New Roman" w:hAnsi="Calibri Light" w:cs="Calibri Light"/>
                <w:b/>
                <w:bCs/>
                <w:color w:val="FFFFFF"/>
                <w:sz w:val="16"/>
                <w:szCs w:val="18"/>
                <w:lang w:eastAsia="es-EC"/>
              </w:rPr>
            </w:pPr>
            <w:r w:rsidRPr="00755702">
              <w:rPr>
                <w:rFonts w:ascii="Calibri Light" w:eastAsia="Times New Roman" w:hAnsi="Calibri Light" w:cs="Calibri Light"/>
                <w:b/>
                <w:bCs/>
                <w:color w:val="FFFFFF"/>
                <w:sz w:val="16"/>
                <w:szCs w:val="18"/>
                <w:lang w:eastAsia="es-EC"/>
              </w:rPr>
              <w:t>2023</w:t>
            </w:r>
          </w:p>
        </w:tc>
        <w:tc>
          <w:tcPr>
            <w:tcW w:w="2400" w:type="dxa"/>
            <w:gridSpan w:val="2"/>
            <w:tcBorders>
              <w:top w:val="single" w:sz="4" w:space="0" w:color="auto"/>
              <w:left w:val="nil"/>
              <w:bottom w:val="single" w:sz="4" w:space="0" w:color="auto"/>
              <w:right w:val="single" w:sz="4" w:space="0" w:color="auto"/>
            </w:tcBorders>
            <w:shd w:val="clear" w:color="auto" w:fill="5B9BD5" w:themeFill="accent5"/>
            <w:noWrap/>
            <w:vAlign w:val="bottom"/>
            <w:hideMark/>
          </w:tcPr>
          <w:p w14:paraId="6CFB6B13" w14:textId="77777777" w:rsidR="00C420E7" w:rsidRPr="00755702" w:rsidRDefault="00C420E7" w:rsidP="000A4588">
            <w:pPr>
              <w:jc w:val="center"/>
              <w:rPr>
                <w:rFonts w:ascii="Calibri Light" w:eastAsia="Times New Roman" w:hAnsi="Calibri Light" w:cs="Calibri Light"/>
                <w:b/>
                <w:bCs/>
                <w:color w:val="FFFFFF"/>
                <w:sz w:val="16"/>
                <w:szCs w:val="18"/>
                <w:lang w:eastAsia="es-EC"/>
              </w:rPr>
            </w:pPr>
            <w:r w:rsidRPr="00755702">
              <w:rPr>
                <w:rFonts w:ascii="Calibri Light" w:eastAsia="Times New Roman" w:hAnsi="Calibri Light" w:cs="Calibri Light"/>
                <w:b/>
                <w:bCs/>
                <w:color w:val="FFFFFF"/>
                <w:sz w:val="16"/>
                <w:szCs w:val="18"/>
                <w:lang w:eastAsia="es-EC"/>
              </w:rPr>
              <w:t>2024</w:t>
            </w:r>
          </w:p>
        </w:tc>
      </w:tr>
      <w:tr w:rsidR="00C420E7" w:rsidRPr="00451824" w14:paraId="24627C12" w14:textId="77777777" w:rsidTr="000A4588">
        <w:trPr>
          <w:trHeight w:val="50"/>
          <w:jc w:val="center"/>
        </w:trPr>
        <w:tc>
          <w:tcPr>
            <w:tcW w:w="1838" w:type="dxa"/>
            <w:vMerge/>
            <w:tcBorders>
              <w:top w:val="single" w:sz="4" w:space="0" w:color="auto"/>
              <w:left w:val="single" w:sz="4" w:space="0" w:color="auto"/>
              <w:bottom w:val="single" w:sz="4" w:space="0" w:color="000000"/>
              <w:right w:val="single" w:sz="4" w:space="0" w:color="auto"/>
            </w:tcBorders>
            <w:shd w:val="clear" w:color="auto" w:fill="5B9BD5" w:themeFill="accent5"/>
            <w:vAlign w:val="center"/>
            <w:hideMark/>
          </w:tcPr>
          <w:p w14:paraId="4A050874" w14:textId="77777777" w:rsidR="00C420E7" w:rsidRPr="00755702" w:rsidRDefault="00C420E7" w:rsidP="000A4588">
            <w:pPr>
              <w:rPr>
                <w:rFonts w:ascii="Calibri Light" w:eastAsia="Times New Roman" w:hAnsi="Calibri Light" w:cs="Calibri Light"/>
                <w:b/>
                <w:bCs/>
                <w:color w:val="FFFFFF"/>
                <w:sz w:val="16"/>
                <w:szCs w:val="18"/>
                <w:lang w:eastAsia="es-EC"/>
              </w:rPr>
            </w:pPr>
          </w:p>
        </w:tc>
        <w:tc>
          <w:tcPr>
            <w:tcW w:w="634" w:type="dxa"/>
            <w:tcBorders>
              <w:top w:val="nil"/>
              <w:left w:val="nil"/>
              <w:bottom w:val="single" w:sz="4" w:space="0" w:color="auto"/>
              <w:right w:val="single" w:sz="4" w:space="0" w:color="auto"/>
            </w:tcBorders>
            <w:shd w:val="clear" w:color="auto" w:fill="5B9BD5" w:themeFill="accent5"/>
            <w:noWrap/>
            <w:vAlign w:val="center"/>
            <w:hideMark/>
          </w:tcPr>
          <w:p w14:paraId="3E2239C9" w14:textId="77777777" w:rsidR="00C420E7" w:rsidRPr="00755702" w:rsidRDefault="00C420E7" w:rsidP="000A4588">
            <w:pPr>
              <w:jc w:val="center"/>
              <w:rPr>
                <w:rFonts w:ascii="Calibri Light" w:eastAsia="Times New Roman" w:hAnsi="Calibri Light" w:cs="Calibri Light"/>
                <w:b/>
                <w:bCs/>
                <w:color w:val="FFFFFF"/>
                <w:sz w:val="16"/>
                <w:szCs w:val="18"/>
                <w:lang w:eastAsia="es-EC"/>
              </w:rPr>
            </w:pPr>
            <w:proofErr w:type="spellStart"/>
            <w:r w:rsidRPr="00755702">
              <w:rPr>
                <w:rFonts w:ascii="Calibri Light" w:eastAsia="Times New Roman" w:hAnsi="Calibri Light" w:cs="Calibri Light"/>
                <w:b/>
                <w:bCs/>
                <w:color w:val="FFFFFF"/>
                <w:sz w:val="16"/>
                <w:szCs w:val="18"/>
                <w:lang w:eastAsia="es-EC"/>
              </w:rPr>
              <w:t>Acum</w:t>
            </w:r>
            <w:proofErr w:type="spellEnd"/>
          </w:p>
        </w:tc>
        <w:tc>
          <w:tcPr>
            <w:tcW w:w="1320" w:type="dxa"/>
            <w:tcBorders>
              <w:top w:val="nil"/>
              <w:left w:val="nil"/>
              <w:bottom w:val="single" w:sz="4" w:space="0" w:color="auto"/>
              <w:right w:val="single" w:sz="4" w:space="0" w:color="auto"/>
            </w:tcBorders>
            <w:shd w:val="clear" w:color="auto" w:fill="5B9BD5" w:themeFill="accent5"/>
            <w:vAlign w:val="center"/>
            <w:hideMark/>
          </w:tcPr>
          <w:p w14:paraId="420FA039" w14:textId="77777777" w:rsidR="00C420E7" w:rsidRPr="00755702" w:rsidRDefault="00C420E7" w:rsidP="000A4588">
            <w:pPr>
              <w:jc w:val="center"/>
              <w:rPr>
                <w:rFonts w:ascii="Calibri Light" w:eastAsia="Times New Roman" w:hAnsi="Calibri Light" w:cs="Calibri Light"/>
                <w:b/>
                <w:bCs/>
                <w:color w:val="FFFFFF"/>
                <w:sz w:val="16"/>
                <w:szCs w:val="18"/>
                <w:lang w:eastAsia="es-EC"/>
              </w:rPr>
            </w:pPr>
            <w:r w:rsidRPr="00755702">
              <w:rPr>
                <w:rFonts w:ascii="Calibri Light" w:eastAsia="Times New Roman" w:hAnsi="Calibri Light" w:cs="Calibri Light"/>
                <w:b/>
                <w:bCs/>
                <w:color w:val="FFFFFF"/>
                <w:sz w:val="16"/>
                <w:szCs w:val="18"/>
                <w:lang w:eastAsia="es-EC"/>
              </w:rPr>
              <w:t>% Meta Anual</w:t>
            </w:r>
          </w:p>
        </w:tc>
        <w:tc>
          <w:tcPr>
            <w:tcW w:w="1115" w:type="dxa"/>
            <w:tcBorders>
              <w:top w:val="nil"/>
              <w:left w:val="nil"/>
              <w:bottom w:val="single" w:sz="4" w:space="0" w:color="auto"/>
              <w:right w:val="single" w:sz="4" w:space="0" w:color="auto"/>
            </w:tcBorders>
            <w:shd w:val="clear" w:color="auto" w:fill="5B9BD5" w:themeFill="accent5"/>
            <w:noWrap/>
            <w:vAlign w:val="center"/>
            <w:hideMark/>
          </w:tcPr>
          <w:p w14:paraId="6C827A21" w14:textId="77777777" w:rsidR="00C420E7" w:rsidRPr="00755702" w:rsidRDefault="00C420E7" w:rsidP="000A4588">
            <w:pPr>
              <w:jc w:val="center"/>
              <w:rPr>
                <w:rFonts w:ascii="Calibri Light" w:eastAsia="Times New Roman" w:hAnsi="Calibri Light" w:cs="Calibri Light"/>
                <w:b/>
                <w:bCs/>
                <w:color w:val="FFFFFF"/>
                <w:sz w:val="16"/>
                <w:szCs w:val="18"/>
                <w:lang w:eastAsia="es-EC"/>
              </w:rPr>
            </w:pPr>
            <w:proofErr w:type="spellStart"/>
            <w:r w:rsidRPr="00755702">
              <w:rPr>
                <w:rFonts w:ascii="Calibri Light" w:eastAsia="Times New Roman" w:hAnsi="Calibri Light" w:cs="Calibri Light"/>
                <w:b/>
                <w:bCs/>
                <w:color w:val="FFFFFF"/>
                <w:sz w:val="16"/>
                <w:szCs w:val="18"/>
                <w:lang w:eastAsia="es-EC"/>
              </w:rPr>
              <w:t>Acum</w:t>
            </w:r>
            <w:proofErr w:type="spellEnd"/>
          </w:p>
        </w:tc>
        <w:tc>
          <w:tcPr>
            <w:tcW w:w="1285" w:type="dxa"/>
            <w:tcBorders>
              <w:top w:val="nil"/>
              <w:left w:val="nil"/>
              <w:bottom w:val="single" w:sz="4" w:space="0" w:color="auto"/>
              <w:right w:val="single" w:sz="4" w:space="0" w:color="auto"/>
            </w:tcBorders>
            <w:shd w:val="clear" w:color="auto" w:fill="5B9BD5" w:themeFill="accent5"/>
            <w:vAlign w:val="center"/>
            <w:hideMark/>
          </w:tcPr>
          <w:p w14:paraId="64943281" w14:textId="77777777" w:rsidR="00C420E7" w:rsidRPr="00755702" w:rsidRDefault="00C420E7" w:rsidP="000A4588">
            <w:pPr>
              <w:jc w:val="center"/>
              <w:rPr>
                <w:rFonts w:ascii="Calibri Light" w:eastAsia="Times New Roman" w:hAnsi="Calibri Light" w:cs="Calibri Light"/>
                <w:b/>
                <w:bCs/>
                <w:color w:val="FFFFFF"/>
                <w:sz w:val="16"/>
                <w:szCs w:val="18"/>
                <w:lang w:eastAsia="es-EC"/>
              </w:rPr>
            </w:pPr>
            <w:r w:rsidRPr="00755702">
              <w:rPr>
                <w:rFonts w:ascii="Calibri Light" w:eastAsia="Times New Roman" w:hAnsi="Calibri Light" w:cs="Calibri Light"/>
                <w:b/>
                <w:bCs/>
                <w:color w:val="FFFFFF"/>
                <w:sz w:val="16"/>
                <w:szCs w:val="18"/>
                <w:lang w:eastAsia="es-EC"/>
              </w:rPr>
              <w:t>% Meta Anual</w:t>
            </w:r>
          </w:p>
        </w:tc>
      </w:tr>
      <w:tr w:rsidR="00C420E7" w:rsidRPr="00451824" w14:paraId="1892A1F0" w14:textId="77777777" w:rsidTr="000A4588">
        <w:trPr>
          <w:trHeight w:val="153"/>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13E8605" w14:textId="77777777" w:rsidR="00C420E7" w:rsidRPr="00D874E1" w:rsidRDefault="00C420E7" w:rsidP="000A4588">
            <w:pPr>
              <w:rPr>
                <w:rFonts w:ascii="Calibri Light" w:eastAsia="Times New Roman" w:hAnsi="Calibri Light" w:cs="Calibri Light"/>
                <w:color w:val="000000"/>
                <w:sz w:val="18"/>
                <w:szCs w:val="18"/>
                <w:lang w:eastAsia="es-EC"/>
              </w:rPr>
            </w:pPr>
            <w:r w:rsidRPr="00D874E1">
              <w:rPr>
                <w:rFonts w:ascii="Calibri Light" w:eastAsia="Times New Roman" w:hAnsi="Calibri Light" w:cs="Calibri Light"/>
                <w:color w:val="000000"/>
                <w:sz w:val="18"/>
                <w:szCs w:val="18"/>
                <w:lang w:eastAsia="es-EC"/>
              </w:rPr>
              <w:t>Facturación MMUSD</w:t>
            </w:r>
          </w:p>
        </w:tc>
        <w:tc>
          <w:tcPr>
            <w:tcW w:w="634" w:type="dxa"/>
            <w:tcBorders>
              <w:top w:val="nil"/>
              <w:left w:val="nil"/>
              <w:bottom w:val="single" w:sz="4" w:space="0" w:color="auto"/>
              <w:right w:val="single" w:sz="4" w:space="0" w:color="auto"/>
            </w:tcBorders>
            <w:shd w:val="clear" w:color="auto" w:fill="auto"/>
            <w:noWrap/>
            <w:vAlign w:val="bottom"/>
            <w:hideMark/>
          </w:tcPr>
          <w:p w14:paraId="06A85299"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1</w:t>
            </w:r>
            <w:r>
              <w:rPr>
                <w:rFonts w:ascii="Calibri Light" w:eastAsia="Times New Roman" w:hAnsi="Calibri Light" w:cs="Calibri Light"/>
                <w:color w:val="000000"/>
                <w:sz w:val="18"/>
                <w:szCs w:val="18"/>
                <w:lang w:eastAsia="es-EC"/>
              </w:rPr>
              <w:t>.</w:t>
            </w:r>
            <w:r w:rsidRPr="00451824">
              <w:rPr>
                <w:rFonts w:ascii="Calibri Light" w:eastAsia="Times New Roman" w:hAnsi="Calibri Light" w:cs="Calibri Light"/>
                <w:color w:val="000000"/>
                <w:sz w:val="18"/>
                <w:szCs w:val="18"/>
                <w:lang w:eastAsia="es-EC"/>
              </w:rPr>
              <w:t>011,88</w:t>
            </w:r>
          </w:p>
        </w:tc>
        <w:tc>
          <w:tcPr>
            <w:tcW w:w="1320" w:type="dxa"/>
            <w:tcBorders>
              <w:top w:val="nil"/>
              <w:left w:val="nil"/>
              <w:bottom w:val="single" w:sz="4" w:space="0" w:color="auto"/>
              <w:right w:val="single" w:sz="4" w:space="0" w:color="auto"/>
            </w:tcBorders>
            <w:shd w:val="clear" w:color="auto" w:fill="auto"/>
            <w:noWrap/>
            <w:vAlign w:val="bottom"/>
            <w:hideMark/>
          </w:tcPr>
          <w:p w14:paraId="027576E7"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107,98</w:t>
            </w:r>
          </w:p>
        </w:tc>
        <w:tc>
          <w:tcPr>
            <w:tcW w:w="1115" w:type="dxa"/>
            <w:tcBorders>
              <w:top w:val="nil"/>
              <w:left w:val="nil"/>
              <w:bottom w:val="single" w:sz="4" w:space="0" w:color="auto"/>
              <w:right w:val="single" w:sz="4" w:space="0" w:color="auto"/>
            </w:tcBorders>
            <w:shd w:val="clear" w:color="auto" w:fill="auto"/>
            <w:noWrap/>
            <w:vAlign w:val="bottom"/>
            <w:hideMark/>
          </w:tcPr>
          <w:p w14:paraId="6F5F1BAF" w14:textId="77777777" w:rsidR="00C420E7" w:rsidRPr="00451824" w:rsidRDefault="00C420E7" w:rsidP="000A4588">
            <w:pPr>
              <w:jc w:val="right"/>
              <w:rPr>
                <w:rFonts w:ascii="Calibri Light" w:eastAsia="Times New Roman" w:hAnsi="Calibri Light" w:cs="Calibri Light"/>
                <w:color w:val="000000"/>
                <w:sz w:val="18"/>
                <w:szCs w:val="18"/>
                <w:lang w:eastAsia="es-EC"/>
              </w:rPr>
            </w:pPr>
            <w:r>
              <w:rPr>
                <w:rFonts w:ascii="Calibri Light" w:eastAsia="Times New Roman" w:hAnsi="Calibri Light" w:cs="Calibri Light"/>
                <w:color w:val="000000"/>
                <w:sz w:val="18"/>
                <w:szCs w:val="18"/>
                <w:lang w:eastAsia="es-EC"/>
              </w:rPr>
              <w:t>1.</w:t>
            </w:r>
            <w:r w:rsidRPr="00451824">
              <w:rPr>
                <w:rFonts w:ascii="Calibri Light" w:eastAsia="Times New Roman" w:hAnsi="Calibri Light" w:cs="Calibri Light"/>
                <w:color w:val="000000"/>
                <w:sz w:val="18"/>
                <w:szCs w:val="18"/>
                <w:lang w:eastAsia="es-EC"/>
              </w:rPr>
              <w:t>222,84</w:t>
            </w:r>
          </w:p>
        </w:tc>
        <w:tc>
          <w:tcPr>
            <w:tcW w:w="1285" w:type="dxa"/>
            <w:tcBorders>
              <w:top w:val="nil"/>
              <w:left w:val="nil"/>
              <w:bottom w:val="single" w:sz="4" w:space="0" w:color="auto"/>
              <w:right w:val="single" w:sz="4" w:space="0" w:color="auto"/>
            </w:tcBorders>
            <w:shd w:val="clear" w:color="auto" w:fill="auto"/>
            <w:noWrap/>
            <w:vAlign w:val="bottom"/>
            <w:hideMark/>
          </w:tcPr>
          <w:p w14:paraId="2EB60961"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96,04</w:t>
            </w:r>
          </w:p>
        </w:tc>
      </w:tr>
      <w:tr w:rsidR="00C420E7" w:rsidRPr="001E01AE" w14:paraId="10742589" w14:textId="77777777" w:rsidTr="000A4588">
        <w:trPr>
          <w:trHeight w:val="5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C5B238B" w14:textId="77777777" w:rsidR="00C420E7" w:rsidRPr="001E01AE" w:rsidRDefault="00C420E7" w:rsidP="000A4588">
            <w:pPr>
              <w:rPr>
                <w:rFonts w:asciiTheme="majorHAnsi" w:eastAsia="Times New Roman" w:hAnsiTheme="majorHAnsi" w:cstheme="majorHAnsi"/>
                <w:color w:val="000000"/>
                <w:sz w:val="18"/>
                <w:szCs w:val="18"/>
                <w:lang w:eastAsia="es-EC"/>
              </w:rPr>
            </w:pPr>
            <w:r w:rsidRPr="001E01AE">
              <w:rPr>
                <w:rFonts w:asciiTheme="majorHAnsi" w:eastAsia="Times New Roman" w:hAnsiTheme="majorHAnsi" w:cstheme="majorHAnsi"/>
                <w:color w:val="000000"/>
                <w:sz w:val="18"/>
                <w:szCs w:val="18"/>
                <w:lang w:eastAsia="es-EC"/>
              </w:rPr>
              <w:t>Recaudación MMUSD</w:t>
            </w:r>
          </w:p>
        </w:tc>
        <w:tc>
          <w:tcPr>
            <w:tcW w:w="634" w:type="dxa"/>
            <w:tcBorders>
              <w:top w:val="nil"/>
              <w:left w:val="nil"/>
              <w:bottom w:val="single" w:sz="4" w:space="0" w:color="auto"/>
              <w:right w:val="single" w:sz="4" w:space="0" w:color="auto"/>
            </w:tcBorders>
            <w:shd w:val="clear" w:color="auto" w:fill="auto"/>
            <w:noWrap/>
            <w:vAlign w:val="bottom"/>
            <w:hideMark/>
          </w:tcPr>
          <w:p w14:paraId="5F6F5D8A" w14:textId="77777777" w:rsidR="00C420E7" w:rsidRPr="001E01AE" w:rsidRDefault="00C420E7" w:rsidP="000A4588">
            <w:pPr>
              <w:jc w:val="right"/>
              <w:rPr>
                <w:rFonts w:asciiTheme="majorHAnsi" w:eastAsia="Times New Roman" w:hAnsiTheme="majorHAnsi" w:cstheme="majorHAnsi"/>
                <w:color w:val="000000"/>
                <w:sz w:val="18"/>
                <w:szCs w:val="18"/>
                <w:lang w:eastAsia="es-EC"/>
              </w:rPr>
            </w:pPr>
            <w:r w:rsidRPr="001E01AE">
              <w:rPr>
                <w:rFonts w:asciiTheme="majorHAnsi" w:eastAsia="Times New Roman" w:hAnsiTheme="majorHAnsi" w:cstheme="majorHAnsi"/>
                <w:color w:val="000000"/>
                <w:sz w:val="18"/>
                <w:szCs w:val="18"/>
                <w:lang w:eastAsia="es-EC"/>
              </w:rPr>
              <w:t>603,38</w:t>
            </w:r>
          </w:p>
        </w:tc>
        <w:tc>
          <w:tcPr>
            <w:tcW w:w="1320" w:type="dxa"/>
            <w:tcBorders>
              <w:top w:val="nil"/>
              <w:left w:val="nil"/>
              <w:bottom w:val="single" w:sz="4" w:space="0" w:color="auto"/>
              <w:right w:val="single" w:sz="4" w:space="0" w:color="auto"/>
            </w:tcBorders>
            <w:shd w:val="clear" w:color="auto" w:fill="auto"/>
            <w:noWrap/>
            <w:vAlign w:val="bottom"/>
            <w:hideMark/>
          </w:tcPr>
          <w:p w14:paraId="4E64735D" w14:textId="77777777" w:rsidR="00C420E7" w:rsidRPr="001E01AE" w:rsidRDefault="00C420E7" w:rsidP="000A4588">
            <w:pPr>
              <w:jc w:val="right"/>
              <w:rPr>
                <w:rFonts w:asciiTheme="majorHAnsi" w:eastAsia="Times New Roman" w:hAnsiTheme="majorHAnsi" w:cstheme="majorHAnsi"/>
                <w:color w:val="000000"/>
                <w:sz w:val="18"/>
                <w:szCs w:val="18"/>
                <w:lang w:eastAsia="es-EC"/>
              </w:rPr>
            </w:pPr>
            <w:r w:rsidRPr="001E01AE">
              <w:rPr>
                <w:rFonts w:asciiTheme="majorHAnsi" w:eastAsia="Times New Roman" w:hAnsiTheme="majorHAnsi" w:cstheme="majorHAnsi"/>
                <w:color w:val="000000"/>
                <w:sz w:val="18"/>
                <w:szCs w:val="18"/>
                <w:lang w:eastAsia="es-EC"/>
              </w:rPr>
              <w:t>64,39</w:t>
            </w:r>
          </w:p>
        </w:tc>
        <w:tc>
          <w:tcPr>
            <w:tcW w:w="1115" w:type="dxa"/>
            <w:tcBorders>
              <w:top w:val="nil"/>
              <w:left w:val="nil"/>
              <w:bottom w:val="single" w:sz="4" w:space="0" w:color="auto"/>
              <w:right w:val="single" w:sz="4" w:space="0" w:color="auto"/>
            </w:tcBorders>
            <w:shd w:val="clear" w:color="auto" w:fill="auto"/>
            <w:noWrap/>
            <w:vAlign w:val="bottom"/>
            <w:hideMark/>
          </w:tcPr>
          <w:p w14:paraId="7EAA96C4" w14:textId="77777777" w:rsidR="00C420E7" w:rsidRPr="001E01AE" w:rsidRDefault="00C420E7" w:rsidP="000A4588">
            <w:pPr>
              <w:jc w:val="right"/>
              <w:rPr>
                <w:rFonts w:asciiTheme="majorHAnsi" w:eastAsia="Times New Roman" w:hAnsiTheme="majorHAnsi" w:cstheme="majorHAnsi"/>
                <w:color w:val="000000"/>
                <w:sz w:val="18"/>
                <w:szCs w:val="18"/>
                <w:lang w:eastAsia="es-EC"/>
              </w:rPr>
            </w:pPr>
            <w:r w:rsidRPr="001E01AE">
              <w:rPr>
                <w:rFonts w:asciiTheme="majorHAnsi" w:eastAsia="Times New Roman" w:hAnsiTheme="majorHAnsi" w:cstheme="majorHAnsi"/>
                <w:color w:val="000000"/>
                <w:sz w:val="18"/>
                <w:szCs w:val="18"/>
                <w:lang w:eastAsia="es-EC"/>
              </w:rPr>
              <w:t>510,89</w:t>
            </w:r>
          </w:p>
        </w:tc>
        <w:tc>
          <w:tcPr>
            <w:tcW w:w="1285" w:type="dxa"/>
            <w:tcBorders>
              <w:top w:val="nil"/>
              <w:left w:val="nil"/>
              <w:bottom w:val="single" w:sz="4" w:space="0" w:color="auto"/>
              <w:right w:val="single" w:sz="4" w:space="0" w:color="auto"/>
            </w:tcBorders>
            <w:shd w:val="clear" w:color="auto" w:fill="auto"/>
            <w:noWrap/>
            <w:vAlign w:val="bottom"/>
            <w:hideMark/>
          </w:tcPr>
          <w:p w14:paraId="7166D130" w14:textId="77777777" w:rsidR="00C420E7" w:rsidRPr="001E01AE" w:rsidRDefault="00C420E7" w:rsidP="000A4588">
            <w:pPr>
              <w:jc w:val="right"/>
              <w:rPr>
                <w:rFonts w:asciiTheme="majorHAnsi" w:eastAsia="Times New Roman" w:hAnsiTheme="majorHAnsi" w:cstheme="majorHAnsi"/>
                <w:color w:val="000000"/>
                <w:sz w:val="18"/>
                <w:szCs w:val="18"/>
                <w:lang w:eastAsia="es-EC"/>
              </w:rPr>
            </w:pPr>
            <w:r w:rsidRPr="001E01AE">
              <w:rPr>
                <w:rFonts w:asciiTheme="majorHAnsi" w:eastAsia="Times New Roman" w:hAnsiTheme="majorHAnsi" w:cstheme="majorHAnsi"/>
                <w:color w:val="000000"/>
                <w:sz w:val="18"/>
                <w:szCs w:val="18"/>
                <w:lang w:eastAsia="es-EC"/>
              </w:rPr>
              <w:t>40,12</w:t>
            </w:r>
          </w:p>
        </w:tc>
      </w:tr>
    </w:tbl>
    <w:p w14:paraId="52D0BF6D" w14:textId="77777777" w:rsidR="00C420E7" w:rsidRPr="001E01AE" w:rsidRDefault="00C420E7" w:rsidP="00C420E7">
      <w:pPr>
        <w:jc w:val="center"/>
        <w:rPr>
          <w:rFonts w:asciiTheme="majorHAnsi" w:hAnsiTheme="majorHAnsi" w:cstheme="majorHAnsi"/>
          <w:i/>
          <w:iCs/>
          <w:color w:val="44546A" w:themeColor="text2"/>
          <w:sz w:val="18"/>
          <w:szCs w:val="18"/>
        </w:rPr>
      </w:pPr>
      <w:r w:rsidRPr="001E01AE">
        <w:rPr>
          <w:rFonts w:asciiTheme="majorHAnsi" w:hAnsiTheme="majorHAnsi" w:cstheme="majorHAnsi"/>
          <w:i/>
          <w:iCs/>
          <w:color w:val="44546A" w:themeColor="text2"/>
          <w:sz w:val="18"/>
          <w:szCs w:val="18"/>
        </w:rPr>
        <w:t>*Nota: el % meta anual corresponde al porcentaje cumplido hasta diciembre del 2023 y diciembre del 2024.</w:t>
      </w:r>
    </w:p>
    <w:p w14:paraId="7BD84E78" w14:textId="77777777" w:rsidR="00EC08B4" w:rsidRDefault="00C420E7" w:rsidP="00EC08B4">
      <w:pPr>
        <w:jc w:val="center"/>
        <w:rPr>
          <w:rFonts w:asciiTheme="majorHAnsi" w:hAnsiTheme="majorHAnsi" w:cstheme="majorHAnsi"/>
          <w:i/>
          <w:iCs/>
          <w:color w:val="44546A" w:themeColor="text2"/>
          <w:sz w:val="18"/>
          <w:szCs w:val="18"/>
        </w:rPr>
      </w:pPr>
      <w:r w:rsidRPr="001E01AE">
        <w:rPr>
          <w:rFonts w:asciiTheme="majorHAnsi" w:hAnsiTheme="majorHAnsi" w:cstheme="majorHAnsi"/>
          <w:i/>
          <w:iCs/>
          <w:color w:val="44546A" w:themeColor="text2"/>
          <w:sz w:val="18"/>
          <w:szCs w:val="18"/>
        </w:rPr>
        <w:t xml:space="preserve"> Fuente: CELEC EP, Boletín de Gestión Dic 2024</w:t>
      </w:r>
    </w:p>
    <w:p w14:paraId="62E86850" w14:textId="77777777" w:rsidR="00EC08B4" w:rsidRDefault="00EC08B4" w:rsidP="00EC08B4">
      <w:pPr>
        <w:jc w:val="both"/>
        <w:rPr>
          <w:rFonts w:ascii="Calibri Light" w:eastAsia="Calibri" w:hAnsi="Calibri Light" w:cs="Calibri Light"/>
          <w:color w:val="000000"/>
          <w:sz w:val="22"/>
          <w:szCs w:val="22"/>
        </w:rPr>
      </w:pPr>
    </w:p>
    <w:p w14:paraId="6235A598" w14:textId="043715B6" w:rsidR="00C420E7" w:rsidRPr="00213F2B" w:rsidRDefault="00C420E7" w:rsidP="00213F2B">
      <w:pPr>
        <w:jc w:val="both"/>
        <w:rPr>
          <w:rFonts w:asciiTheme="majorHAnsi" w:hAnsiTheme="majorHAnsi" w:cstheme="majorHAnsi"/>
          <w:i/>
          <w:iCs/>
          <w:color w:val="44546A" w:themeColor="text2"/>
          <w:sz w:val="18"/>
          <w:szCs w:val="18"/>
        </w:rPr>
      </w:pPr>
      <w:r>
        <w:rPr>
          <w:rFonts w:ascii="Calibri Light" w:eastAsia="Calibri" w:hAnsi="Calibri Light" w:cs="Calibri Light"/>
          <w:color w:val="000000"/>
          <w:sz w:val="22"/>
          <w:szCs w:val="22"/>
        </w:rPr>
        <w:t>S</w:t>
      </w:r>
      <w:r w:rsidRPr="00E4061F">
        <w:rPr>
          <w:rFonts w:ascii="Calibri Light" w:eastAsia="Calibri" w:hAnsi="Calibri Light" w:cs="Calibri Light"/>
          <w:color w:val="000000"/>
          <w:sz w:val="22"/>
          <w:szCs w:val="22"/>
        </w:rPr>
        <w:t>i bien la cartera total de CELEC EP experimentó un aumento en 2024, alcanzando los 923</w:t>
      </w:r>
      <w:r>
        <w:rPr>
          <w:rFonts w:ascii="Calibri Light" w:eastAsia="Calibri" w:hAnsi="Calibri Light" w:cs="Calibri Light"/>
          <w:color w:val="000000"/>
          <w:sz w:val="22"/>
          <w:szCs w:val="22"/>
        </w:rPr>
        <w:t>,</w:t>
      </w:r>
      <w:r w:rsidRPr="00E4061F">
        <w:rPr>
          <w:rFonts w:ascii="Calibri Light" w:eastAsia="Calibri" w:hAnsi="Calibri Light" w:cs="Calibri Light"/>
          <w:color w:val="000000"/>
          <w:sz w:val="22"/>
          <w:szCs w:val="22"/>
        </w:rPr>
        <w:t>41 millones</w:t>
      </w:r>
      <w:r>
        <w:rPr>
          <w:rFonts w:ascii="Calibri Light" w:eastAsia="Calibri" w:hAnsi="Calibri Light" w:cs="Calibri Light"/>
          <w:color w:val="000000"/>
          <w:sz w:val="22"/>
          <w:szCs w:val="22"/>
        </w:rPr>
        <w:t xml:space="preserve"> de </w:t>
      </w:r>
      <w:r w:rsidRPr="00E4061F">
        <w:rPr>
          <w:rFonts w:ascii="Calibri Light" w:eastAsia="Calibri" w:hAnsi="Calibri Light" w:cs="Calibri Light"/>
          <w:color w:val="000000"/>
          <w:sz w:val="22"/>
          <w:szCs w:val="22"/>
        </w:rPr>
        <w:t>USD desde los 571</w:t>
      </w:r>
      <w:r>
        <w:rPr>
          <w:rFonts w:ascii="Calibri Light" w:eastAsia="Calibri" w:hAnsi="Calibri Light" w:cs="Calibri Light"/>
          <w:color w:val="000000"/>
          <w:sz w:val="22"/>
          <w:szCs w:val="22"/>
        </w:rPr>
        <w:t>,</w:t>
      </w:r>
      <w:r w:rsidRPr="00E4061F">
        <w:rPr>
          <w:rFonts w:ascii="Calibri Light" w:eastAsia="Calibri" w:hAnsi="Calibri Light" w:cs="Calibri Light"/>
          <w:color w:val="000000"/>
          <w:sz w:val="22"/>
          <w:szCs w:val="22"/>
        </w:rPr>
        <w:t>70 millones</w:t>
      </w:r>
      <w:r>
        <w:rPr>
          <w:rFonts w:ascii="Calibri Light" w:eastAsia="Calibri" w:hAnsi="Calibri Light" w:cs="Calibri Light"/>
          <w:color w:val="000000"/>
          <w:sz w:val="22"/>
          <w:szCs w:val="22"/>
        </w:rPr>
        <w:t xml:space="preserve"> de USD</w:t>
      </w:r>
      <w:r w:rsidRPr="00E4061F">
        <w:rPr>
          <w:rFonts w:ascii="Calibri Light" w:eastAsia="Calibri" w:hAnsi="Calibri Light" w:cs="Calibri Light"/>
          <w:color w:val="000000"/>
          <w:sz w:val="22"/>
          <w:szCs w:val="22"/>
        </w:rPr>
        <w:t xml:space="preserve"> en 2023, influenciado por la acumulación de saldos deudores de las distribuidoras, especialmente durante el estiaje (septiembre a marzo), se logró un avance en la recuperación de la cartera vencida. En 2024, se recuperaron 30</w:t>
      </w:r>
      <w:r>
        <w:rPr>
          <w:rFonts w:ascii="Calibri Light" w:eastAsia="Calibri" w:hAnsi="Calibri Light" w:cs="Calibri Light"/>
          <w:color w:val="000000"/>
          <w:sz w:val="22"/>
          <w:szCs w:val="22"/>
        </w:rPr>
        <w:t>,</w:t>
      </w:r>
      <w:r w:rsidRPr="00E4061F">
        <w:rPr>
          <w:rFonts w:ascii="Calibri Light" w:eastAsia="Calibri" w:hAnsi="Calibri Light" w:cs="Calibri Light"/>
          <w:color w:val="000000"/>
          <w:sz w:val="22"/>
          <w:szCs w:val="22"/>
        </w:rPr>
        <w:t>12 millones, millones</w:t>
      </w:r>
      <w:r>
        <w:rPr>
          <w:rFonts w:ascii="Calibri Light" w:eastAsia="Calibri" w:hAnsi="Calibri Light" w:cs="Calibri Light"/>
          <w:color w:val="000000"/>
          <w:sz w:val="22"/>
          <w:szCs w:val="22"/>
        </w:rPr>
        <w:t xml:space="preserve"> de USD</w:t>
      </w:r>
      <w:r w:rsidRPr="00E4061F">
        <w:rPr>
          <w:rFonts w:ascii="Calibri Light" w:eastAsia="Calibri" w:hAnsi="Calibri Light" w:cs="Calibri Light"/>
          <w:color w:val="000000"/>
          <w:sz w:val="22"/>
          <w:szCs w:val="22"/>
        </w:rPr>
        <w:t xml:space="preserve"> superando los 28</w:t>
      </w:r>
      <w:r>
        <w:rPr>
          <w:rFonts w:ascii="Calibri Light" w:eastAsia="Calibri" w:hAnsi="Calibri Light" w:cs="Calibri Light"/>
          <w:color w:val="000000"/>
          <w:sz w:val="22"/>
          <w:szCs w:val="22"/>
        </w:rPr>
        <w:t>,</w:t>
      </w:r>
      <w:r w:rsidRPr="00E4061F">
        <w:rPr>
          <w:rFonts w:ascii="Calibri Light" w:eastAsia="Calibri" w:hAnsi="Calibri Light" w:cs="Calibri Light"/>
          <w:color w:val="000000"/>
          <w:sz w:val="22"/>
          <w:szCs w:val="22"/>
        </w:rPr>
        <w:t>01 millones</w:t>
      </w:r>
      <w:r>
        <w:rPr>
          <w:rFonts w:ascii="Calibri Light" w:eastAsia="Calibri" w:hAnsi="Calibri Light" w:cs="Calibri Light"/>
          <w:color w:val="000000"/>
          <w:sz w:val="22"/>
          <w:szCs w:val="22"/>
        </w:rPr>
        <w:t xml:space="preserve"> de USD</w:t>
      </w:r>
      <w:r w:rsidRPr="00E4061F">
        <w:rPr>
          <w:rFonts w:ascii="Calibri Light" w:eastAsia="Calibri" w:hAnsi="Calibri Light" w:cs="Calibri Light"/>
          <w:color w:val="000000"/>
          <w:sz w:val="22"/>
          <w:szCs w:val="22"/>
        </w:rPr>
        <w:t xml:space="preserve"> del año anterior.</w:t>
      </w:r>
    </w:p>
    <w:p w14:paraId="7E7A7F9D" w14:textId="77777777" w:rsidR="00EC08B4" w:rsidRPr="00EC08B4" w:rsidRDefault="00EC08B4" w:rsidP="00EC08B4"/>
    <w:p w14:paraId="3F1E9761" w14:textId="128DCCC2" w:rsidR="00C420E7" w:rsidRPr="001E01AE" w:rsidRDefault="00C420E7" w:rsidP="00C420E7">
      <w:pPr>
        <w:pStyle w:val="Descripcin"/>
        <w:rPr>
          <w:rFonts w:asciiTheme="majorHAnsi" w:hAnsiTheme="majorHAnsi" w:cstheme="majorHAnsi"/>
        </w:rPr>
      </w:pPr>
      <w:bookmarkStart w:id="329" w:name="_Toc198110375"/>
      <w:bookmarkStart w:id="330" w:name="_Toc199759699"/>
      <w:r w:rsidRPr="001E01AE">
        <w:rPr>
          <w:rFonts w:asciiTheme="majorHAnsi" w:hAnsiTheme="majorHAnsi" w:cstheme="majorHAnsi"/>
        </w:rPr>
        <w:t xml:space="preserve">Tabla </w:t>
      </w:r>
      <w:r w:rsidR="003A269C" w:rsidRPr="001E01AE">
        <w:rPr>
          <w:rFonts w:asciiTheme="majorHAnsi" w:hAnsiTheme="majorHAnsi" w:cstheme="majorHAnsi"/>
        </w:rPr>
        <w:fldChar w:fldCharType="begin"/>
      </w:r>
      <w:r w:rsidR="003A269C" w:rsidRPr="001E01AE">
        <w:rPr>
          <w:rFonts w:asciiTheme="majorHAnsi" w:hAnsiTheme="majorHAnsi" w:cstheme="majorHAnsi"/>
        </w:rPr>
        <w:instrText xml:space="preserve"> SEQ Tabla \* ARABIC </w:instrText>
      </w:r>
      <w:r w:rsidR="003A269C" w:rsidRPr="001E01AE">
        <w:rPr>
          <w:rFonts w:asciiTheme="majorHAnsi" w:hAnsiTheme="majorHAnsi" w:cstheme="majorHAnsi"/>
        </w:rPr>
        <w:fldChar w:fldCharType="separate"/>
      </w:r>
      <w:r w:rsidR="00CF0AD2">
        <w:rPr>
          <w:rFonts w:asciiTheme="majorHAnsi" w:hAnsiTheme="majorHAnsi" w:cstheme="majorHAnsi"/>
          <w:noProof/>
        </w:rPr>
        <w:t>29</w:t>
      </w:r>
      <w:r w:rsidR="003A269C" w:rsidRPr="001E01AE">
        <w:rPr>
          <w:rFonts w:asciiTheme="majorHAnsi" w:hAnsiTheme="majorHAnsi" w:cstheme="majorHAnsi"/>
          <w:noProof/>
        </w:rPr>
        <w:fldChar w:fldCharType="end"/>
      </w:r>
      <w:r w:rsidR="00192E54">
        <w:rPr>
          <w:rFonts w:asciiTheme="majorHAnsi" w:hAnsiTheme="majorHAnsi" w:cstheme="majorHAnsi"/>
        </w:rPr>
        <w:t>:</w:t>
      </w:r>
      <w:r w:rsidRPr="001E01AE">
        <w:rPr>
          <w:rFonts w:asciiTheme="majorHAnsi" w:hAnsiTheme="majorHAnsi" w:cstheme="majorHAnsi"/>
        </w:rPr>
        <w:t xml:space="preserve"> Indicadores de cartera año 2023 vs cartera año 2024</w:t>
      </w:r>
      <w:bookmarkEnd w:id="329"/>
      <w:bookmarkEnd w:id="330"/>
    </w:p>
    <w:tbl>
      <w:tblPr>
        <w:tblW w:w="6961" w:type="dxa"/>
        <w:jc w:val="center"/>
        <w:tblCellMar>
          <w:left w:w="70" w:type="dxa"/>
          <w:right w:w="70" w:type="dxa"/>
        </w:tblCellMar>
        <w:tblLook w:val="04A0" w:firstRow="1" w:lastRow="0" w:firstColumn="1" w:lastColumn="0" w:noHBand="0" w:noVBand="1"/>
      </w:tblPr>
      <w:tblGrid>
        <w:gridCol w:w="2223"/>
        <w:gridCol w:w="798"/>
        <w:gridCol w:w="1571"/>
        <w:gridCol w:w="798"/>
        <w:gridCol w:w="1571"/>
      </w:tblGrid>
      <w:tr w:rsidR="00C420E7" w:rsidRPr="00451824" w14:paraId="7D095124" w14:textId="77777777" w:rsidTr="00192E54">
        <w:trPr>
          <w:trHeight w:val="72"/>
          <w:tblHeader/>
          <w:jc w:val="center"/>
        </w:trPr>
        <w:tc>
          <w:tcPr>
            <w:tcW w:w="2223" w:type="dxa"/>
            <w:vMerge w:val="restar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14:paraId="13A231F1" w14:textId="77777777" w:rsidR="00C420E7" w:rsidRPr="00451824" w:rsidRDefault="00C420E7" w:rsidP="000A4588">
            <w:pPr>
              <w:jc w:val="center"/>
              <w:rPr>
                <w:rFonts w:ascii="Calibri Light" w:eastAsia="Times New Roman" w:hAnsi="Calibri Light" w:cs="Calibri Light"/>
                <w:b/>
                <w:bCs/>
                <w:color w:val="FFFFFF"/>
                <w:sz w:val="18"/>
                <w:szCs w:val="18"/>
                <w:lang w:eastAsia="es-EC"/>
              </w:rPr>
            </w:pPr>
            <w:r w:rsidRPr="00451824">
              <w:rPr>
                <w:rFonts w:ascii="Calibri Light" w:eastAsia="Times New Roman" w:hAnsi="Calibri Light" w:cs="Calibri Light"/>
                <w:b/>
                <w:bCs/>
                <w:color w:val="FFFFFF"/>
                <w:sz w:val="18"/>
                <w:szCs w:val="18"/>
                <w:lang w:eastAsia="es-EC"/>
              </w:rPr>
              <w:t>Indicador</w:t>
            </w:r>
          </w:p>
        </w:tc>
        <w:tc>
          <w:tcPr>
            <w:tcW w:w="2369" w:type="dxa"/>
            <w:gridSpan w:val="2"/>
            <w:tcBorders>
              <w:top w:val="single" w:sz="4" w:space="0" w:color="auto"/>
              <w:left w:val="nil"/>
              <w:bottom w:val="single" w:sz="4" w:space="0" w:color="auto"/>
              <w:right w:val="single" w:sz="4" w:space="0" w:color="auto"/>
            </w:tcBorders>
            <w:shd w:val="clear" w:color="auto" w:fill="5B9BD5" w:themeFill="accent5"/>
            <w:noWrap/>
            <w:vAlign w:val="bottom"/>
            <w:hideMark/>
          </w:tcPr>
          <w:p w14:paraId="5062ABE3" w14:textId="77777777" w:rsidR="00C420E7" w:rsidRPr="00451824" w:rsidRDefault="00C420E7" w:rsidP="000A4588">
            <w:pPr>
              <w:jc w:val="center"/>
              <w:rPr>
                <w:rFonts w:ascii="Calibri Light" w:eastAsia="Times New Roman" w:hAnsi="Calibri Light" w:cs="Calibri Light"/>
                <w:b/>
                <w:bCs/>
                <w:color w:val="FFFFFF"/>
                <w:sz w:val="18"/>
                <w:szCs w:val="18"/>
                <w:lang w:eastAsia="es-EC"/>
              </w:rPr>
            </w:pPr>
            <w:r w:rsidRPr="00451824">
              <w:rPr>
                <w:rFonts w:ascii="Calibri Light" w:eastAsia="Times New Roman" w:hAnsi="Calibri Light" w:cs="Calibri Light"/>
                <w:b/>
                <w:bCs/>
                <w:color w:val="FFFFFF"/>
                <w:sz w:val="18"/>
                <w:szCs w:val="18"/>
                <w:lang w:eastAsia="es-EC"/>
              </w:rPr>
              <w:t>2023</w:t>
            </w:r>
          </w:p>
        </w:tc>
        <w:tc>
          <w:tcPr>
            <w:tcW w:w="2369" w:type="dxa"/>
            <w:gridSpan w:val="2"/>
            <w:tcBorders>
              <w:top w:val="single" w:sz="4" w:space="0" w:color="auto"/>
              <w:left w:val="nil"/>
              <w:bottom w:val="single" w:sz="4" w:space="0" w:color="auto"/>
              <w:right w:val="single" w:sz="4" w:space="0" w:color="auto"/>
            </w:tcBorders>
            <w:shd w:val="clear" w:color="auto" w:fill="5B9BD5" w:themeFill="accent5"/>
            <w:noWrap/>
            <w:vAlign w:val="bottom"/>
            <w:hideMark/>
          </w:tcPr>
          <w:p w14:paraId="74690C49" w14:textId="77777777" w:rsidR="00C420E7" w:rsidRPr="00451824" w:rsidRDefault="00C420E7" w:rsidP="000A4588">
            <w:pPr>
              <w:jc w:val="center"/>
              <w:rPr>
                <w:rFonts w:ascii="Calibri Light" w:eastAsia="Times New Roman" w:hAnsi="Calibri Light" w:cs="Calibri Light"/>
                <w:b/>
                <w:bCs/>
                <w:color w:val="FFFFFF"/>
                <w:sz w:val="18"/>
                <w:szCs w:val="18"/>
                <w:lang w:eastAsia="es-EC"/>
              </w:rPr>
            </w:pPr>
            <w:r w:rsidRPr="00451824">
              <w:rPr>
                <w:rFonts w:ascii="Calibri Light" w:eastAsia="Times New Roman" w:hAnsi="Calibri Light" w:cs="Calibri Light"/>
                <w:b/>
                <w:bCs/>
                <w:color w:val="FFFFFF"/>
                <w:sz w:val="18"/>
                <w:szCs w:val="18"/>
                <w:lang w:eastAsia="es-EC"/>
              </w:rPr>
              <w:t>2024</w:t>
            </w:r>
          </w:p>
        </w:tc>
      </w:tr>
      <w:tr w:rsidR="00C420E7" w:rsidRPr="00451824" w14:paraId="2D647C9C" w14:textId="77777777" w:rsidTr="00192E54">
        <w:trPr>
          <w:trHeight w:val="42"/>
          <w:tblHeader/>
          <w:jc w:val="center"/>
        </w:trPr>
        <w:tc>
          <w:tcPr>
            <w:tcW w:w="2223" w:type="dxa"/>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697ABF65" w14:textId="77777777" w:rsidR="00C420E7" w:rsidRPr="00451824" w:rsidRDefault="00C420E7" w:rsidP="000A4588">
            <w:pPr>
              <w:rPr>
                <w:rFonts w:ascii="Calibri Light" w:eastAsia="Times New Roman" w:hAnsi="Calibri Light" w:cs="Calibri Light"/>
                <w:b/>
                <w:bCs/>
                <w:color w:val="FFFFFF"/>
                <w:sz w:val="18"/>
                <w:szCs w:val="18"/>
                <w:lang w:eastAsia="es-EC"/>
              </w:rPr>
            </w:pPr>
          </w:p>
        </w:tc>
        <w:tc>
          <w:tcPr>
            <w:tcW w:w="798" w:type="dxa"/>
            <w:tcBorders>
              <w:top w:val="nil"/>
              <w:left w:val="nil"/>
              <w:bottom w:val="single" w:sz="4" w:space="0" w:color="auto"/>
              <w:right w:val="single" w:sz="4" w:space="0" w:color="auto"/>
            </w:tcBorders>
            <w:shd w:val="clear" w:color="auto" w:fill="5B9BD5" w:themeFill="accent5"/>
            <w:noWrap/>
            <w:vAlign w:val="center"/>
            <w:hideMark/>
          </w:tcPr>
          <w:p w14:paraId="250D867F" w14:textId="77777777" w:rsidR="00C420E7" w:rsidRPr="00451824" w:rsidRDefault="00C420E7" w:rsidP="000A4588">
            <w:pPr>
              <w:jc w:val="center"/>
              <w:rPr>
                <w:rFonts w:ascii="Calibri Light" w:eastAsia="Times New Roman" w:hAnsi="Calibri Light" w:cs="Calibri Light"/>
                <w:b/>
                <w:bCs/>
                <w:color w:val="FFFFFF"/>
                <w:sz w:val="18"/>
                <w:szCs w:val="18"/>
                <w:lang w:eastAsia="es-EC"/>
              </w:rPr>
            </w:pPr>
            <w:proofErr w:type="spellStart"/>
            <w:r w:rsidRPr="00451824">
              <w:rPr>
                <w:rFonts w:ascii="Calibri Light" w:eastAsia="Times New Roman" w:hAnsi="Calibri Light" w:cs="Calibri Light"/>
                <w:b/>
                <w:bCs/>
                <w:color w:val="FFFFFF"/>
                <w:sz w:val="18"/>
                <w:szCs w:val="18"/>
                <w:lang w:eastAsia="es-EC"/>
              </w:rPr>
              <w:t>Acum</w:t>
            </w:r>
            <w:proofErr w:type="spellEnd"/>
          </w:p>
        </w:tc>
        <w:tc>
          <w:tcPr>
            <w:tcW w:w="1570" w:type="dxa"/>
            <w:tcBorders>
              <w:top w:val="nil"/>
              <w:left w:val="nil"/>
              <w:bottom w:val="single" w:sz="4" w:space="0" w:color="auto"/>
              <w:right w:val="single" w:sz="4" w:space="0" w:color="auto"/>
            </w:tcBorders>
            <w:shd w:val="clear" w:color="auto" w:fill="5B9BD5" w:themeFill="accent5"/>
            <w:noWrap/>
            <w:vAlign w:val="center"/>
            <w:hideMark/>
          </w:tcPr>
          <w:p w14:paraId="12ED72D5" w14:textId="77777777" w:rsidR="00C420E7" w:rsidRPr="00451824" w:rsidRDefault="00C420E7" w:rsidP="000A4588">
            <w:pPr>
              <w:jc w:val="center"/>
              <w:rPr>
                <w:rFonts w:ascii="Calibri Light" w:eastAsia="Times New Roman" w:hAnsi="Calibri Light" w:cs="Calibri Light"/>
                <w:b/>
                <w:bCs/>
                <w:color w:val="FFFFFF"/>
                <w:sz w:val="18"/>
                <w:szCs w:val="18"/>
                <w:lang w:eastAsia="es-EC"/>
              </w:rPr>
            </w:pPr>
            <w:r w:rsidRPr="00451824">
              <w:rPr>
                <w:rFonts w:ascii="Calibri Light" w:eastAsia="Times New Roman" w:hAnsi="Calibri Light" w:cs="Calibri Light"/>
                <w:b/>
                <w:bCs/>
                <w:color w:val="FFFFFF"/>
                <w:sz w:val="18"/>
                <w:szCs w:val="18"/>
                <w:lang w:eastAsia="es-EC"/>
              </w:rPr>
              <w:t>% Meta Anual</w:t>
            </w:r>
          </w:p>
        </w:tc>
        <w:tc>
          <w:tcPr>
            <w:tcW w:w="798" w:type="dxa"/>
            <w:tcBorders>
              <w:top w:val="nil"/>
              <w:left w:val="nil"/>
              <w:bottom w:val="single" w:sz="4" w:space="0" w:color="auto"/>
              <w:right w:val="single" w:sz="4" w:space="0" w:color="auto"/>
            </w:tcBorders>
            <w:shd w:val="clear" w:color="auto" w:fill="5B9BD5" w:themeFill="accent5"/>
            <w:noWrap/>
            <w:vAlign w:val="center"/>
            <w:hideMark/>
          </w:tcPr>
          <w:p w14:paraId="3A5B0DCD" w14:textId="77777777" w:rsidR="00C420E7" w:rsidRPr="00451824" w:rsidRDefault="00C420E7" w:rsidP="000A4588">
            <w:pPr>
              <w:jc w:val="center"/>
              <w:rPr>
                <w:rFonts w:ascii="Calibri Light" w:eastAsia="Times New Roman" w:hAnsi="Calibri Light" w:cs="Calibri Light"/>
                <w:b/>
                <w:bCs/>
                <w:color w:val="FFFFFF"/>
                <w:sz w:val="18"/>
                <w:szCs w:val="18"/>
                <w:lang w:eastAsia="es-EC"/>
              </w:rPr>
            </w:pPr>
            <w:proofErr w:type="spellStart"/>
            <w:r w:rsidRPr="00451824">
              <w:rPr>
                <w:rFonts w:ascii="Calibri Light" w:eastAsia="Times New Roman" w:hAnsi="Calibri Light" w:cs="Calibri Light"/>
                <w:b/>
                <w:bCs/>
                <w:color w:val="FFFFFF"/>
                <w:sz w:val="18"/>
                <w:szCs w:val="18"/>
                <w:lang w:eastAsia="es-EC"/>
              </w:rPr>
              <w:t>Acum</w:t>
            </w:r>
            <w:proofErr w:type="spellEnd"/>
          </w:p>
        </w:tc>
        <w:tc>
          <w:tcPr>
            <w:tcW w:w="1570" w:type="dxa"/>
            <w:tcBorders>
              <w:top w:val="nil"/>
              <w:left w:val="nil"/>
              <w:bottom w:val="single" w:sz="4" w:space="0" w:color="auto"/>
              <w:right w:val="single" w:sz="4" w:space="0" w:color="auto"/>
            </w:tcBorders>
            <w:shd w:val="clear" w:color="auto" w:fill="5B9BD5" w:themeFill="accent5"/>
            <w:noWrap/>
            <w:vAlign w:val="center"/>
            <w:hideMark/>
          </w:tcPr>
          <w:p w14:paraId="522D42B2" w14:textId="77777777" w:rsidR="00C420E7" w:rsidRPr="00451824" w:rsidRDefault="00C420E7" w:rsidP="000A4588">
            <w:pPr>
              <w:jc w:val="center"/>
              <w:rPr>
                <w:rFonts w:ascii="Calibri Light" w:eastAsia="Times New Roman" w:hAnsi="Calibri Light" w:cs="Calibri Light"/>
                <w:b/>
                <w:bCs/>
                <w:color w:val="FFFFFF"/>
                <w:sz w:val="18"/>
                <w:szCs w:val="18"/>
                <w:lang w:eastAsia="es-EC"/>
              </w:rPr>
            </w:pPr>
            <w:r w:rsidRPr="00451824">
              <w:rPr>
                <w:rFonts w:ascii="Calibri Light" w:eastAsia="Times New Roman" w:hAnsi="Calibri Light" w:cs="Calibri Light"/>
                <w:b/>
                <w:bCs/>
                <w:color w:val="FFFFFF"/>
                <w:sz w:val="18"/>
                <w:szCs w:val="18"/>
                <w:lang w:eastAsia="es-EC"/>
              </w:rPr>
              <w:t>% Meta Anual</w:t>
            </w:r>
          </w:p>
        </w:tc>
      </w:tr>
      <w:tr w:rsidR="00C420E7" w:rsidRPr="00451824" w14:paraId="104B5940" w14:textId="77777777" w:rsidTr="00192E54">
        <w:trPr>
          <w:trHeight w:val="246"/>
          <w:jc w:val="center"/>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14:paraId="030D2D44"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Cartera Total</w:t>
            </w:r>
            <w:r>
              <w:rPr>
                <w:rFonts w:ascii="Calibri Light" w:eastAsia="Times New Roman" w:hAnsi="Calibri Light" w:cs="Calibri Light"/>
                <w:color w:val="000000"/>
                <w:sz w:val="18"/>
                <w:szCs w:val="18"/>
                <w:lang w:eastAsia="es-EC"/>
              </w:rPr>
              <w:t xml:space="preserve"> (MMUSD)</w:t>
            </w:r>
          </w:p>
        </w:tc>
        <w:tc>
          <w:tcPr>
            <w:tcW w:w="798" w:type="dxa"/>
            <w:tcBorders>
              <w:top w:val="nil"/>
              <w:left w:val="nil"/>
              <w:bottom w:val="single" w:sz="4" w:space="0" w:color="auto"/>
              <w:right w:val="single" w:sz="4" w:space="0" w:color="auto"/>
            </w:tcBorders>
            <w:shd w:val="clear" w:color="auto" w:fill="auto"/>
            <w:noWrap/>
            <w:vAlign w:val="bottom"/>
            <w:hideMark/>
          </w:tcPr>
          <w:p w14:paraId="2B8E2CD9"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571</w:t>
            </w:r>
            <w:r>
              <w:rPr>
                <w:rFonts w:ascii="Calibri Light" w:eastAsia="Times New Roman" w:hAnsi="Calibri Light" w:cs="Calibri Light"/>
                <w:color w:val="000000"/>
                <w:sz w:val="18"/>
                <w:szCs w:val="18"/>
                <w:lang w:eastAsia="es-EC"/>
              </w:rPr>
              <w:t>,</w:t>
            </w:r>
            <w:r w:rsidRPr="00451824">
              <w:rPr>
                <w:rFonts w:ascii="Calibri Light" w:eastAsia="Times New Roman" w:hAnsi="Calibri Light" w:cs="Calibri Light"/>
                <w:color w:val="000000"/>
                <w:sz w:val="18"/>
                <w:szCs w:val="18"/>
                <w:lang w:eastAsia="es-EC"/>
              </w:rPr>
              <w:t>78</w:t>
            </w:r>
          </w:p>
        </w:tc>
        <w:tc>
          <w:tcPr>
            <w:tcW w:w="1570" w:type="dxa"/>
            <w:tcBorders>
              <w:top w:val="nil"/>
              <w:left w:val="nil"/>
              <w:bottom w:val="single" w:sz="4" w:space="0" w:color="auto"/>
              <w:right w:val="single" w:sz="4" w:space="0" w:color="auto"/>
            </w:tcBorders>
            <w:shd w:val="clear" w:color="auto" w:fill="auto"/>
            <w:noWrap/>
            <w:vAlign w:val="bottom"/>
            <w:hideMark/>
          </w:tcPr>
          <w:p w14:paraId="085B3B95"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 </w:t>
            </w:r>
            <w:r>
              <w:rPr>
                <w:rFonts w:ascii="Calibri Light" w:eastAsia="Times New Roman" w:hAnsi="Calibri Light" w:cs="Calibri Light"/>
                <w:color w:val="000000"/>
                <w:sz w:val="18"/>
                <w:szCs w:val="18"/>
                <w:lang w:eastAsia="es-EC"/>
              </w:rPr>
              <w:t>-</w:t>
            </w:r>
          </w:p>
        </w:tc>
        <w:tc>
          <w:tcPr>
            <w:tcW w:w="798" w:type="dxa"/>
            <w:tcBorders>
              <w:top w:val="nil"/>
              <w:left w:val="nil"/>
              <w:bottom w:val="single" w:sz="4" w:space="0" w:color="auto"/>
              <w:right w:val="single" w:sz="4" w:space="0" w:color="auto"/>
            </w:tcBorders>
            <w:shd w:val="clear" w:color="auto" w:fill="auto"/>
            <w:noWrap/>
            <w:vAlign w:val="bottom"/>
            <w:hideMark/>
          </w:tcPr>
          <w:p w14:paraId="2F0976D5"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923</w:t>
            </w:r>
            <w:r>
              <w:rPr>
                <w:rFonts w:ascii="Calibri Light" w:eastAsia="Times New Roman" w:hAnsi="Calibri Light" w:cs="Calibri Light"/>
                <w:color w:val="000000"/>
                <w:sz w:val="18"/>
                <w:szCs w:val="18"/>
                <w:lang w:eastAsia="es-EC"/>
              </w:rPr>
              <w:t>,</w:t>
            </w:r>
            <w:r w:rsidRPr="00451824">
              <w:rPr>
                <w:rFonts w:ascii="Calibri Light" w:eastAsia="Times New Roman" w:hAnsi="Calibri Light" w:cs="Calibri Light"/>
                <w:color w:val="000000"/>
                <w:sz w:val="18"/>
                <w:szCs w:val="18"/>
                <w:lang w:eastAsia="es-EC"/>
              </w:rPr>
              <w:t>41</w:t>
            </w:r>
          </w:p>
        </w:tc>
        <w:tc>
          <w:tcPr>
            <w:tcW w:w="1570" w:type="dxa"/>
            <w:tcBorders>
              <w:top w:val="nil"/>
              <w:left w:val="nil"/>
              <w:bottom w:val="single" w:sz="4" w:space="0" w:color="auto"/>
              <w:right w:val="single" w:sz="4" w:space="0" w:color="auto"/>
            </w:tcBorders>
            <w:shd w:val="clear" w:color="auto" w:fill="auto"/>
            <w:noWrap/>
            <w:vAlign w:val="bottom"/>
            <w:hideMark/>
          </w:tcPr>
          <w:p w14:paraId="19208998"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 </w:t>
            </w:r>
            <w:r>
              <w:rPr>
                <w:rFonts w:ascii="Calibri Light" w:eastAsia="Times New Roman" w:hAnsi="Calibri Light" w:cs="Calibri Light"/>
                <w:color w:val="000000"/>
                <w:sz w:val="18"/>
                <w:szCs w:val="18"/>
                <w:lang w:eastAsia="es-EC"/>
              </w:rPr>
              <w:t>-</w:t>
            </w:r>
          </w:p>
        </w:tc>
      </w:tr>
      <w:tr w:rsidR="00C420E7" w:rsidRPr="00451824" w14:paraId="490AD54C" w14:textId="77777777" w:rsidTr="00192E54">
        <w:trPr>
          <w:trHeight w:val="246"/>
          <w:jc w:val="center"/>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14:paraId="35AB953D"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Cartera Vencida X Recuperar</w:t>
            </w:r>
            <w:r>
              <w:rPr>
                <w:rFonts w:ascii="Calibri Light" w:eastAsia="Times New Roman" w:hAnsi="Calibri Light" w:cs="Calibri Light"/>
                <w:color w:val="000000"/>
                <w:sz w:val="18"/>
                <w:szCs w:val="18"/>
                <w:lang w:eastAsia="es-EC"/>
              </w:rPr>
              <w:t xml:space="preserve"> (MMUSD)</w:t>
            </w:r>
          </w:p>
        </w:tc>
        <w:tc>
          <w:tcPr>
            <w:tcW w:w="798" w:type="dxa"/>
            <w:tcBorders>
              <w:top w:val="nil"/>
              <w:left w:val="nil"/>
              <w:bottom w:val="single" w:sz="4" w:space="0" w:color="auto"/>
              <w:right w:val="single" w:sz="4" w:space="0" w:color="auto"/>
            </w:tcBorders>
            <w:shd w:val="clear" w:color="auto" w:fill="auto"/>
            <w:noWrap/>
            <w:vAlign w:val="bottom"/>
            <w:hideMark/>
          </w:tcPr>
          <w:p w14:paraId="1289065A"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401</w:t>
            </w:r>
            <w:r>
              <w:rPr>
                <w:rFonts w:ascii="Calibri Light" w:eastAsia="Times New Roman" w:hAnsi="Calibri Light" w:cs="Calibri Light"/>
                <w:color w:val="000000"/>
                <w:sz w:val="18"/>
                <w:szCs w:val="18"/>
                <w:lang w:eastAsia="es-EC"/>
              </w:rPr>
              <w:t>,</w:t>
            </w:r>
            <w:r w:rsidRPr="00451824">
              <w:rPr>
                <w:rFonts w:ascii="Calibri Light" w:eastAsia="Times New Roman" w:hAnsi="Calibri Light" w:cs="Calibri Light"/>
                <w:color w:val="000000"/>
                <w:sz w:val="18"/>
                <w:szCs w:val="18"/>
                <w:lang w:eastAsia="es-EC"/>
              </w:rPr>
              <w:t>00</w:t>
            </w:r>
          </w:p>
        </w:tc>
        <w:tc>
          <w:tcPr>
            <w:tcW w:w="1570" w:type="dxa"/>
            <w:tcBorders>
              <w:top w:val="nil"/>
              <w:left w:val="nil"/>
              <w:bottom w:val="single" w:sz="4" w:space="0" w:color="auto"/>
              <w:right w:val="single" w:sz="4" w:space="0" w:color="auto"/>
            </w:tcBorders>
            <w:shd w:val="clear" w:color="auto" w:fill="auto"/>
            <w:noWrap/>
            <w:vAlign w:val="bottom"/>
            <w:hideMark/>
          </w:tcPr>
          <w:p w14:paraId="2DC55F39"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 </w:t>
            </w:r>
            <w:r>
              <w:rPr>
                <w:rFonts w:ascii="Calibri Light" w:eastAsia="Times New Roman" w:hAnsi="Calibri Light" w:cs="Calibri Light"/>
                <w:color w:val="000000"/>
                <w:sz w:val="18"/>
                <w:szCs w:val="18"/>
                <w:lang w:eastAsia="es-EC"/>
              </w:rPr>
              <w:t>-</w:t>
            </w:r>
          </w:p>
        </w:tc>
        <w:tc>
          <w:tcPr>
            <w:tcW w:w="798" w:type="dxa"/>
            <w:tcBorders>
              <w:top w:val="nil"/>
              <w:left w:val="nil"/>
              <w:bottom w:val="single" w:sz="4" w:space="0" w:color="auto"/>
              <w:right w:val="single" w:sz="4" w:space="0" w:color="auto"/>
            </w:tcBorders>
            <w:shd w:val="clear" w:color="auto" w:fill="auto"/>
            <w:noWrap/>
            <w:vAlign w:val="bottom"/>
            <w:hideMark/>
          </w:tcPr>
          <w:p w14:paraId="07E2CDD9"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713</w:t>
            </w:r>
            <w:r>
              <w:rPr>
                <w:rFonts w:ascii="Calibri Light" w:eastAsia="Times New Roman" w:hAnsi="Calibri Light" w:cs="Calibri Light"/>
                <w:color w:val="000000"/>
                <w:sz w:val="18"/>
                <w:szCs w:val="18"/>
                <w:lang w:eastAsia="es-EC"/>
              </w:rPr>
              <w:t>,</w:t>
            </w:r>
            <w:r w:rsidRPr="00451824">
              <w:rPr>
                <w:rFonts w:ascii="Calibri Light" w:eastAsia="Times New Roman" w:hAnsi="Calibri Light" w:cs="Calibri Light"/>
                <w:color w:val="000000"/>
                <w:sz w:val="18"/>
                <w:szCs w:val="18"/>
                <w:lang w:eastAsia="es-EC"/>
              </w:rPr>
              <w:t>62</w:t>
            </w:r>
          </w:p>
        </w:tc>
        <w:tc>
          <w:tcPr>
            <w:tcW w:w="1570" w:type="dxa"/>
            <w:tcBorders>
              <w:top w:val="nil"/>
              <w:left w:val="nil"/>
              <w:bottom w:val="single" w:sz="4" w:space="0" w:color="auto"/>
              <w:right w:val="single" w:sz="4" w:space="0" w:color="auto"/>
            </w:tcBorders>
            <w:shd w:val="clear" w:color="auto" w:fill="auto"/>
            <w:noWrap/>
            <w:vAlign w:val="bottom"/>
            <w:hideMark/>
          </w:tcPr>
          <w:p w14:paraId="22FFC3E4"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 </w:t>
            </w:r>
            <w:r>
              <w:rPr>
                <w:rFonts w:ascii="Calibri Light" w:eastAsia="Times New Roman" w:hAnsi="Calibri Light" w:cs="Calibri Light"/>
                <w:color w:val="000000"/>
                <w:sz w:val="18"/>
                <w:szCs w:val="18"/>
                <w:lang w:eastAsia="es-EC"/>
              </w:rPr>
              <w:t>-</w:t>
            </w:r>
          </w:p>
        </w:tc>
      </w:tr>
      <w:tr w:rsidR="00C420E7" w:rsidRPr="00451824" w14:paraId="26509ED1" w14:textId="77777777" w:rsidTr="00192E54">
        <w:trPr>
          <w:trHeight w:val="246"/>
          <w:jc w:val="center"/>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14:paraId="3FA5ABC9"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 Cartera Vencida</w:t>
            </w:r>
          </w:p>
        </w:tc>
        <w:tc>
          <w:tcPr>
            <w:tcW w:w="798" w:type="dxa"/>
            <w:tcBorders>
              <w:top w:val="nil"/>
              <w:left w:val="nil"/>
              <w:bottom w:val="single" w:sz="4" w:space="0" w:color="auto"/>
              <w:right w:val="single" w:sz="4" w:space="0" w:color="auto"/>
            </w:tcBorders>
            <w:shd w:val="clear" w:color="auto" w:fill="auto"/>
            <w:noWrap/>
            <w:vAlign w:val="bottom"/>
            <w:hideMark/>
          </w:tcPr>
          <w:p w14:paraId="51BC1C6E"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70</w:t>
            </w:r>
            <w:r>
              <w:rPr>
                <w:rFonts w:ascii="Calibri Light" w:eastAsia="Times New Roman" w:hAnsi="Calibri Light" w:cs="Calibri Light"/>
                <w:color w:val="000000"/>
                <w:sz w:val="18"/>
                <w:szCs w:val="18"/>
                <w:lang w:eastAsia="es-EC"/>
              </w:rPr>
              <w:t>,</w:t>
            </w:r>
            <w:r w:rsidRPr="00451824">
              <w:rPr>
                <w:rFonts w:ascii="Calibri Light" w:eastAsia="Times New Roman" w:hAnsi="Calibri Light" w:cs="Calibri Light"/>
                <w:color w:val="000000"/>
                <w:sz w:val="18"/>
                <w:szCs w:val="18"/>
                <w:lang w:eastAsia="es-EC"/>
              </w:rPr>
              <w:t>13</w:t>
            </w:r>
          </w:p>
        </w:tc>
        <w:tc>
          <w:tcPr>
            <w:tcW w:w="1570" w:type="dxa"/>
            <w:tcBorders>
              <w:top w:val="nil"/>
              <w:left w:val="nil"/>
              <w:bottom w:val="single" w:sz="4" w:space="0" w:color="auto"/>
              <w:right w:val="single" w:sz="4" w:space="0" w:color="auto"/>
            </w:tcBorders>
            <w:shd w:val="clear" w:color="auto" w:fill="auto"/>
            <w:noWrap/>
            <w:vAlign w:val="bottom"/>
            <w:hideMark/>
          </w:tcPr>
          <w:p w14:paraId="389B7CB5"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 </w:t>
            </w:r>
            <w:r>
              <w:rPr>
                <w:rFonts w:ascii="Calibri Light" w:eastAsia="Times New Roman" w:hAnsi="Calibri Light" w:cs="Calibri Light"/>
                <w:color w:val="000000"/>
                <w:sz w:val="18"/>
                <w:szCs w:val="18"/>
                <w:lang w:eastAsia="es-EC"/>
              </w:rPr>
              <w:t>-</w:t>
            </w:r>
          </w:p>
        </w:tc>
        <w:tc>
          <w:tcPr>
            <w:tcW w:w="798" w:type="dxa"/>
            <w:tcBorders>
              <w:top w:val="nil"/>
              <w:left w:val="nil"/>
              <w:bottom w:val="single" w:sz="4" w:space="0" w:color="auto"/>
              <w:right w:val="single" w:sz="4" w:space="0" w:color="auto"/>
            </w:tcBorders>
            <w:shd w:val="clear" w:color="auto" w:fill="auto"/>
            <w:noWrap/>
            <w:vAlign w:val="bottom"/>
            <w:hideMark/>
          </w:tcPr>
          <w:p w14:paraId="400BEFF0"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77</w:t>
            </w:r>
            <w:r>
              <w:rPr>
                <w:rFonts w:ascii="Calibri Light" w:eastAsia="Times New Roman" w:hAnsi="Calibri Light" w:cs="Calibri Light"/>
                <w:color w:val="000000"/>
                <w:sz w:val="18"/>
                <w:szCs w:val="18"/>
                <w:lang w:eastAsia="es-EC"/>
              </w:rPr>
              <w:t>,</w:t>
            </w:r>
            <w:r w:rsidRPr="00451824">
              <w:rPr>
                <w:rFonts w:ascii="Calibri Light" w:eastAsia="Times New Roman" w:hAnsi="Calibri Light" w:cs="Calibri Light"/>
                <w:color w:val="000000"/>
                <w:sz w:val="18"/>
                <w:szCs w:val="18"/>
                <w:lang w:eastAsia="es-EC"/>
              </w:rPr>
              <w:t>28</w:t>
            </w:r>
          </w:p>
        </w:tc>
        <w:tc>
          <w:tcPr>
            <w:tcW w:w="1570" w:type="dxa"/>
            <w:tcBorders>
              <w:top w:val="nil"/>
              <w:left w:val="nil"/>
              <w:bottom w:val="single" w:sz="4" w:space="0" w:color="auto"/>
              <w:right w:val="single" w:sz="4" w:space="0" w:color="auto"/>
            </w:tcBorders>
            <w:shd w:val="clear" w:color="auto" w:fill="auto"/>
            <w:noWrap/>
            <w:vAlign w:val="bottom"/>
            <w:hideMark/>
          </w:tcPr>
          <w:p w14:paraId="2500AF45"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 </w:t>
            </w:r>
            <w:r>
              <w:rPr>
                <w:rFonts w:ascii="Calibri Light" w:eastAsia="Times New Roman" w:hAnsi="Calibri Light" w:cs="Calibri Light"/>
                <w:color w:val="000000"/>
                <w:sz w:val="18"/>
                <w:szCs w:val="18"/>
                <w:lang w:eastAsia="es-EC"/>
              </w:rPr>
              <w:t>-</w:t>
            </w:r>
          </w:p>
        </w:tc>
      </w:tr>
      <w:tr w:rsidR="00C420E7" w:rsidRPr="00451824" w14:paraId="39E3BDDA" w14:textId="77777777" w:rsidTr="00192E54">
        <w:trPr>
          <w:trHeight w:val="246"/>
          <w:jc w:val="center"/>
        </w:trPr>
        <w:tc>
          <w:tcPr>
            <w:tcW w:w="2223" w:type="dxa"/>
            <w:tcBorders>
              <w:top w:val="nil"/>
              <w:left w:val="single" w:sz="4" w:space="0" w:color="auto"/>
              <w:bottom w:val="single" w:sz="4" w:space="0" w:color="auto"/>
              <w:right w:val="single" w:sz="4" w:space="0" w:color="auto"/>
            </w:tcBorders>
            <w:shd w:val="clear" w:color="auto" w:fill="5B9BD5" w:themeFill="accent5"/>
            <w:noWrap/>
            <w:vAlign w:val="bottom"/>
            <w:hideMark/>
          </w:tcPr>
          <w:p w14:paraId="7DE98CF7" w14:textId="77777777" w:rsidR="00C420E7" w:rsidRPr="00451824" w:rsidRDefault="00C420E7" w:rsidP="000A4588">
            <w:pPr>
              <w:jc w:val="center"/>
              <w:rPr>
                <w:rFonts w:ascii="Calibri Light" w:eastAsia="Times New Roman" w:hAnsi="Calibri Light" w:cs="Calibri Light"/>
                <w:b/>
                <w:bCs/>
                <w:color w:val="FFFFFF"/>
                <w:sz w:val="18"/>
                <w:szCs w:val="18"/>
                <w:lang w:eastAsia="es-EC"/>
              </w:rPr>
            </w:pPr>
            <w:r w:rsidRPr="00451824">
              <w:rPr>
                <w:rFonts w:ascii="Calibri Light" w:eastAsia="Times New Roman" w:hAnsi="Calibri Light" w:cs="Calibri Light"/>
                <w:b/>
                <w:bCs/>
                <w:color w:val="FFFFFF"/>
                <w:sz w:val="18"/>
                <w:szCs w:val="18"/>
                <w:lang w:eastAsia="es-EC"/>
              </w:rPr>
              <w:lastRenderedPageBreak/>
              <w:t xml:space="preserve">Recuperación </w:t>
            </w:r>
            <w:r>
              <w:rPr>
                <w:rFonts w:ascii="Calibri Light" w:eastAsia="Times New Roman" w:hAnsi="Calibri Light" w:cs="Calibri Light"/>
                <w:b/>
                <w:bCs/>
                <w:color w:val="FFFFFF"/>
                <w:sz w:val="18"/>
                <w:szCs w:val="18"/>
                <w:lang w:eastAsia="es-EC"/>
              </w:rPr>
              <w:t>d</w:t>
            </w:r>
            <w:r w:rsidRPr="00451824">
              <w:rPr>
                <w:rFonts w:ascii="Calibri Light" w:eastAsia="Times New Roman" w:hAnsi="Calibri Light" w:cs="Calibri Light"/>
                <w:b/>
                <w:bCs/>
                <w:color w:val="FFFFFF"/>
                <w:sz w:val="18"/>
                <w:szCs w:val="18"/>
                <w:lang w:eastAsia="es-EC"/>
              </w:rPr>
              <w:t>e Cartera Vencida</w:t>
            </w:r>
          </w:p>
        </w:tc>
        <w:tc>
          <w:tcPr>
            <w:tcW w:w="798" w:type="dxa"/>
            <w:tcBorders>
              <w:top w:val="nil"/>
              <w:left w:val="nil"/>
              <w:bottom w:val="single" w:sz="4" w:space="0" w:color="auto"/>
              <w:right w:val="single" w:sz="4" w:space="0" w:color="auto"/>
            </w:tcBorders>
            <w:shd w:val="clear" w:color="auto" w:fill="5B9BD5" w:themeFill="accent5"/>
            <w:noWrap/>
            <w:vAlign w:val="bottom"/>
            <w:hideMark/>
          </w:tcPr>
          <w:p w14:paraId="03D1E628" w14:textId="77777777" w:rsidR="00C420E7" w:rsidRPr="00451824" w:rsidRDefault="00C420E7" w:rsidP="000A4588">
            <w:pPr>
              <w:jc w:val="center"/>
              <w:rPr>
                <w:rFonts w:ascii="Calibri Light" w:eastAsia="Times New Roman" w:hAnsi="Calibri Light" w:cs="Calibri Light"/>
                <w:b/>
                <w:bCs/>
                <w:color w:val="FFFFFF"/>
                <w:sz w:val="18"/>
                <w:szCs w:val="18"/>
                <w:lang w:eastAsia="es-EC"/>
              </w:rPr>
            </w:pPr>
            <w:r w:rsidRPr="00451824">
              <w:rPr>
                <w:rFonts w:ascii="Calibri Light" w:eastAsia="Times New Roman" w:hAnsi="Calibri Light" w:cs="Calibri Light"/>
                <w:b/>
                <w:bCs/>
                <w:color w:val="FFFFFF"/>
                <w:sz w:val="18"/>
                <w:szCs w:val="18"/>
                <w:lang w:eastAsia="es-EC"/>
              </w:rPr>
              <w:t> </w:t>
            </w:r>
          </w:p>
        </w:tc>
        <w:tc>
          <w:tcPr>
            <w:tcW w:w="1570" w:type="dxa"/>
            <w:tcBorders>
              <w:top w:val="nil"/>
              <w:left w:val="nil"/>
              <w:bottom w:val="single" w:sz="4" w:space="0" w:color="auto"/>
              <w:right w:val="single" w:sz="4" w:space="0" w:color="auto"/>
            </w:tcBorders>
            <w:shd w:val="clear" w:color="auto" w:fill="5B9BD5" w:themeFill="accent5"/>
            <w:noWrap/>
            <w:vAlign w:val="bottom"/>
            <w:hideMark/>
          </w:tcPr>
          <w:p w14:paraId="26773AEA" w14:textId="77777777" w:rsidR="00C420E7" w:rsidRPr="00451824" w:rsidRDefault="00C420E7" w:rsidP="000A4588">
            <w:pPr>
              <w:jc w:val="center"/>
              <w:rPr>
                <w:rFonts w:ascii="Calibri Light" w:eastAsia="Times New Roman" w:hAnsi="Calibri Light" w:cs="Calibri Light"/>
                <w:b/>
                <w:bCs/>
                <w:color w:val="FFFFFF"/>
                <w:sz w:val="18"/>
                <w:szCs w:val="18"/>
                <w:lang w:eastAsia="es-EC"/>
              </w:rPr>
            </w:pPr>
            <w:r w:rsidRPr="00451824">
              <w:rPr>
                <w:rFonts w:ascii="Calibri Light" w:eastAsia="Times New Roman" w:hAnsi="Calibri Light" w:cs="Calibri Light"/>
                <w:b/>
                <w:bCs/>
                <w:color w:val="FFFFFF"/>
                <w:sz w:val="18"/>
                <w:szCs w:val="18"/>
                <w:lang w:eastAsia="es-EC"/>
              </w:rPr>
              <w:t> </w:t>
            </w:r>
          </w:p>
        </w:tc>
        <w:tc>
          <w:tcPr>
            <w:tcW w:w="798" w:type="dxa"/>
            <w:tcBorders>
              <w:top w:val="nil"/>
              <w:left w:val="nil"/>
              <w:bottom w:val="single" w:sz="4" w:space="0" w:color="auto"/>
              <w:right w:val="single" w:sz="4" w:space="0" w:color="auto"/>
            </w:tcBorders>
            <w:shd w:val="clear" w:color="auto" w:fill="5B9BD5" w:themeFill="accent5"/>
            <w:noWrap/>
            <w:vAlign w:val="bottom"/>
            <w:hideMark/>
          </w:tcPr>
          <w:p w14:paraId="471BE731" w14:textId="77777777" w:rsidR="00C420E7" w:rsidRPr="00451824" w:rsidRDefault="00C420E7" w:rsidP="000A4588">
            <w:pPr>
              <w:jc w:val="center"/>
              <w:rPr>
                <w:rFonts w:ascii="Calibri Light" w:eastAsia="Times New Roman" w:hAnsi="Calibri Light" w:cs="Calibri Light"/>
                <w:b/>
                <w:bCs/>
                <w:color w:val="FFFFFF"/>
                <w:sz w:val="18"/>
                <w:szCs w:val="18"/>
                <w:lang w:eastAsia="es-EC"/>
              </w:rPr>
            </w:pPr>
            <w:r w:rsidRPr="00451824">
              <w:rPr>
                <w:rFonts w:ascii="Calibri Light" w:eastAsia="Times New Roman" w:hAnsi="Calibri Light" w:cs="Calibri Light"/>
                <w:b/>
                <w:bCs/>
                <w:color w:val="FFFFFF"/>
                <w:sz w:val="18"/>
                <w:szCs w:val="18"/>
                <w:lang w:eastAsia="es-EC"/>
              </w:rPr>
              <w:t> </w:t>
            </w:r>
          </w:p>
        </w:tc>
        <w:tc>
          <w:tcPr>
            <w:tcW w:w="1570" w:type="dxa"/>
            <w:tcBorders>
              <w:top w:val="nil"/>
              <w:left w:val="nil"/>
              <w:bottom w:val="single" w:sz="4" w:space="0" w:color="auto"/>
              <w:right w:val="single" w:sz="4" w:space="0" w:color="auto"/>
            </w:tcBorders>
            <w:shd w:val="clear" w:color="auto" w:fill="5B9BD5" w:themeFill="accent5"/>
            <w:noWrap/>
            <w:vAlign w:val="bottom"/>
            <w:hideMark/>
          </w:tcPr>
          <w:p w14:paraId="148127E2" w14:textId="77777777" w:rsidR="00C420E7" w:rsidRPr="00451824" w:rsidRDefault="00C420E7" w:rsidP="000A4588">
            <w:pPr>
              <w:jc w:val="center"/>
              <w:rPr>
                <w:rFonts w:ascii="Calibri Light" w:eastAsia="Times New Roman" w:hAnsi="Calibri Light" w:cs="Calibri Light"/>
                <w:b/>
                <w:bCs/>
                <w:color w:val="FFFFFF"/>
                <w:sz w:val="18"/>
                <w:szCs w:val="18"/>
                <w:lang w:eastAsia="es-EC"/>
              </w:rPr>
            </w:pPr>
            <w:r w:rsidRPr="00451824">
              <w:rPr>
                <w:rFonts w:ascii="Calibri Light" w:eastAsia="Times New Roman" w:hAnsi="Calibri Light" w:cs="Calibri Light"/>
                <w:b/>
                <w:bCs/>
                <w:color w:val="FFFFFF"/>
                <w:sz w:val="18"/>
                <w:szCs w:val="18"/>
                <w:lang w:eastAsia="es-EC"/>
              </w:rPr>
              <w:t> </w:t>
            </w:r>
          </w:p>
        </w:tc>
      </w:tr>
      <w:tr w:rsidR="00C420E7" w:rsidRPr="00451824" w14:paraId="782BD578" w14:textId="77777777" w:rsidTr="00192E54">
        <w:trPr>
          <w:trHeight w:val="246"/>
          <w:jc w:val="center"/>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14:paraId="70F7293C"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Total (MM</w:t>
            </w:r>
            <w:r>
              <w:rPr>
                <w:rFonts w:ascii="Calibri Light" w:eastAsia="Times New Roman" w:hAnsi="Calibri Light" w:cs="Calibri Light"/>
                <w:color w:val="000000"/>
                <w:sz w:val="18"/>
                <w:szCs w:val="18"/>
                <w:lang w:eastAsia="es-EC"/>
              </w:rPr>
              <w:t>USD</w:t>
            </w:r>
            <w:r w:rsidRPr="00451824">
              <w:rPr>
                <w:rFonts w:ascii="Calibri Light" w:eastAsia="Times New Roman" w:hAnsi="Calibri Light" w:cs="Calibri Light"/>
                <w:color w:val="000000"/>
                <w:sz w:val="18"/>
                <w:szCs w:val="18"/>
                <w:lang w:eastAsia="es-EC"/>
              </w:rPr>
              <w:t>)</w:t>
            </w:r>
          </w:p>
        </w:tc>
        <w:tc>
          <w:tcPr>
            <w:tcW w:w="798" w:type="dxa"/>
            <w:tcBorders>
              <w:top w:val="nil"/>
              <w:left w:val="nil"/>
              <w:bottom w:val="single" w:sz="4" w:space="0" w:color="auto"/>
              <w:right w:val="single" w:sz="4" w:space="0" w:color="auto"/>
            </w:tcBorders>
            <w:shd w:val="clear" w:color="auto" w:fill="auto"/>
            <w:noWrap/>
            <w:vAlign w:val="bottom"/>
            <w:hideMark/>
          </w:tcPr>
          <w:p w14:paraId="54F5E938"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28</w:t>
            </w:r>
            <w:r>
              <w:rPr>
                <w:rFonts w:ascii="Calibri Light" w:eastAsia="Times New Roman" w:hAnsi="Calibri Light" w:cs="Calibri Light"/>
                <w:color w:val="000000"/>
                <w:sz w:val="18"/>
                <w:szCs w:val="18"/>
                <w:lang w:eastAsia="es-EC"/>
              </w:rPr>
              <w:t>,</w:t>
            </w:r>
            <w:r w:rsidRPr="00451824">
              <w:rPr>
                <w:rFonts w:ascii="Calibri Light" w:eastAsia="Times New Roman" w:hAnsi="Calibri Light" w:cs="Calibri Light"/>
                <w:color w:val="000000"/>
                <w:sz w:val="18"/>
                <w:szCs w:val="18"/>
                <w:lang w:eastAsia="es-EC"/>
              </w:rPr>
              <w:t>01</w:t>
            </w:r>
          </w:p>
        </w:tc>
        <w:tc>
          <w:tcPr>
            <w:tcW w:w="1570" w:type="dxa"/>
            <w:tcBorders>
              <w:top w:val="nil"/>
              <w:left w:val="nil"/>
              <w:bottom w:val="single" w:sz="4" w:space="0" w:color="auto"/>
              <w:right w:val="single" w:sz="4" w:space="0" w:color="auto"/>
            </w:tcBorders>
            <w:shd w:val="clear" w:color="auto" w:fill="auto"/>
            <w:noWrap/>
            <w:vAlign w:val="bottom"/>
            <w:hideMark/>
          </w:tcPr>
          <w:p w14:paraId="7900DE16"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109</w:t>
            </w:r>
            <w:r>
              <w:rPr>
                <w:rFonts w:ascii="Calibri Light" w:eastAsia="Times New Roman" w:hAnsi="Calibri Light" w:cs="Calibri Light"/>
                <w:color w:val="000000"/>
                <w:sz w:val="18"/>
                <w:szCs w:val="18"/>
                <w:lang w:eastAsia="es-EC"/>
              </w:rPr>
              <w:t>,</w:t>
            </w:r>
            <w:r w:rsidRPr="00451824">
              <w:rPr>
                <w:rFonts w:ascii="Calibri Light" w:eastAsia="Times New Roman" w:hAnsi="Calibri Light" w:cs="Calibri Light"/>
                <w:color w:val="000000"/>
                <w:sz w:val="18"/>
                <w:szCs w:val="18"/>
                <w:lang w:eastAsia="es-EC"/>
              </w:rPr>
              <w:t>74</w:t>
            </w:r>
          </w:p>
        </w:tc>
        <w:tc>
          <w:tcPr>
            <w:tcW w:w="798" w:type="dxa"/>
            <w:tcBorders>
              <w:top w:val="nil"/>
              <w:left w:val="nil"/>
              <w:bottom w:val="single" w:sz="4" w:space="0" w:color="auto"/>
              <w:right w:val="single" w:sz="4" w:space="0" w:color="auto"/>
            </w:tcBorders>
            <w:shd w:val="clear" w:color="auto" w:fill="auto"/>
            <w:noWrap/>
            <w:vAlign w:val="bottom"/>
            <w:hideMark/>
          </w:tcPr>
          <w:p w14:paraId="3154DC8B"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30</w:t>
            </w:r>
            <w:r>
              <w:rPr>
                <w:rFonts w:ascii="Calibri Light" w:eastAsia="Times New Roman" w:hAnsi="Calibri Light" w:cs="Calibri Light"/>
                <w:color w:val="000000"/>
                <w:sz w:val="18"/>
                <w:szCs w:val="18"/>
                <w:lang w:eastAsia="es-EC"/>
              </w:rPr>
              <w:t>,</w:t>
            </w:r>
            <w:r w:rsidRPr="00451824">
              <w:rPr>
                <w:rFonts w:ascii="Calibri Light" w:eastAsia="Times New Roman" w:hAnsi="Calibri Light" w:cs="Calibri Light"/>
                <w:color w:val="000000"/>
                <w:sz w:val="18"/>
                <w:szCs w:val="18"/>
                <w:lang w:eastAsia="es-EC"/>
              </w:rPr>
              <w:t>12</w:t>
            </w:r>
          </w:p>
        </w:tc>
        <w:tc>
          <w:tcPr>
            <w:tcW w:w="1570" w:type="dxa"/>
            <w:tcBorders>
              <w:top w:val="nil"/>
              <w:left w:val="nil"/>
              <w:bottom w:val="single" w:sz="4" w:space="0" w:color="auto"/>
              <w:right w:val="single" w:sz="4" w:space="0" w:color="auto"/>
            </w:tcBorders>
            <w:shd w:val="clear" w:color="auto" w:fill="auto"/>
            <w:noWrap/>
            <w:vAlign w:val="bottom"/>
            <w:hideMark/>
          </w:tcPr>
          <w:p w14:paraId="1F9D7F5D"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121</w:t>
            </w:r>
            <w:r>
              <w:rPr>
                <w:rFonts w:ascii="Calibri Light" w:eastAsia="Times New Roman" w:hAnsi="Calibri Light" w:cs="Calibri Light"/>
                <w:color w:val="000000"/>
                <w:sz w:val="18"/>
                <w:szCs w:val="18"/>
                <w:lang w:eastAsia="es-EC"/>
              </w:rPr>
              <w:t>,</w:t>
            </w:r>
            <w:r w:rsidRPr="00451824">
              <w:rPr>
                <w:rFonts w:ascii="Calibri Light" w:eastAsia="Times New Roman" w:hAnsi="Calibri Light" w:cs="Calibri Light"/>
                <w:color w:val="000000"/>
                <w:sz w:val="18"/>
                <w:szCs w:val="18"/>
                <w:lang w:eastAsia="es-EC"/>
              </w:rPr>
              <w:t>5</w:t>
            </w:r>
          </w:p>
        </w:tc>
      </w:tr>
      <w:tr w:rsidR="00C420E7" w:rsidRPr="00451824" w14:paraId="7E140B82" w14:textId="77777777" w:rsidTr="00192E54">
        <w:trPr>
          <w:trHeight w:val="246"/>
          <w:jc w:val="center"/>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14:paraId="44A94FC2"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Total %</w:t>
            </w:r>
          </w:p>
        </w:tc>
        <w:tc>
          <w:tcPr>
            <w:tcW w:w="798" w:type="dxa"/>
            <w:tcBorders>
              <w:top w:val="nil"/>
              <w:left w:val="nil"/>
              <w:bottom w:val="single" w:sz="4" w:space="0" w:color="auto"/>
              <w:right w:val="single" w:sz="4" w:space="0" w:color="auto"/>
            </w:tcBorders>
            <w:shd w:val="clear" w:color="auto" w:fill="auto"/>
            <w:noWrap/>
            <w:vAlign w:val="bottom"/>
            <w:hideMark/>
          </w:tcPr>
          <w:p w14:paraId="2E65A65C"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6,98%</w:t>
            </w:r>
          </w:p>
        </w:tc>
        <w:tc>
          <w:tcPr>
            <w:tcW w:w="1570" w:type="dxa"/>
            <w:tcBorders>
              <w:top w:val="nil"/>
              <w:left w:val="nil"/>
              <w:bottom w:val="single" w:sz="4" w:space="0" w:color="auto"/>
              <w:right w:val="single" w:sz="4" w:space="0" w:color="auto"/>
            </w:tcBorders>
            <w:shd w:val="clear" w:color="auto" w:fill="auto"/>
            <w:noWrap/>
            <w:vAlign w:val="bottom"/>
            <w:hideMark/>
          </w:tcPr>
          <w:p w14:paraId="0CABEBF2"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25,52%</w:t>
            </w:r>
          </w:p>
        </w:tc>
        <w:tc>
          <w:tcPr>
            <w:tcW w:w="798" w:type="dxa"/>
            <w:tcBorders>
              <w:top w:val="nil"/>
              <w:left w:val="nil"/>
              <w:bottom w:val="single" w:sz="4" w:space="0" w:color="auto"/>
              <w:right w:val="single" w:sz="4" w:space="0" w:color="auto"/>
            </w:tcBorders>
            <w:shd w:val="clear" w:color="auto" w:fill="auto"/>
            <w:noWrap/>
            <w:vAlign w:val="bottom"/>
            <w:hideMark/>
          </w:tcPr>
          <w:p w14:paraId="3A875232"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4,22%</w:t>
            </w:r>
          </w:p>
        </w:tc>
        <w:tc>
          <w:tcPr>
            <w:tcW w:w="1570" w:type="dxa"/>
            <w:tcBorders>
              <w:top w:val="nil"/>
              <w:left w:val="nil"/>
              <w:bottom w:val="single" w:sz="4" w:space="0" w:color="auto"/>
              <w:right w:val="single" w:sz="4" w:space="0" w:color="auto"/>
            </w:tcBorders>
            <w:shd w:val="clear" w:color="auto" w:fill="auto"/>
            <w:noWrap/>
            <w:vAlign w:val="bottom"/>
            <w:hideMark/>
          </w:tcPr>
          <w:p w14:paraId="7469133D"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24,75%</w:t>
            </w:r>
          </w:p>
        </w:tc>
      </w:tr>
      <w:tr w:rsidR="00C420E7" w:rsidRPr="00451824" w14:paraId="0D854F11" w14:textId="77777777" w:rsidTr="00192E54">
        <w:trPr>
          <w:trHeight w:val="246"/>
          <w:jc w:val="center"/>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14:paraId="620A8046"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Vencida</w:t>
            </w:r>
            <w:r>
              <w:rPr>
                <w:rFonts w:ascii="Calibri Light" w:eastAsia="Times New Roman" w:hAnsi="Calibri Light" w:cs="Calibri Light"/>
                <w:color w:val="000000"/>
                <w:sz w:val="18"/>
                <w:szCs w:val="18"/>
                <w:lang w:eastAsia="es-EC"/>
              </w:rPr>
              <w:t xml:space="preserve"> </w:t>
            </w:r>
            <w:r w:rsidRPr="00451824">
              <w:rPr>
                <w:rFonts w:ascii="Calibri Light" w:eastAsia="Times New Roman" w:hAnsi="Calibri Light" w:cs="Calibri Light"/>
                <w:color w:val="000000"/>
                <w:sz w:val="18"/>
                <w:szCs w:val="18"/>
                <w:lang w:eastAsia="es-EC"/>
              </w:rPr>
              <w:t>(MM</w:t>
            </w:r>
            <w:r>
              <w:rPr>
                <w:rFonts w:ascii="Calibri Light" w:eastAsia="Times New Roman" w:hAnsi="Calibri Light" w:cs="Calibri Light"/>
                <w:color w:val="000000"/>
                <w:sz w:val="18"/>
                <w:szCs w:val="18"/>
                <w:lang w:eastAsia="es-EC"/>
              </w:rPr>
              <w:t>USD</w:t>
            </w:r>
            <w:r w:rsidRPr="00451824">
              <w:rPr>
                <w:rFonts w:ascii="Calibri Light" w:eastAsia="Times New Roman" w:hAnsi="Calibri Light" w:cs="Calibri Light"/>
                <w:color w:val="000000"/>
                <w:sz w:val="18"/>
                <w:szCs w:val="18"/>
                <w:lang w:eastAsia="es-EC"/>
              </w:rPr>
              <w:t>)</w:t>
            </w:r>
          </w:p>
        </w:tc>
        <w:tc>
          <w:tcPr>
            <w:tcW w:w="798" w:type="dxa"/>
            <w:tcBorders>
              <w:top w:val="nil"/>
              <w:left w:val="nil"/>
              <w:bottom w:val="single" w:sz="4" w:space="0" w:color="auto"/>
              <w:right w:val="single" w:sz="4" w:space="0" w:color="auto"/>
            </w:tcBorders>
            <w:shd w:val="clear" w:color="auto" w:fill="auto"/>
            <w:noWrap/>
            <w:vAlign w:val="bottom"/>
            <w:hideMark/>
          </w:tcPr>
          <w:p w14:paraId="47E7D59F"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28</w:t>
            </w:r>
            <w:r>
              <w:rPr>
                <w:rFonts w:ascii="Calibri Light" w:eastAsia="Times New Roman" w:hAnsi="Calibri Light" w:cs="Calibri Light"/>
                <w:color w:val="000000"/>
                <w:sz w:val="18"/>
                <w:szCs w:val="18"/>
                <w:lang w:eastAsia="es-EC"/>
              </w:rPr>
              <w:t>,</w:t>
            </w:r>
            <w:r w:rsidRPr="00451824">
              <w:rPr>
                <w:rFonts w:ascii="Calibri Light" w:eastAsia="Times New Roman" w:hAnsi="Calibri Light" w:cs="Calibri Light"/>
                <w:color w:val="000000"/>
                <w:sz w:val="18"/>
                <w:szCs w:val="18"/>
                <w:lang w:eastAsia="es-EC"/>
              </w:rPr>
              <w:t>01</w:t>
            </w:r>
          </w:p>
        </w:tc>
        <w:tc>
          <w:tcPr>
            <w:tcW w:w="1570" w:type="dxa"/>
            <w:tcBorders>
              <w:top w:val="nil"/>
              <w:left w:val="nil"/>
              <w:bottom w:val="single" w:sz="4" w:space="0" w:color="auto"/>
              <w:right w:val="single" w:sz="4" w:space="0" w:color="auto"/>
            </w:tcBorders>
            <w:shd w:val="clear" w:color="auto" w:fill="auto"/>
            <w:noWrap/>
            <w:vAlign w:val="bottom"/>
            <w:hideMark/>
          </w:tcPr>
          <w:p w14:paraId="23FB0696"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 </w:t>
            </w:r>
            <w:r>
              <w:rPr>
                <w:rFonts w:ascii="Calibri Light" w:eastAsia="Times New Roman" w:hAnsi="Calibri Light" w:cs="Calibri Light"/>
                <w:color w:val="000000"/>
                <w:sz w:val="18"/>
                <w:szCs w:val="18"/>
                <w:lang w:eastAsia="es-EC"/>
              </w:rPr>
              <w:t>-</w:t>
            </w:r>
          </w:p>
        </w:tc>
        <w:tc>
          <w:tcPr>
            <w:tcW w:w="798" w:type="dxa"/>
            <w:tcBorders>
              <w:top w:val="nil"/>
              <w:left w:val="nil"/>
              <w:bottom w:val="single" w:sz="4" w:space="0" w:color="auto"/>
              <w:right w:val="single" w:sz="4" w:space="0" w:color="auto"/>
            </w:tcBorders>
            <w:shd w:val="clear" w:color="auto" w:fill="auto"/>
            <w:noWrap/>
            <w:vAlign w:val="bottom"/>
            <w:hideMark/>
          </w:tcPr>
          <w:p w14:paraId="70386974"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30</w:t>
            </w:r>
            <w:r>
              <w:rPr>
                <w:rFonts w:ascii="Calibri Light" w:eastAsia="Times New Roman" w:hAnsi="Calibri Light" w:cs="Calibri Light"/>
                <w:color w:val="000000"/>
                <w:sz w:val="18"/>
                <w:szCs w:val="18"/>
                <w:lang w:eastAsia="es-EC"/>
              </w:rPr>
              <w:t>,</w:t>
            </w:r>
            <w:r w:rsidRPr="00451824">
              <w:rPr>
                <w:rFonts w:ascii="Calibri Light" w:eastAsia="Times New Roman" w:hAnsi="Calibri Light" w:cs="Calibri Light"/>
                <w:color w:val="000000"/>
                <w:sz w:val="18"/>
                <w:szCs w:val="18"/>
                <w:lang w:eastAsia="es-EC"/>
              </w:rPr>
              <w:t>12</w:t>
            </w:r>
          </w:p>
        </w:tc>
        <w:tc>
          <w:tcPr>
            <w:tcW w:w="1570" w:type="dxa"/>
            <w:tcBorders>
              <w:top w:val="nil"/>
              <w:left w:val="nil"/>
              <w:bottom w:val="single" w:sz="4" w:space="0" w:color="auto"/>
              <w:right w:val="single" w:sz="4" w:space="0" w:color="auto"/>
            </w:tcBorders>
            <w:shd w:val="clear" w:color="auto" w:fill="auto"/>
            <w:noWrap/>
            <w:vAlign w:val="bottom"/>
            <w:hideMark/>
          </w:tcPr>
          <w:p w14:paraId="3F32737D"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 </w:t>
            </w:r>
            <w:r>
              <w:rPr>
                <w:rFonts w:ascii="Calibri Light" w:eastAsia="Times New Roman" w:hAnsi="Calibri Light" w:cs="Calibri Light"/>
                <w:color w:val="000000"/>
                <w:sz w:val="18"/>
                <w:szCs w:val="18"/>
                <w:lang w:eastAsia="es-EC"/>
              </w:rPr>
              <w:t>-</w:t>
            </w:r>
          </w:p>
        </w:tc>
      </w:tr>
    </w:tbl>
    <w:p w14:paraId="4E36EBAF" w14:textId="77777777" w:rsidR="00C420E7" w:rsidRPr="001E01AE" w:rsidRDefault="00C420E7" w:rsidP="00C420E7">
      <w:pPr>
        <w:jc w:val="center"/>
        <w:rPr>
          <w:rFonts w:asciiTheme="majorHAnsi" w:hAnsiTheme="majorHAnsi" w:cstheme="majorHAnsi"/>
          <w:i/>
          <w:iCs/>
          <w:color w:val="44546A" w:themeColor="text2"/>
          <w:sz w:val="18"/>
          <w:szCs w:val="18"/>
        </w:rPr>
      </w:pPr>
      <w:r w:rsidRPr="001E01AE">
        <w:rPr>
          <w:rFonts w:asciiTheme="majorHAnsi" w:hAnsiTheme="majorHAnsi" w:cstheme="majorHAnsi"/>
          <w:color w:val="7F7F7F" w:themeColor="text1" w:themeTint="80"/>
          <w:sz w:val="18"/>
          <w:szCs w:val="18"/>
        </w:rPr>
        <w:t>*</w:t>
      </w:r>
      <w:r w:rsidRPr="001E01AE">
        <w:rPr>
          <w:rFonts w:asciiTheme="majorHAnsi" w:hAnsiTheme="majorHAnsi" w:cstheme="majorHAnsi"/>
          <w:i/>
          <w:iCs/>
          <w:color w:val="44546A" w:themeColor="text2"/>
          <w:sz w:val="18"/>
          <w:szCs w:val="18"/>
        </w:rPr>
        <w:t xml:space="preserve">Nota: el % meta anual corresponde al porcentaje cumplido hasta diciembre del 2023 y diciembre del 2024. </w:t>
      </w:r>
    </w:p>
    <w:p w14:paraId="2BFC6E5E" w14:textId="77777777" w:rsidR="00C420E7" w:rsidRPr="001E01AE" w:rsidRDefault="00C420E7" w:rsidP="00C420E7">
      <w:pPr>
        <w:jc w:val="center"/>
        <w:rPr>
          <w:rFonts w:asciiTheme="majorHAnsi" w:hAnsiTheme="majorHAnsi" w:cstheme="majorHAnsi"/>
          <w:i/>
          <w:iCs/>
          <w:color w:val="44546A" w:themeColor="text2"/>
          <w:sz w:val="18"/>
          <w:szCs w:val="18"/>
        </w:rPr>
      </w:pPr>
      <w:r w:rsidRPr="001E01AE">
        <w:rPr>
          <w:rFonts w:asciiTheme="majorHAnsi" w:hAnsiTheme="majorHAnsi" w:cstheme="majorHAnsi"/>
          <w:i/>
          <w:iCs/>
          <w:color w:val="44546A" w:themeColor="text2"/>
          <w:sz w:val="18"/>
          <w:szCs w:val="18"/>
        </w:rPr>
        <w:t>Fuente: CELEC EP, Boletín de Gestión Dic 2024</w:t>
      </w:r>
    </w:p>
    <w:p w14:paraId="0E22E52B" w14:textId="77777777" w:rsidR="00C420E7" w:rsidRPr="00A86D33" w:rsidRDefault="00C420E7" w:rsidP="00C420E7">
      <w:pPr>
        <w:jc w:val="center"/>
        <w:rPr>
          <w:rFonts w:asciiTheme="majorHAnsi" w:hAnsiTheme="majorHAnsi" w:cstheme="majorHAnsi"/>
          <w:color w:val="7F7F7F" w:themeColor="text1" w:themeTint="80"/>
          <w:sz w:val="20"/>
        </w:rPr>
      </w:pPr>
    </w:p>
    <w:p w14:paraId="6BBE4E01" w14:textId="77777777" w:rsidR="00C420E7" w:rsidRDefault="00C420E7" w:rsidP="00C420E7">
      <w:pPr>
        <w:jc w:val="both"/>
        <w:rPr>
          <w:rFonts w:ascii="Calibri Light" w:eastAsia="Calibri" w:hAnsi="Calibri Light" w:cs="Calibri Light"/>
          <w:color w:val="000000"/>
          <w:sz w:val="22"/>
          <w:szCs w:val="22"/>
        </w:rPr>
      </w:pPr>
      <w:r>
        <w:rPr>
          <w:rFonts w:ascii="Calibri Light" w:eastAsia="Calibri" w:hAnsi="Calibri Light" w:cs="Calibri Light"/>
          <w:color w:val="000000"/>
          <w:sz w:val="22"/>
          <w:szCs w:val="22"/>
        </w:rPr>
        <w:t xml:space="preserve">En el caso de la empresa de generación </w:t>
      </w:r>
      <w:r w:rsidRPr="007239CB">
        <w:rPr>
          <w:rFonts w:ascii="Calibri Light" w:eastAsia="Calibri" w:hAnsi="Calibri Light" w:cs="Calibri Light"/>
          <w:color w:val="000000"/>
          <w:sz w:val="22"/>
          <w:szCs w:val="22"/>
        </w:rPr>
        <w:t>ELECAUSTRO registró una facturación total de 39</w:t>
      </w:r>
      <w:r>
        <w:rPr>
          <w:rFonts w:ascii="Calibri Light" w:eastAsia="Calibri" w:hAnsi="Calibri Light" w:cs="Calibri Light"/>
          <w:color w:val="000000"/>
          <w:sz w:val="22"/>
          <w:szCs w:val="22"/>
        </w:rPr>
        <w:t>,</w:t>
      </w:r>
      <w:r w:rsidRPr="007239CB">
        <w:rPr>
          <w:rFonts w:ascii="Calibri Light" w:eastAsia="Calibri" w:hAnsi="Calibri Light" w:cs="Calibri Light"/>
          <w:color w:val="000000"/>
          <w:sz w:val="22"/>
          <w:szCs w:val="22"/>
        </w:rPr>
        <w:t xml:space="preserve">4 </w:t>
      </w:r>
      <w:r w:rsidRPr="00E4061F">
        <w:rPr>
          <w:rFonts w:ascii="Calibri Light" w:eastAsia="Calibri" w:hAnsi="Calibri Light" w:cs="Calibri Light"/>
          <w:color w:val="000000"/>
          <w:sz w:val="22"/>
          <w:szCs w:val="22"/>
        </w:rPr>
        <w:t>millones</w:t>
      </w:r>
      <w:r>
        <w:rPr>
          <w:rFonts w:ascii="Calibri Light" w:eastAsia="Calibri" w:hAnsi="Calibri Light" w:cs="Calibri Light"/>
          <w:color w:val="000000"/>
          <w:sz w:val="22"/>
          <w:szCs w:val="22"/>
        </w:rPr>
        <w:t xml:space="preserve"> de USD</w:t>
      </w:r>
      <w:r w:rsidRPr="007239CB">
        <w:rPr>
          <w:rFonts w:ascii="Calibri Light" w:eastAsia="Calibri" w:hAnsi="Calibri Light" w:cs="Calibri Light"/>
          <w:color w:val="000000"/>
          <w:sz w:val="22"/>
          <w:szCs w:val="22"/>
        </w:rPr>
        <w:t xml:space="preserve"> y una recaudación total de 37</w:t>
      </w:r>
      <w:r>
        <w:rPr>
          <w:rFonts w:ascii="Calibri Light" w:eastAsia="Calibri" w:hAnsi="Calibri Light" w:cs="Calibri Light"/>
          <w:color w:val="000000"/>
          <w:sz w:val="22"/>
          <w:szCs w:val="22"/>
        </w:rPr>
        <w:t>,</w:t>
      </w:r>
      <w:r w:rsidRPr="007239CB">
        <w:rPr>
          <w:rFonts w:ascii="Calibri Light" w:eastAsia="Calibri" w:hAnsi="Calibri Light" w:cs="Calibri Light"/>
          <w:color w:val="000000"/>
          <w:sz w:val="22"/>
          <w:szCs w:val="22"/>
        </w:rPr>
        <w:t xml:space="preserve">7 </w:t>
      </w:r>
      <w:r w:rsidRPr="00E4061F">
        <w:rPr>
          <w:rFonts w:ascii="Calibri Light" w:eastAsia="Calibri" w:hAnsi="Calibri Light" w:cs="Calibri Light"/>
          <w:color w:val="000000"/>
          <w:sz w:val="22"/>
          <w:szCs w:val="22"/>
        </w:rPr>
        <w:t>millones</w:t>
      </w:r>
      <w:r>
        <w:rPr>
          <w:rFonts w:ascii="Calibri Light" w:eastAsia="Calibri" w:hAnsi="Calibri Light" w:cs="Calibri Light"/>
          <w:color w:val="000000"/>
          <w:sz w:val="22"/>
          <w:szCs w:val="22"/>
        </w:rPr>
        <w:t xml:space="preserve"> de USD</w:t>
      </w:r>
      <w:r w:rsidRPr="007239CB">
        <w:rPr>
          <w:rFonts w:ascii="Calibri Light" w:eastAsia="Calibri" w:hAnsi="Calibri Light" w:cs="Calibri Light"/>
          <w:color w:val="000000"/>
          <w:sz w:val="22"/>
          <w:szCs w:val="22"/>
        </w:rPr>
        <w:t xml:space="preserve"> por la compra-venta de energía en 2024,</w:t>
      </w:r>
      <w:r>
        <w:rPr>
          <w:rFonts w:ascii="Calibri Light" w:eastAsia="Calibri" w:hAnsi="Calibri Light" w:cs="Calibri Light"/>
          <w:color w:val="000000"/>
          <w:sz w:val="22"/>
          <w:szCs w:val="22"/>
        </w:rPr>
        <w:t xml:space="preserve"> el seguimiento mensual se lo puede visualizar en la siguiente figura:</w:t>
      </w:r>
    </w:p>
    <w:p w14:paraId="7EC35CB8" w14:textId="77777777" w:rsidR="00C420E7" w:rsidRDefault="00C420E7" w:rsidP="00C420E7">
      <w:pPr>
        <w:jc w:val="both"/>
      </w:pPr>
    </w:p>
    <w:p w14:paraId="27C8EF76" w14:textId="3ADC1CF3" w:rsidR="00C420E7" w:rsidRPr="00C760F6" w:rsidRDefault="00C420E7" w:rsidP="00C420E7">
      <w:pPr>
        <w:pStyle w:val="Descripcin"/>
        <w:rPr>
          <w:rFonts w:asciiTheme="majorHAnsi" w:hAnsiTheme="majorHAnsi" w:cstheme="majorHAnsi"/>
        </w:rPr>
      </w:pPr>
      <w:bookmarkStart w:id="331" w:name="_Toc198110406"/>
      <w:bookmarkStart w:id="332" w:name="_Toc199757569"/>
      <w:r w:rsidRPr="00C760F6">
        <w:rPr>
          <w:rFonts w:asciiTheme="majorHAnsi" w:hAnsiTheme="majorHAnsi" w:cstheme="majorHAnsi"/>
        </w:rPr>
        <w:t xml:space="preserve">Figura </w:t>
      </w:r>
      <w:r w:rsidR="002026B0" w:rsidRPr="00C760F6">
        <w:rPr>
          <w:rFonts w:asciiTheme="majorHAnsi" w:hAnsiTheme="majorHAnsi" w:cstheme="majorHAnsi"/>
        </w:rPr>
        <w:fldChar w:fldCharType="begin"/>
      </w:r>
      <w:r w:rsidR="002026B0" w:rsidRPr="00C760F6">
        <w:rPr>
          <w:rFonts w:asciiTheme="majorHAnsi" w:hAnsiTheme="majorHAnsi" w:cstheme="majorHAnsi"/>
        </w:rPr>
        <w:instrText xml:space="preserve"> SEQ Figura \* ARABIC </w:instrText>
      </w:r>
      <w:r w:rsidR="002026B0" w:rsidRPr="00C760F6">
        <w:rPr>
          <w:rFonts w:asciiTheme="majorHAnsi" w:hAnsiTheme="majorHAnsi" w:cstheme="majorHAnsi"/>
        </w:rPr>
        <w:fldChar w:fldCharType="separate"/>
      </w:r>
      <w:r w:rsidR="00C751F5">
        <w:rPr>
          <w:rFonts w:asciiTheme="majorHAnsi" w:hAnsiTheme="majorHAnsi" w:cstheme="majorHAnsi"/>
          <w:noProof/>
        </w:rPr>
        <w:t>26</w:t>
      </w:r>
      <w:r w:rsidR="002026B0" w:rsidRPr="00C760F6">
        <w:rPr>
          <w:rFonts w:asciiTheme="majorHAnsi" w:hAnsiTheme="majorHAnsi" w:cstheme="majorHAnsi"/>
        </w:rPr>
        <w:fldChar w:fldCharType="end"/>
      </w:r>
      <w:r w:rsidR="00190089">
        <w:rPr>
          <w:rFonts w:asciiTheme="majorHAnsi" w:hAnsiTheme="majorHAnsi" w:cstheme="majorHAnsi"/>
        </w:rPr>
        <w:t xml:space="preserve">: </w:t>
      </w:r>
      <w:r w:rsidRPr="00C760F6">
        <w:rPr>
          <w:rFonts w:asciiTheme="majorHAnsi" w:hAnsiTheme="majorHAnsi" w:cstheme="majorHAnsi"/>
        </w:rPr>
        <w:t>Facturación y recaudación ELECAUSTRO enero – diciembre 2024</w:t>
      </w:r>
      <w:bookmarkEnd w:id="331"/>
      <w:bookmarkEnd w:id="332"/>
    </w:p>
    <w:p w14:paraId="62975C01" w14:textId="77777777" w:rsidR="00C420E7" w:rsidRPr="00C760F6" w:rsidRDefault="00C420E7" w:rsidP="00C420E7">
      <w:pPr>
        <w:jc w:val="center"/>
        <w:rPr>
          <w:rFonts w:asciiTheme="majorHAnsi" w:hAnsiTheme="majorHAnsi" w:cstheme="majorHAnsi"/>
        </w:rPr>
      </w:pPr>
      <w:r w:rsidRPr="00C760F6">
        <w:rPr>
          <w:rFonts w:asciiTheme="majorHAnsi" w:hAnsiTheme="majorHAnsi" w:cstheme="majorHAnsi"/>
          <w:noProof/>
        </w:rPr>
        <w:drawing>
          <wp:inline distT="0" distB="0" distL="0" distR="0" wp14:anchorId="255EC03D" wp14:editId="5A631649">
            <wp:extent cx="4444679" cy="1851949"/>
            <wp:effectExtent l="0" t="0" r="13335" b="15240"/>
            <wp:docPr id="1421088710" name="Gráfico 1421088710">
              <a:extLst xmlns:a="http://schemas.openxmlformats.org/drawingml/2006/main">
                <a:ext uri="{FF2B5EF4-FFF2-40B4-BE49-F238E27FC236}">
                  <a16:creationId xmlns:a16="http://schemas.microsoft.com/office/drawing/2014/main" id="{7887F126-5716-4727-BDA6-DE36F5898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3B17FE8" w14:textId="77777777" w:rsidR="00C420E7" w:rsidRPr="00C760F6" w:rsidRDefault="00C420E7" w:rsidP="00C420E7">
      <w:pPr>
        <w:jc w:val="center"/>
        <w:rPr>
          <w:rFonts w:asciiTheme="majorHAnsi" w:hAnsiTheme="majorHAnsi" w:cstheme="majorHAnsi"/>
          <w:i/>
          <w:iCs/>
          <w:color w:val="44546A" w:themeColor="text2"/>
          <w:sz w:val="18"/>
          <w:szCs w:val="18"/>
        </w:rPr>
      </w:pPr>
      <w:r w:rsidRPr="00C760F6">
        <w:rPr>
          <w:rFonts w:asciiTheme="majorHAnsi" w:hAnsiTheme="majorHAnsi" w:cstheme="majorHAnsi"/>
          <w:i/>
          <w:iCs/>
          <w:color w:val="44546A" w:themeColor="text2"/>
          <w:sz w:val="18"/>
          <w:szCs w:val="18"/>
        </w:rPr>
        <w:t>Fuente: Reporte mensual ELECASUTRO 2024</w:t>
      </w:r>
    </w:p>
    <w:p w14:paraId="2B84D68D" w14:textId="77777777" w:rsidR="00C420E7" w:rsidRDefault="00C420E7" w:rsidP="00C420E7"/>
    <w:p w14:paraId="0EBABDE6" w14:textId="20D4314F" w:rsidR="00192E54" w:rsidRDefault="00C420E7" w:rsidP="00C420E7">
      <w:pPr>
        <w:jc w:val="both"/>
        <w:rPr>
          <w:rFonts w:ascii="Calibri Light" w:eastAsia="Calibri" w:hAnsi="Calibri Light" w:cs="Calibri Light"/>
          <w:color w:val="000000"/>
          <w:sz w:val="22"/>
          <w:szCs w:val="22"/>
        </w:rPr>
      </w:pPr>
      <w:r>
        <w:rPr>
          <w:rFonts w:ascii="Calibri Light" w:eastAsia="Calibri" w:hAnsi="Calibri Light" w:cs="Calibri Light"/>
          <w:color w:val="000000"/>
          <w:sz w:val="22"/>
          <w:szCs w:val="22"/>
        </w:rPr>
        <w:t>Como se puede observar en el gráfico que antecede,</w:t>
      </w:r>
      <w:r w:rsidRPr="007239CB">
        <w:rPr>
          <w:rFonts w:ascii="Calibri Light" w:eastAsia="Calibri" w:hAnsi="Calibri Light" w:cs="Calibri Light"/>
          <w:color w:val="000000"/>
          <w:sz w:val="22"/>
          <w:szCs w:val="22"/>
        </w:rPr>
        <w:t xml:space="preserve"> </w:t>
      </w:r>
      <w:r>
        <w:rPr>
          <w:rFonts w:ascii="Calibri Light" w:eastAsia="Calibri" w:hAnsi="Calibri Light" w:cs="Calibri Light"/>
          <w:color w:val="000000"/>
          <w:sz w:val="22"/>
          <w:szCs w:val="22"/>
        </w:rPr>
        <w:t xml:space="preserve">la </w:t>
      </w:r>
      <w:r w:rsidRPr="007239CB">
        <w:rPr>
          <w:rFonts w:ascii="Calibri Light" w:eastAsia="Calibri" w:hAnsi="Calibri Light" w:cs="Calibri Light"/>
          <w:color w:val="000000"/>
          <w:sz w:val="22"/>
          <w:szCs w:val="22"/>
        </w:rPr>
        <w:t xml:space="preserve">facturación de ELECAUSTRO </w:t>
      </w:r>
      <w:r>
        <w:rPr>
          <w:rFonts w:ascii="Calibri Light" w:eastAsia="Calibri" w:hAnsi="Calibri Light" w:cs="Calibri Light"/>
          <w:color w:val="000000"/>
          <w:sz w:val="22"/>
          <w:szCs w:val="22"/>
        </w:rPr>
        <w:t xml:space="preserve">en el mes de </w:t>
      </w:r>
      <w:r w:rsidRPr="007239CB">
        <w:rPr>
          <w:rFonts w:ascii="Calibri Light" w:eastAsia="Calibri" w:hAnsi="Calibri Light" w:cs="Calibri Light"/>
          <w:color w:val="000000"/>
          <w:sz w:val="22"/>
          <w:szCs w:val="22"/>
        </w:rPr>
        <w:t>julio</w:t>
      </w:r>
      <w:r>
        <w:rPr>
          <w:rFonts w:ascii="Calibri Light" w:eastAsia="Calibri" w:hAnsi="Calibri Light" w:cs="Calibri Light"/>
          <w:color w:val="000000"/>
          <w:sz w:val="22"/>
          <w:szCs w:val="22"/>
        </w:rPr>
        <w:t xml:space="preserve"> ascendió a 4,96 </w:t>
      </w:r>
      <w:r w:rsidRPr="00E4061F">
        <w:rPr>
          <w:rFonts w:ascii="Calibri Light" w:eastAsia="Calibri" w:hAnsi="Calibri Light" w:cs="Calibri Light"/>
          <w:color w:val="000000"/>
          <w:sz w:val="22"/>
          <w:szCs w:val="22"/>
        </w:rPr>
        <w:t>millones</w:t>
      </w:r>
      <w:r>
        <w:rPr>
          <w:rFonts w:ascii="Calibri Light" w:eastAsia="Calibri" w:hAnsi="Calibri Light" w:cs="Calibri Light"/>
          <w:color w:val="000000"/>
          <w:sz w:val="22"/>
          <w:szCs w:val="22"/>
        </w:rPr>
        <w:t xml:space="preserve"> de USD, </w:t>
      </w:r>
      <w:r w:rsidRPr="007239CB">
        <w:rPr>
          <w:rFonts w:ascii="Calibri Light" w:eastAsia="Calibri" w:hAnsi="Calibri Light" w:cs="Calibri Light"/>
          <w:color w:val="000000"/>
          <w:sz w:val="22"/>
          <w:szCs w:val="22"/>
        </w:rPr>
        <w:t xml:space="preserve">mientras que su recaudación tuvo un repunte en </w:t>
      </w:r>
      <w:r>
        <w:rPr>
          <w:rFonts w:ascii="Calibri Light" w:eastAsia="Calibri" w:hAnsi="Calibri Light" w:cs="Calibri Light"/>
          <w:color w:val="000000"/>
          <w:sz w:val="22"/>
          <w:szCs w:val="22"/>
        </w:rPr>
        <w:t xml:space="preserve">el mes de </w:t>
      </w:r>
      <w:r w:rsidRPr="007239CB">
        <w:rPr>
          <w:rFonts w:ascii="Calibri Light" w:eastAsia="Calibri" w:hAnsi="Calibri Light" w:cs="Calibri Light"/>
          <w:color w:val="000000"/>
          <w:sz w:val="22"/>
          <w:szCs w:val="22"/>
        </w:rPr>
        <w:t>mayo</w:t>
      </w:r>
      <w:r>
        <w:rPr>
          <w:rFonts w:ascii="Calibri Light" w:eastAsia="Calibri" w:hAnsi="Calibri Light" w:cs="Calibri Light"/>
          <w:color w:val="000000"/>
          <w:sz w:val="22"/>
          <w:szCs w:val="22"/>
        </w:rPr>
        <w:t xml:space="preserve"> llegando a 5,36 </w:t>
      </w:r>
      <w:r w:rsidRPr="00E4061F">
        <w:rPr>
          <w:rFonts w:ascii="Calibri Light" w:eastAsia="Calibri" w:hAnsi="Calibri Light" w:cs="Calibri Light"/>
          <w:color w:val="000000"/>
          <w:sz w:val="22"/>
          <w:szCs w:val="22"/>
        </w:rPr>
        <w:t>millones</w:t>
      </w:r>
      <w:r>
        <w:rPr>
          <w:rFonts w:ascii="Calibri Light" w:eastAsia="Calibri" w:hAnsi="Calibri Light" w:cs="Calibri Light"/>
          <w:color w:val="000000"/>
          <w:sz w:val="22"/>
          <w:szCs w:val="22"/>
        </w:rPr>
        <w:t xml:space="preserve"> de USD recaudados</w:t>
      </w:r>
      <w:r w:rsidRPr="007239CB">
        <w:rPr>
          <w:rFonts w:ascii="Calibri Light" w:eastAsia="Calibri" w:hAnsi="Calibri Light" w:cs="Calibri Light"/>
          <w:color w:val="000000"/>
          <w:sz w:val="22"/>
          <w:szCs w:val="22"/>
        </w:rPr>
        <w:t>, influenciada por cobros de años anteriores. A pesar de una disminución significativa en la recaudación en agosto debido al estiaje nacional, el indicador general de facturación/recaudación de ELECAUSTRO mejoró en comparación con el año anterior</w:t>
      </w:r>
      <w:r>
        <w:rPr>
          <w:rFonts w:ascii="Calibri Light" w:eastAsia="Calibri" w:hAnsi="Calibri Light" w:cs="Calibri Light"/>
          <w:color w:val="000000"/>
          <w:sz w:val="22"/>
          <w:szCs w:val="22"/>
        </w:rPr>
        <w:t>, como se puede observar en la siguiente tabla:</w:t>
      </w:r>
    </w:p>
    <w:p w14:paraId="676F5DF1" w14:textId="77777777" w:rsidR="00C420E7" w:rsidRPr="00FD5910" w:rsidRDefault="00C420E7" w:rsidP="00C420E7"/>
    <w:p w14:paraId="3673D333" w14:textId="2750D323" w:rsidR="00C420E7" w:rsidRPr="00C760F6" w:rsidRDefault="00C420E7" w:rsidP="00C420E7">
      <w:pPr>
        <w:pStyle w:val="Descripcin"/>
        <w:rPr>
          <w:rFonts w:asciiTheme="majorHAnsi" w:hAnsiTheme="majorHAnsi" w:cstheme="majorHAnsi"/>
        </w:rPr>
      </w:pPr>
      <w:bookmarkStart w:id="333" w:name="_Toc198110376"/>
      <w:bookmarkStart w:id="334" w:name="_Toc199759700"/>
      <w:r w:rsidRPr="00C760F6">
        <w:rPr>
          <w:rFonts w:asciiTheme="majorHAnsi" w:hAnsiTheme="majorHAnsi" w:cstheme="majorHAnsi"/>
        </w:rPr>
        <w:t xml:space="preserve">Tabla </w:t>
      </w:r>
      <w:r w:rsidR="003A269C" w:rsidRPr="00C760F6">
        <w:rPr>
          <w:rFonts w:asciiTheme="majorHAnsi" w:hAnsiTheme="majorHAnsi" w:cstheme="majorHAnsi"/>
        </w:rPr>
        <w:fldChar w:fldCharType="begin"/>
      </w:r>
      <w:r w:rsidR="003A269C" w:rsidRPr="00C760F6">
        <w:rPr>
          <w:rFonts w:asciiTheme="majorHAnsi" w:hAnsiTheme="majorHAnsi" w:cstheme="majorHAnsi"/>
        </w:rPr>
        <w:instrText xml:space="preserve"> SEQ Tabla \* ARABIC </w:instrText>
      </w:r>
      <w:r w:rsidR="003A269C" w:rsidRPr="00C760F6">
        <w:rPr>
          <w:rFonts w:asciiTheme="majorHAnsi" w:hAnsiTheme="majorHAnsi" w:cstheme="majorHAnsi"/>
        </w:rPr>
        <w:fldChar w:fldCharType="separate"/>
      </w:r>
      <w:r w:rsidR="00CF0AD2">
        <w:rPr>
          <w:rFonts w:asciiTheme="majorHAnsi" w:hAnsiTheme="majorHAnsi" w:cstheme="majorHAnsi"/>
          <w:noProof/>
        </w:rPr>
        <w:t>30</w:t>
      </w:r>
      <w:r w:rsidR="003A269C" w:rsidRPr="00C760F6">
        <w:rPr>
          <w:rFonts w:asciiTheme="majorHAnsi" w:hAnsiTheme="majorHAnsi" w:cstheme="majorHAnsi"/>
          <w:noProof/>
        </w:rPr>
        <w:fldChar w:fldCharType="end"/>
      </w:r>
      <w:r w:rsidR="00192E54">
        <w:rPr>
          <w:rFonts w:asciiTheme="majorHAnsi" w:hAnsiTheme="majorHAnsi" w:cstheme="majorHAnsi"/>
        </w:rPr>
        <w:t>:</w:t>
      </w:r>
      <w:r w:rsidRPr="00C760F6">
        <w:rPr>
          <w:rFonts w:asciiTheme="majorHAnsi" w:hAnsiTheme="majorHAnsi" w:cstheme="majorHAnsi"/>
        </w:rPr>
        <w:t xml:space="preserve"> Indicador comercial de ELECAUSTRO 2023 vs 2024</w:t>
      </w:r>
      <w:bookmarkEnd w:id="333"/>
      <w:bookmarkEnd w:id="334"/>
    </w:p>
    <w:tbl>
      <w:tblPr>
        <w:tblW w:w="6068" w:type="dxa"/>
        <w:jc w:val="center"/>
        <w:tblCellMar>
          <w:left w:w="70" w:type="dxa"/>
          <w:right w:w="70" w:type="dxa"/>
        </w:tblCellMar>
        <w:tblLook w:val="04A0" w:firstRow="1" w:lastRow="0" w:firstColumn="1" w:lastColumn="0" w:noHBand="0" w:noVBand="1"/>
      </w:tblPr>
      <w:tblGrid>
        <w:gridCol w:w="2124"/>
        <w:gridCol w:w="1972"/>
        <w:gridCol w:w="1972"/>
      </w:tblGrid>
      <w:tr w:rsidR="00C420E7" w:rsidRPr="00451824" w14:paraId="456FC5F5" w14:textId="77777777" w:rsidTr="000A4588">
        <w:trPr>
          <w:trHeight w:val="186"/>
          <w:jc w:val="center"/>
        </w:trPr>
        <w:tc>
          <w:tcPr>
            <w:tcW w:w="2124" w:type="dxa"/>
            <w:tcBorders>
              <w:top w:val="nil"/>
              <w:left w:val="nil"/>
              <w:bottom w:val="nil"/>
              <w:right w:val="nil"/>
            </w:tcBorders>
            <w:shd w:val="clear" w:color="auto" w:fill="5B9BD5" w:themeFill="accent5"/>
            <w:noWrap/>
            <w:vAlign w:val="bottom"/>
            <w:hideMark/>
          </w:tcPr>
          <w:p w14:paraId="147A0D8B" w14:textId="77777777" w:rsidR="00C420E7" w:rsidRPr="00451824" w:rsidRDefault="00C420E7" w:rsidP="000A4588">
            <w:pPr>
              <w:jc w:val="center"/>
              <w:rPr>
                <w:rFonts w:ascii="Calibri Light" w:eastAsia="Times New Roman" w:hAnsi="Calibri Light" w:cs="Calibri Light"/>
                <w:b/>
                <w:bCs/>
                <w:color w:val="FFFFFF"/>
                <w:sz w:val="18"/>
                <w:szCs w:val="18"/>
                <w:lang w:eastAsia="es-EC"/>
              </w:rPr>
            </w:pPr>
            <w:r w:rsidRPr="00451824">
              <w:rPr>
                <w:rFonts w:ascii="Calibri Light" w:eastAsia="Times New Roman" w:hAnsi="Calibri Light" w:cs="Calibri Light"/>
                <w:b/>
                <w:bCs/>
                <w:color w:val="FFFFFF"/>
                <w:sz w:val="18"/>
                <w:szCs w:val="18"/>
                <w:lang w:eastAsia="es-EC"/>
              </w:rPr>
              <w:t>Indicador</w:t>
            </w:r>
          </w:p>
        </w:tc>
        <w:tc>
          <w:tcPr>
            <w:tcW w:w="1972" w:type="dxa"/>
            <w:tcBorders>
              <w:top w:val="nil"/>
              <w:left w:val="nil"/>
              <w:bottom w:val="nil"/>
              <w:right w:val="nil"/>
            </w:tcBorders>
            <w:shd w:val="clear" w:color="auto" w:fill="5B9BD5" w:themeFill="accent5"/>
            <w:noWrap/>
            <w:vAlign w:val="bottom"/>
            <w:hideMark/>
          </w:tcPr>
          <w:p w14:paraId="296641F3" w14:textId="77777777" w:rsidR="00C420E7" w:rsidRPr="00451824" w:rsidRDefault="00C420E7" w:rsidP="000A4588">
            <w:pPr>
              <w:jc w:val="center"/>
              <w:rPr>
                <w:rFonts w:ascii="Calibri Light" w:eastAsia="Times New Roman" w:hAnsi="Calibri Light" w:cs="Calibri Light"/>
                <w:b/>
                <w:bCs/>
                <w:color w:val="FFFFFF"/>
                <w:sz w:val="18"/>
                <w:szCs w:val="18"/>
                <w:lang w:eastAsia="es-EC"/>
              </w:rPr>
            </w:pPr>
            <w:r w:rsidRPr="00451824">
              <w:rPr>
                <w:rFonts w:ascii="Calibri Light" w:eastAsia="Times New Roman" w:hAnsi="Calibri Light" w:cs="Calibri Light"/>
                <w:b/>
                <w:bCs/>
                <w:color w:val="FFFFFF"/>
                <w:sz w:val="18"/>
                <w:szCs w:val="18"/>
                <w:lang w:eastAsia="es-EC"/>
              </w:rPr>
              <w:t>2023</w:t>
            </w:r>
          </w:p>
        </w:tc>
        <w:tc>
          <w:tcPr>
            <w:tcW w:w="1972" w:type="dxa"/>
            <w:tcBorders>
              <w:top w:val="nil"/>
              <w:left w:val="nil"/>
              <w:bottom w:val="nil"/>
              <w:right w:val="nil"/>
            </w:tcBorders>
            <w:shd w:val="clear" w:color="auto" w:fill="5B9BD5" w:themeFill="accent5"/>
            <w:noWrap/>
            <w:vAlign w:val="bottom"/>
            <w:hideMark/>
          </w:tcPr>
          <w:p w14:paraId="52FCC072" w14:textId="77777777" w:rsidR="00C420E7" w:rsidRPr="00451824" w:rsidRDefault="00C420E7" w:rsidP="000A4588">
            <w:pPr>
              <w:jc w:val="center"/>
              <w:rPr>
                <w:rFonts w:ascii="Calibri Light" w:eastAsia="Times New Roman" w:hAnsi="Calibri Light" w:cs="Calibri Light"/>
                <w:b/>
                <w:bCs/>
                <w:color w:val="FFFFFF"/>
                <w:sz w:val="18"/>
                <w:szCs w:val="18"/>
                <w:lang w:eastAsia="es-EC"/>
              </w:rPr>
            </w:pPr>
            <w:r w:rsidRPr="00451824">
              <w:rPr>
                <w:rFonts w:ascii="Calibri Light" w:eastAsia="Times New Roman" w:hAnsi="Calibri Light" w:cs="Calibri Light"/>
                <w:b/>
                <w:bCs/>
                <w:color w:val="FFFFFF"/>
                <w:sz w:val="18"/>
                <w:szCs w:val="18"/>
                <w:lang w:eastAsia="es-EC"/>
              </w:rPr>
              <w:t>2024</w:t>
            </w:r>
          </w:p>
        </w:tc>
      </w:tr>
      <w:tr w:rsidR="00C420E7" w:rsidRPr="00451824" w14:paraId="39047292" w14:textId="77777777" w:rsidTr="000A4588">
        <w:trPr>
          <w:trHeight w:val="280"/>
          <w:jc w:val="center"/>
        </w:trPr>
        <w:tc>
          <w:tcPr>
            <w:tcW w:w="2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A1B19"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 xml:space="preserve">Facturación </w:t>
            </w:r>
            <w:r>
              <w:rPr>
                <w:rFonts w:ascii="Calibri Light" w:eastAsia="Times New Roman" w:hAnsi="Calibri Light" w:cs="Calibri Light"/>
                <w:color w:val="000000"/>
                <w:sz w:val="18"/>
                <w:szCs w:val="18"/>
                <w:lang w:eastAsia="es-EC"/>
              </w:rPr>
              <w:t>(USD)</w:t>
            </w:r>
          </w:p>
        </w:tc>
        <w:tc>
          <w:tcPr>
            <w:tcW w:w="1972" w:type="dxa"/>
            <w:tcBorders>
              <w:top w:val="single" w:sz="4" w:space="0" w:color="auto"/>
              <w:left w:val="nil"/>
              <w:bottom w:val="single" w:sz="4" w:space="0" w:color="auto"/>
              <w:right w:val="single" w:sz="4" w:space="0" w:color="auto"/>
            </w:tcBorders>
            <w:shd w:val="clear" w:color="auto" w:fill="auto"/>
            <w:noWrap/>
            <w:vAlign w:val="center"/>
            <w:hideMark/>
          </w:tcPr>
          <w:p w14:paraId="5ABE78C7"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 xml:space="preserve">           38.026.464,62 </w:t>
            </w:r>
          </w:p>
        </w:tc>
        <w:tc>
          <w:tcPr>
            <w:tcW w:w="1972" w:type="dxa"/>
            <w:tcBorders>
              <w:top w:val="single" w:sz="4" w:space="0" w:color="auto"/>
              <w:left w:val="nil"/>
              <w:bottom w:val="single" w:sz="4" w:space="0" w:color="auto"/>
              <w:right w:val="single" w:sz="4" w:space="0" w:color="auto"/>
            </w:tcBorders>
            <w:shd w:val="clear" w:color="auto" w:fill="auto"/>
            <w:noWrap/>
            <w:vAlign w:val="center"/>
            <w:hideMark/>
          </w:tcPr>
          <w:p w14:paraId="582C5D4F"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 xml:space="preserve">           39.433.611,13 </w:t>
            </w:r>
          </w:p>
        </w:tc>
      </w:tr>
      <w:tr w:rsidR="00C420E7" w:rsidRPr="00451824" w14:paraId="77B3D10B" w14:textId="77777777" w:rsidTr="000A4588">
        <w:trPr>
          <w:trHeight w:val="287"/>
          <w:jc w:val="center"/>
        </w:trPr>
        <w:tc>
          <w:tcPr>
            <w:tcW w:w="2124" w:type="dxa"/>
            <w:tcBorders>
              <w:top w:val="nil"/>
              <w:left w:val="single" w:sz="4" w:space="0" w:color="auto"/>
              <w:bottom w:val="single" w:sz="4" w:space="0" w:color="auto"/>
              <w:right w:val="single" w:sz="4" w:space="0" w:color="auto"/>
            </w:tcBorders>
            <w:shd w:val="clear" w:color="auto" w:fill="auto"/>
            <w:noWrap/>
            <w:vAlign w:val="center"/>
            <w:hideMark/>
          </w:tcPr>
          <w:p w14:paraId="7AAC20D4"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Recaudación</w:t>
            </w:r>
            <w:r>
              <w:rPr>
                <w:rFonts w:ascii="Calibri Light" w:eastAsia="Times New Roman" w:hAnsi="Calibri Light" w:cs="Calibri Light"/>
                <w:color w:val="000000"/>
                <w:sz w:val="18"/>
                <w:szCs w:val="18"/>
                <w:lang w:eastAsia="es-EC"/>
              </w:rPr>
              <w:t xml:space="preserve"> (USD)</w:t>
            </w:r>
          </w:p>
        </w:tc>
        <w:tc>
          <w:tcPr>
            <w:tcW w:w="1972" w:type="dxa"/>
            <w:tcBorders>
              <w:top w:val="nil"/>
              <w:left w:val="nil"/>
              <w:bottom w:val="single" w:sz="4" w:space="0" w:color="auto"/>
              <w:right w:val="single" w:sz="4" w:space="0" w:color="auto"/>
            </w:tcBorders>
            <w:shd w:val="clear" w:color="auto" w:fill="auto"/>
            <w:noWrap/>
            <w:vAlign w:val="center"/>
            <w:hideMark/>
          </w:tcPr>
          <w:p w14:paraId="38746465"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 xml:space="preserve">           35.137.032,48 </w:t>
            </w:r>
          </w:p>
        </w:tc>
        <w:tc>
          <w:tcPr>
            <w:tcW w:w="1972" w:type="dxa"/>
            <w:tcBorders>
              <w:top w:val="nil"/>
              <w:left w:val="nil"/>
              <w:bottom w:val="single" w:sz="4" w:space="0" w:color="auto"/>
              <w:right w:val="single" w:sz="4" w:space="0" w:color="auto"/>
            </w:tcBorders>
            <w:shd w:val="clear" w:color="auto" w:fill="auto"/>
            <w:noWrap/>
            <w:vAlign w:val="center"/>
            <w:hideMark/>
          </w:tcPr>
          <w:p w14:paraId="643C4870"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 xml:space="preserve">           37.734.072,11 </w:t>
            </w:r>
          </w:p>
        </w:tc>
      </w:tr>
      <w:tr w:rsidR="00C420E7" w:rsidRPr="00451824" w14:paraId="1BE892E9" w14:textId="77777777" w:rsidTr="000A4588">
        <w:trPr>
          <w:trHeight w:val="186"/>
          <w:jc w:val="center"/>
        </w:trPr>
        <w:tc>
          <w:tcPr>
            <w:tcW w:w="2124" w:type="dxa"/>
            <w:tcBorders>
              <w:top w:val="nil"/>
              <w:left w:val="single" w:sz="4" w:space="0" w:color="auto"/>
              <w:bottom w:val="single" w:sz="4" w:space="0" w:color="auto"/>
              <w:right w:val="single" w:sz="4" w:space="0" w:color="auto"/>
            </w:tcBorders>
            <w:shd w:val="clear" w:color="auto" w:fill="auto"/>
            <w:noWrap/>
            <w:vAlign w:val="center"/>
            <w:hideMark/>
          </w:tcPr>
          <w:p w14:paraId="48678377" w14:textId="77777777" w:rsidR="00C420E7" w:rsidRPr="00451824" w:rsidRDefault="00C420E7" w:rsidP="000A4588">
            <w:pPr>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 de recaudación</w:t>
            </w:r>
          </w:p>
        </w:tc>
        <w:tc>
          <w:tcPr>
            <w:tcW w:w="1972" w:type="dxa"/>
            <w:tcBorders>
              <w:top w:val="nil"/>
              <w:left w:val="nil"/>
              <w:bottom w:val="single" w:sz="4" w:space="0" w:color="auto"/>
              <w:right w:val="single" w:sz="4" w:space="0" w:color="auto"/>
            </w:tcBorders>
            <w:shd w:val="clear" w:color="auto" w:fill="auto"/>
            <w:noWrap/>
            <w:vAlign w:val="center"/>
            <w:hideMark/>
          </w:tcPr>
          <w:p w14:paraId="462B386F"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92%</w:t>
            </w:r>
          </w:p>
        </w:tc>
        <w:tc>
          <w:tcPr>
            <w:tcW w:w="1972" w:type="dxa"/>
            <w:tcBorders>
              <w:top w:val="nil"/>
              <w:left w:val="nil"/>
              <w:bottom w:val="single" w:sz="4" w:space="0" w:color="auto"/>
              <w:right w:val="single" w:sz="4" w:space="0" w:color="auto"/>
            </w:tcBorders>
            <w:shd w:val="clear" w:color="auto" w:fill="auto"/>
            <w:noWrap/>
            <w:vAlign w:val="center"/>
            <w:hideMark/>
          </w:tcPr>
          <w:p w14:paraId="0320C9C1" w14:textId="77777777" w:rsidR="00C420E7" w:rsidRPr="00451824" w:rsidRDefault="00C420E7" w:rsidP="000A4588">
            <w:pPr>
              <w:jc w:val="right"/>
              <w:rPr>
                <w:rFonts w:ascii="Calibri Light" w:eastAsia="Times New Roman" w:hAnsi="Calibri Light" w:cs="Calibri Light"/>
                <w:color w:val="000000"/>
                <w:sz w:val="18"/>
                <w:szCs w:val="18"/>
                <w:lang w:eastAsia="es-EC"/>
              </w:rPr>
            </w:pPr>
            <w:r w:rsidRPr="00451824">
              <w:rPr>
                <w:rFonts w:ascii="Calibri Light" w:eastAsia="Times New Roman" w:hAnsi="Calibri Light" w:cs="Calibri Light"/>
                <w:color w:val="000000"/>
                <w:sz w:val="18"/>
                <w:szCs w:val="18"/>
                <w:lang w:eastAsia="es-EC"/>
              </w:rPr>
              <w:t>96%</w:t>
            </w:r>
          </w:p>
        </w:tc>
      </w:tr>
    </w:tbl>
    <w:p w14:paraId="4458A50D" w14:textId="77777777" w:rsidR="00C420E7" w:rsidRPr="00C760F6" w:rsidRDefault="00C420E7" w:rsidP="00C420E7">
      <w:pPr>
        <w:pStyle w:val="Descripcin"/>
        <w:rPr>
          <w:rFonts w:asciiTheme="majorHAnsi" w:hAnsiTheme="majorHAnsi" w:cstheme="majorHAnsi"/>
        </w:rPr>
      </w:pPr>
      <w:r w:rsidRPr="00C760F6">
        <w:rPr>
          <w:rFonts w:asciiTheme="majorHAnsi" w:hAnsiTheme="majorHAnsi" w:cstheme="majorHAnsi"/>
        </w:rPr>
        <w:t>Fuente: Seguimiento facturación recaudación ELECAUSTRO 2024</w:t>
      </w:r>
    </w:p>
    <w:p w14:paraId="17C0BB3E" w14:textId="77777777" w:rsidR="00C420E7" w:rsidRDefault="00C420E7" w:rsidP="00C420E7">
      <w:pPr>
        <w:jc w:val="both"/>
        <w:rPr>
          <w:rFonts w:asciiTheme="majorHAnsi" w:eastAsiaTheme="majorEastAsia" w:hAnsiTheme="majorHAnsi" w:cstheme="majorBidi"/>
          <w:color w:val="2F5496" w:themeColor="accent1" w:themeShade="BF"/>
        </w:rPr>
      </w:pPr>
    </w:p>
    <w:p w14:paraId="57DBF2FE" w14:textId="77777777" w:rsidR="00C420E7" w:rsidRDefault="00C420E7" w:rsidP="00C420E7">
      <w:pPr>
        <w:jc w:val="both"/>
        <w:rPr>
          <w:rFonts w:asciiTheme="majorHAnsi" w:hAnsiTheme="majorHAnsi" w:cstheme="majorHAnsi"/>
          <w:b/>
          <w:sz w:val="22"/>
        </w:rPr>
      </w:pPr>
      <w:r w:rsidRPr="009D6BD2">
        <w:rPr>
          <w:rFonts w:asciiTheme="majorHAnsi" w:hAnsiTheme="majorHAnsi" w:cstheme="majorHAnsi"/>
          <w:b/>
          <w:sz w:val="22"/>
        </w:rPr>
        <w:t>Seguimiento y evaluación a la gestión financiera</w:t>
      </w:r>
      <w:r>
        <w:rPr>
          <w:rFonts w:asciiTheme="majorHAnsi" w:hAnsiTheme="majorHAnsi" w:cstheme="majorHAnsi"/>
          <w:b/>
          <w:sz w:val="22"/>
        </w:rPr>
        <w:t xml:space="preserve"> - </w:t>
      </w:r>
      <w:r w:rsidRPr="009D6BD2">
        <w:rPr>
          <w:rFonts w:asciiTheme="majorHAnsi" w:hAnsiTheme="majorHAnsi" w:cstheme="majorHAnsi"/>
          <w:b/>
          <w:sz w:val="22"/>
        </w:rPr>
        <w:t>ejecución de recursos control de mantenimientos de las empresas públicas de generación de energía eléctrica</w:t>
      </w:r>
    </w:p>
    <w:p w14:paraId="2C05E054" w14:textId="77777777" w:rsidR="00C420E7" w:rsidRDefault="00C420E7" w:rsidP="00C420E7">
      <w:pPr>
        <w:jc w:val="both"/>
        <w:rPr>
          <w:rFonts w:asciiTheme="majorHAnsi" w:hAnsiTheme="majorHAnsi" w:cstheme="majorHAnsi"/>
          <w:b/>
          <w:sz w:val="22"/>
        </w:rPr>
      </w:pPr>
    </w:p>
    <w:p w14:paraId="787BB920" w14:textId="77777777" w:rsidR="00C420E7" w:rsidRPr="00082803" w:rsidRDefault="00C420E7" w:rsidP="00C420E7">
      <w:pPr>
        <w:jc w:val="both"/>
        <w:rPr>
          <w:rFonts w:ascii="Calibri Light" w:eastAsia="Calibri" w:hAnsi="Calibri Light" w:cs="Calibri Light"/>
          <w:color w:val="000000"/>
          <w:sz w:val="22"/>
          <w:szCs w:val="22"/>
        </w:rPr>
      </w:pPr>
      <w:r w:rsidRPr="00082803">
        <w:rPr>
          <w:rFonts w:ascii="Calibri Light" w:eastAsia="Calibri" w:hAnsi="Calibri Light" w:cs="Calibri Light"/>
          <w:color w:val="000000"/>
          <w:sz w:val="22"/>
          <w:szCs w:val="22"/>
        </w:rPr>
        <w:t>Con Resolución Nro. ARCONEL-005/2024 de 04 de septiembre de 2024 se aprobó la reforma de los costos del Servicio Público de Energía Eléctrica (SPEE) y del Servicio de Alumbrado Público General (SAPG) para el período enero - diciembre 2024 en la cual, la ARCONEL aprobó para las empresas eléctricas públicas de generación el monto de 705,91</w:t>
      </w:r>
      <w:r>
        <w:rPr>
          <w:rFonts w:ascii="Calibri Light" w:eastAsia="Calibri" w:hAnsi="Calibri Light" w:cs="Calibri Light"/>
          <w:color w:val="000000"/>
          <w:sz w:val="22"/>
          <w:szCs w:val="22"/>
        </w:rPr>
        <w:t xml:space="preserve"> </w:t>
      </w:r>
      <w:r w:rsidRPr="00E4061F">
        <w:rPr>
          <w:rFonts w:ascii="Calibri Light" w:eastAsia="Calibri" w:hAnsi="Calibri Light" w:cs="Calibri Light"/>
          <w:color w:val="000000"/>
          <w:sz w:val="22"/>
          <w:szCs w:val="22"/>
        </w:rPr>
        <w:t>millones</w:t>
      </w:r>
      <w:r>
        <w:rPr>
          <w:rFonts w:ascii="Calibri Light" w:eastAsia="Calibri" w:hAnsi="Calibri Light" w:cs="Calibri Light"/>
          <w:color w:val="000000"/>
          <w:sz w:val="22"/>
          <w:szCs w:val="22"/>
        </w:rPr>
        <w:t xml:space="preserve"> de USD</w:t>
      </w:r>
      <w:r w:rsidRPr="00082803">
        <w:rPr>
          <w:rFonts w:ascii="Calibri Light" w:eastAsia="Calibri" w:hAnsi="Calibri Light" w:cs="Calibri Light"/>
          <w:color w:val="000000"/>
          <w:sz w:val="22"/>
          <w:szCs w:val="22"/>
        </w:rPr>
        <w:t>.</w:t>
      </w:r>
    </w:p>
    <w:p w14:paraId="3D79ECD2" w14:textId="77777777" w:rsidR="00C420E7" w:rsidRPr="00082803" w:rsidRDefault="00C420E7" w:rsidP="00C420E7">
      <w:pPr>
        <w:jc w:val="both"/>
        <w:rPr>
          <w:rFonts w:ascii="Calibri Light" w:eastAsia="Calibri" w:hAnsi="Calibri Light" w:cs="Calibri Light"/>
          <w:color w:val="000000"/>
          <w:sz w:val="22"/>
          <w:szCs w:val="22"/>
        </w:rPr>
      </w:pPr>
    </w:p>
    <w:p w14:paraId="097F1939" w14:textId="77777777" w:rsidR="00C420E7" w:rsidRDefault="00C420E7" w:rsidP="00C420E7">
      <w:pPr>
        <w:jc w:val="both"/>
        <w:rPr>
          <w:rFonts w:ascii="Calibri Light" w:eastAsia="Calibri" w:hAnsi="Calibri Light" w:cs="Calibri Light"/>
          <w:color w:val="000000"/>
          <w:sz w:val="22"/>
          <w:szCs w:val="22"/>
        </w:rPr>
      </w:pPr>
      <w:r w:rsidRPr="00082803">
        <w:rPr>
          <w:rFonts w:ascii="Calibri Light" w:eastAsia="Calibri" w:hAnsi="Calibri Light" w:cs="Calibri Light"/>
          <w:color w:val="000000"/>
          <w:sz w:val="22"/>
          <w:szCs w:val="22"/>
        </w:rPr>
        <w:t xml:space="preserve">Con base en la información contenida en el informe </w:t>
      </w:r>
      <w:proofErr w:type="spellStart"/>
      <w:r w:rsidRPr="00082803">
        <w:rPr>
          <w:rFonts w:ascii="Calibri Light" w:eastAsia="Calibri" w:hAnsi="Calibri Light" w:cs="Calibri Light"/>
          <w:color w:val="000000"/>
          <w:sz w:val="22"/>
          <w:szCs w:val="22"/>
        </w:rPr>
        <w:t>N°</w:t>
      </w:r>
      <w:proofErr w:type="spellEnd"/>
      <w:r w:rsidRPr="00082803">
        <w:rPr>
          <w:rFonts w:ascii="Calibri Light" w:eastAsia="Calibri" w:hAnsi="Calibri Light" w:cs="Calibri Light"/>
          <w:color w:val="000000"/>
          <w:sz w:val="22"/>
          <w:szCs w:val="22"/>
        </w:rPr>
        <w:t xml:space="preserve">. INF.DTCGT.2025.049 y la reforma al “Análisis y Determinación del Costo del Servicio Público de Energía Eléctrica (SPEE). Período: </w:t>
      </w:r>
      <w:r>
        <w:rPr>
          <w:rFonts w:ascii="Calibri Light" w:eastAsia="Calibri" w:hAnsi="Calibri Light" w:cs="Calibri Light"/>
          <w:color w:val="000000"/>
          <w:sz w:val="22"/>
          <w:szCs w:val="22"/>
        </w:rPr>
        <w:t>e</w:t>
      </w:r>
      <w:r w:rsidRPr="00082803">
        <w:rPr>
          <w:rFonts w:ascii="Calibri Light" w:eastAsia="Calibri" w:hAnsi="Calibri Light" w:cs="Calibri Light"/>
          <w:color w:val="000000"/>
          <w:sz w:val="22"/>
          <w:szCs w:val="22"/>
        </w:rPr>
        <w:t xml:space="preserve">nero - </w:t>
      </w:r>
      <w:r>
        <w:rPr>
          <w:rFonts w:ascii="Calibri Light" w:eastAsia="Calibri" w:hAnsi="Calibri Light" w:cs="Calibri Light"/>
          <w:color w:val="000000"/>
          <w:sz w:val="22"/>
          <w:szCs w:val="22"/>
        </w:rPr>
        <w:t>d</w:t>
      </w:r>
      <w:r w:rsidRPr="00082803">
        <w:rPr>
          <w:rFonts w:ascii="Calibri Light" w:eastAsia="Calibri" w:hAnsi="Calibri Light" w:cs="Calibri Light"/>
          <w:color w:val="000000"/>
          <w:sz w:val="22"/>
          <w:szCs w:val="22"/>
        </w:rPr>
        <w:t xml:space="preserve">iciembre 2024”, se presenta los montos aprobados por la ARCONEL para las 13 unidades </w:t>
      </w:r>
      <w:r w:rsidRPr="00082803">
        <w:rPr>
          <w:rFonts w:ascii="Calibri Light" w:eastAsia="Calibri" w:hAnsi="Calibri Light" w:cs="Calibri Light"/>
          <w:color w:val="000000"/>
          <w:sz w:val="22"/>
          <w:szCs w:val="22"/>
        </w:rPr>
        <w:lastRenderedPageBreak/>
        <w:t xml:space="preserve">de negocio de la CELEC EP, así como los montos aprobados a las empresas eléctricas catalogadas como Generadoras - No escindidas para el año 2024; valores que permitieron determinar el avance de ejecución financiera de los recursos calificados a las empresas públicas de generación durante el período enero – diciembre 2024. Como se puede observar en </w:t>
      </w:r>
      <w:r>
        <w:rPr>
          <w:rFonts w:ascii="Calibri Light" w:eastAsia="Calibri" w:hAnsi="Calibri Light" w:cs="Calibri Light"/>
          <w:color w:val="000000"/>
          <w:sz w:val="22"/>
          <w:szCs w:val="22"/>
        </w:rPr>
        <w:t>la siguiente figura</w:t>
      </w:r>
      <w:r w:rsidRPr="00082803">
        <w:rPr>
          <w:rFonts w:ascii="Calibri Light" w:eastAsia="Calibri" w:hAnsi="Calibri Light" w:cs="Calibri Light"/>
          <w:color w:val="000000"/>
          <w:sz w:val="22"/>
          <w:szCs w:val="22"/>
        </w:rPr>
        <w:t>:</w:t>
      </w:r>
    </w:p>
    <w:p w14:paraId="6BF74684" w14:textId="77777777" w:rsidR="00C420E7" w:rsidRDefault="00C420E7" w:rsidP="00C420E7">
      <w:pPr>
        <w:jc w:val="both"/>
        <w:rPr>
          <w:rFonts w:ascii="Calibri Light" w:eastAsia="Calibri" w:hAnsi="Calibri Light" w:cs="Calibri Light"/>
          <w:color w:val="000000"/>
          <w:sz w:val="22"/>
          <w:szCs w:val="22"/>
        </w:rPr>
      </w:pPr>
    </w:p>
    <w:p w14:paraId="0859399B" w14:textId="1CED7E2E" w:rsidR="00C420E7" w:rsidRPr="00C760F6" w:rsidRDefault="00C420E7" w:rsidP="00C420E7">
      <w:pPr>
        <w:pStyle w:val="Descripcin"/>
        <w:rPr>
          <w:rFonts w:asciiTheme="majorHAnsi" w:hAnsiTheme="majorHAnsi" w:cstheme="majorHAnsi"/>
        </w:rPr>
      </w:pPr>
      <w:bookmarkStart w:id="335" w:name="_Toc198110407"/>
      <w:bookmarkStart w:id="336" w:name="_Toc199757570"/>
      <w:r w:rsidRPr="00C760F6">
        <w:rPr>
          <w:rFonts w:asciiTheme="majorHAnsi" w:hAnsiTheme="majorHAnsi" w:cstheme="majorHAnsi"/>
        </w:rPr>
        <w:t xml:space="preserve">Figura </w:t>
      </w:r>
      <w:r w:rsidR="002026B0" w:rsidRPr="00C760F6">
        <w:rPr>
          <w:rFonts w:asciiTheme="majorHAnsi" w:hAnsiTheme="majorHAnsi" w:cstheme="majorHAnsi"/>
        </w:rPr>
        <w:fldChar w:fldCharType="begin"/>
      </w:r>
      <w:r w:rsidR="002026B0" w:rsidRPr="00C760F6">
        <w:rPr>
          <w:rFonts w:asciiTheme="majorHAnsi" w:hAnsiTheme="majorHAnsi" w:cstheme="majorHAnsi"/>
        </w:rPr>
        <w:instrText xml:space="preserve"> SEQ Figura \* ARABIC </w:instrText>
      </w:r>
      <w:r w:rsidR="002026B0" w:rsidRPr="00C760F6">
        <w:rPr>
          <w:rFonts w:asciiTheme="majorHAnsi" w:hAnsiTheme="majorHAnsi" w:cstheme="majorHAnsi"/>
        </w:rPr>
        <w:fldChar w:fldCharType="separate"/>
      </w:r>
      <w:r w:rsidR="00EC08B4">
        <w:rPr>
          <w:rFonts w:asciiTheme="majorHAnsi" w:hAnsiTheme="majorHAnsi" w:cstheme="majorHAnsi"/>
          <w:noProof/>
        </w:rPr>
        <w:t>27</w:t>
      </w:r>
      <w:r w:rsidR="002026B0" w:rsidRPr="00C760F6">
        <w:rPr>
          <w:rFonts w:asciiTheme="majorHAnsi" w:hAnsiTheme="majorHAnsi" w:cstheme="majorHAnsi"/>
        </w:rPr>
        <w:fldChar w:fldCharType="end"/>
      </w:r>
      <w:r w:rsidR="00190089">
        <w:rPr>
          <w:rFonts w:asciiTheme="majorHAnsi" w:hAnsiTheme="majorHAnsi" w:cstheme="majorHAnsi"/>
        </w:rPr>
        <w:t xml:space="preserve">: </w:t>
      </w:r>
      <w:r w:rsidRPr="00C760F6">
        <w:rPr>
          <w:rFonts w:asciiTheme="majorHAnsi" w:hAnsiTheme="majorHAnsi" w:cstheme="majorHAnsi"/>
        </w:rPr>
        <w:t>Total aprobado vs ejecutado empresas de generación pública</w:t>
      </w:r>
      <w:bookmarkEnd w:id="335"/>
      <w:bookmarkEnd w:id="336"/>
    </w:p>
    <w:p w14:paraId="6203A854" w14:textId="77777777" w:rsidR="00C420E7" w:rsidRDefault="00C420E7" w:rsidP="00C420E7">
      <w:pPr>
        <w:keepNext/>
        <w:jc w:val="center"/>
      </w:pPr>
      <w:r>
        <w:rPr>
          <w:noProof/>
        </w:rPr>
        <w:drawing>
          <wp:inline distT="0" distB="0" distL="0" distR="0" wp14:anchorId="40086180" wp14:editId="06522864">
            <wp:extent cx="4032874" cy="1834086"/>
            <wp:effectExtent l="0" t="0" r="6350" b="13970"/>
            <wp:docPr id="1421088711" name="Gráfico 1421088711">
              <a:extLst xmlns:a="http://schemas.openxmlformats.org/drawingml/2006/main">
                <a:ext uri="{FF2B5EF4-FFF2-40B4-BE49-F238E27FC236}">
                  <a16:creationId xmlns:a16="http://schemas.microsoft.com/office/drawing/2014/main" id="{B8E7F147-F096-4893-845D-C596559D9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15D811F" w14:textId="77777777" w:rsidR="00C420E7" w:rsidRPr="00C760F6" w:rsidRDefault="00C420E7" w:rsidP="00C420E7">
      <w:pPr>
        <w:pStyle w:val="Descripcin"/>
        <w:rPr>
          <w:rFonts w:asciiTheme="majorHAnsi" w:eastAsia="Calibri" w:hAnsiTheme="majorHAnsi" w:cstheme="majorHAnsi"/>
          <w:color w:val="000000"/>
        </w:rPr>
      </w:pPr>
      <w:r w:rsidRPr="00C760F6">
        <w:rPr>
          <w:rFonts w:asciiTheme="majorHAnsi" w:hAnsiTheme="majorHAnsi" w:cstheme="majorHAnsi"/>
        </w:rPr>
        <w:t xml:space="preserve">Fuente: ARCONEL informe </w:t>
      </w:r>
      <w:proofErr w:type="spellStart"/>
      <w:r w:rsidRPr="00C760F6">
        <w:rPr>
          <w:rFonts w:asciiTheme="majorHAnsi" w:hAnsiTheme="majorHAnsi" w:cstheme="majorHAnsi"/>
        </w:rPr>
        <w:t>N°</w:t>
      </w:r>
      <w:proofErr w:type="spellEnd"/>
      <w:r w:rsidRPr="00C760F6">
        <w:rPr>
          <w:rFonts w:asciiTheme="majorHAnsi" w:hAnsiTheme="majorHAnsi" w:cstheme="majorHAnsi"/>
        </w:rPr>
        <w:t>. INF.DTCGT.2025.</w:t>
      </w:r>
      <w:proofErr w:type="gramStart"/>
      <w:r w:rsidRPr="00C760F6">
        <w:rPr>
          <w:rFonts w:asciiTheme="majorHAnsi" w:hAnsiTheme="majorHAnsi" w:cstheme="majorHAnsi"/>
        </w:rPr>
        <w:t>049  2024</w:t>
      </w:r>
      <w:proofErr w:type="gramEnd"/>
    </w:p>
    <w:p w14:paraId="3B2F5D9A" w14:textId="77777777" w:rsidR="00C420E7" w:rsidRPr="00563161" w:rsidRDefault="00C420E7" w:rsidP="00C420E7">
      <w:pPr>
        <w:jc w:val="both"/>
        <w:rPr>
          <w:rFonts w:ascii="Calibri Light" w:eastAsia="Calibri" w:hAnsi="Calibri Light" w:cs="Calibri Light"/>
          <w:color w:val="000000"/>
          <w:sz w:val="22"/>
          <w:szCs w:val="22"/>
        </w:rPr>
      </w:pPr>
    </w:p>
    <w:p w14:paraId="2326A088" w14:textId="77777777" w:rsidR="00C420E7" w:rsidRDefault="00C420E7" w:rsidP="00C420E7">
      <w:pPr>
        <w:autoSpaceDE w:val="0"/>
        <w:autoSpaceDN w:val="0"/>
        <w:adjustRightInd w:val="0"/>
        <w:jc w:val="both"/>
        <w:rPr>
          <w:rFonts w:ascii="Calibri Light" w:eastAsia="Calibri" w:hAnsi="Calibri Light" w:cs="Calibri Light"/>
          <w:color w:val="000000"/>
          <w:sz w:val="22"/>
          <w:szCs w:val="22"/>
        </w:rPr>
      </w:pPr>
      <w:r w:rsidRPr="00433C0B">
        <w:rPr>
          <w:rFonts w:ascii="Calibri Light" w:eastAsia="Calibri" w:hAnsi="Calibri Light" w:cs="Calibri Light"/>
          <w:color w:val="000000"/>
          <w:sz w:val="22"/>
          <w:szCs w:val="22"/>
        </w:rPr>
        <w:t xml:space="preserve">En la consolidación de la información enviada por las empresas eléctricas públicas de </w:t>
      </w:r>
      <w:r>
        <w:rPr>
          <w:rFonts w:ascii="Calibri Light" w:eastAsia="Calibri" w:hAnsi="Calibri Light" w:cs="Calibri Light"/>
          <w:color w:val="000000"/>
          <w:sz w:val="22"/>
          <w:szCs w:val="22"/>
        </w:rPr>
        <w:t>g</w:t>
      </w:r>
      <w:r w:rsidRPr="00433C0B">
        <w:rPr>
          <w:rFonts w:ascii="Calibri Light" w:eastAsia="Calibri" w:hAnsi="Calibri Light" w:cs="Calibri Light"/>
          <w:color w:val="000000"/>
          <w:sz w:val="22"/>
          <w:szCs w:val="22"/>
        </w:rPr>
        <w:t>eneración de los recursos económicos destinados para “AO&amp;M”, se presentó una ejecución de 423</w:t>
      </w:r>
      <w:r>
        <w:rPr>
          <w:rFonts w:ascii="Calibri Light" w:eastAsia="Calibri" w:hAnsi="Calibri Light" w:cs="Calibri Light"/>
          <w:color w:val="000000"/>
          <w:sz w:val="22"/>
          <w:szCs w:val="22"/>
        </w:rPr>
        <w:t>,</w:t>
      </w:r>
      <w:r w:rsidRPr="00433C0B">
        <w:rPr>
          <w:rFonts w:ascii="Calibri Light" w:eastAsia="Calibri" w:hAnsi="Calibri Light" w:cs="Calibri Light"/>
          <w:color w:val="000000"/>
          <w:sz w:val="22"/>
          <w:szCs w:val="22"/>
        </w:rPr>
        <w:t>76</w:t>
      </w:r>
      <w:r>
        <w:rPr>
          <w:rFonts w:ascii="Calibri Light" w:eastAsia="Calibri" w:hAnsi="Calibri Light" w:cs="Calibri Light"/>
          <w:color w:val="000000"/>
          <w:sz w:val="22"/>
          <w:szCs w:val="22"/>
        </w:rPr>
        <w:t xml:space="preserve"> </w:t>
      </w:r>
      <w:r w:rsidRPr="00E4061F">
        <w:rPr>
          <w:rFonts w:ascii="Calibri Light" w:eastAsia="Calibri" w:hAnsi="Calibri Light" w:cs="Calibri Light"/>
          <w:color w:val="000000"/>
          <w:sz w:val="22"/>
          <w:szCs w:val="22"/>
        </w:rPr>
        <w:t>millones</w:t>
      </w:r>
      <w:r>
        <w:rPr>
          <w:rFonts w:ascii="Calibri Light" w:eastAsia="Calibri" w:hAnsi="Calibri Light" w:cs="Calibri Light"/>
          <w:color w:val="000000"/>
          <w:sz w:val="22"/>
          <w:szCs w:val="22"/>
        </w:rPr>
        <w:t xml:space="preserve"> de USD</w:t>
      </w:r>
      <w:r w:rsidRPr="00433C0B">
        <w:rPr>
          <w:rFonts w:ascii="Calibri Light" w:eastAsia="Calibri" w:hAnsi="Calibri Light" w:cs="Calibri Light"/>
          <w:color w:val="000000"/>
          <w:sz w:val="22"/>
          <w:szCs w:val="22"/>
        </w:rPr>
        <w:t>, misma que corresponde al 81,70% del monto total aprobado (518</w:t>
      </w:r>
      <w:r>
        <w:rPr>
          <w:rFonts w:ascii="Calibri Light" w:eastAsia="Calibri" w:hAnsi="Calibri Light" w:cs="Calibri Light"/>
          <w:color w:val="000000"/>
          <w:sz w:val="22"/>
          <w:szCs w:val="22"/>
        </w:rPr>
        <w:t>,</w:t>
      </w:r>
      <w:r w:rsidRPr="00433C0B">
        <w:rPr>
          <w:rFonts w:ascii="Calibri Light" w:eastAsia="Calibri" w:hAnsi="Calibri Light" w:cs="Calibri Light"/>
          <w:color w:val="000000"/>
          <w:sz w:val="22"/>
          <w:szCs w:val="22"/>
        </w:rPr>
        <w:t>64</w:t>
      </w:r>
      <w:r>
        <w:rPr>
          <w:rFonts w:ascii="Calibri Light" w:eastAsia="Calibri" w:hAnsi="Calibri Light" w:cs="Calibri Light"/>
          <w:color w:val="000000"/>
          <w:sz w:val="22"/>
          <w:szCs w:val="22"/>
        </w:rPr>
        <w:t xml:space="preserve"> </w:t>
      </w:r>
      <w:r w:rsidRPr="00E4061F">
        <w:rPr>
          <w:rFonts w:ascii="Calibri Light" w:eastAsia="Calibri" w:hAnsi="Calibri Light" w:cs="Calibri Light"/>
          <w:color w:val="000000"/>
          <w:sz w:val="22"/>
          <w:szCs w:val="22"/>
        </w:rPr>
        <w:t>millones</w:t>
      </w:r>
      <w:r>
        <w:rPr>
          <w:rFonts w:ascii="Calibri Light" w:eastAsia="Calibri" w:hAnsi="Calibri Light" w:cs="Calibri Light"/>
          <w:color w:val="000000"/>
          <w:sz w:val="22"/>
          <w:szCs w:val="22"/>
        </w:rPr>
        <w:t xml:space="preserve"> de USD</w:t>
      </w:r>
      <w:r w:rsidRPr="00433C0B">
        <w:rPr>
          <w:rFonts w:ascii="Calibri Light" w:eastAsia="Calibri" w:hAnsi="Calibri Light" w:cs="Calibri Light"/>
          <w:color w:val="000000"/>
          <w:sz w:val="22"/>
          <w:szCs w:val="22"/>
        </w:rPr>
        <w:t xml:space="preserve">) por la ARCONEL para el año 2024: </w:t>
      </w:r>
    </w:p>
    <w:p w14:paraId="1BE9551B" w14:textId="77777777" w:rsidR="00C420E7" w:rsidRPr="00433C0B" w:rsidRDefault="00C420E7" w:rsidP="00C420E7">
      <w:pPr>
        <w:autoSpaceDE w:val="0"/>
        <w:autoSpaceDN w:val="0"/>
        <w:adjustRightInd w:val="0"/>
        <w:jc w:val="both"/>
        <w:rPr>
          <w:rFonts w:ascii="Calibri Light" w:eastAsia="Calibri" w:hAnsi="Calibri Light" w:cs="Calibri Light"/>
          <w:color w:val="000000"/>
          <w:sz w:val="22"/>
          <w:szCs w:val="22"/>
        </w:rPr>
      </w:pPr>
    </w:p>
    <w:p w14:paraId="61729C29" w14:textId="77777777" w:rsidR="00C420E7" w:rsidRPr="00563161" w:rsidRDefault="00C420E7" w:rsidP="00C420E7">
      <w:pPr>
        <w:pStyle w:val="Prrafodelista"/>
        <w:numPr>
          <w:ilvl w:val="0"/>
          <w:numId w:val="196"/>
        </w:numPr>
        <w:autoSpaceDE w:val="0"/>
        <w:autoSpaceDN w:val="0"/>
        <w:adjustRightInd w:val="0"/>
        <w:spacing w:after="59"/>
        <w:jc w:val="both"/>
        <w:rPr>
          <w:rFonts w:ascii="Calibri Light" w:eastAsia="Calibri" w:hAnsi="Calibri Light" w:cs="Calibri Light"/>
          <w:color w:val="000000"/>
          <w:sz w:val="22"/>
          <w:szCs w:val="22"/>
        </w:rPr>
      </w:pPr>
      <w:r w:rsidRPr="00563161">
        <w:rPr>
          <w:rFonts w:ascii="Calibri Light" w:eastAsia="Calibri" w:hAnsi="Calibri Light" w:cs="Calibri Light"/>
          <w:color w:val="000000"/>
          <w:sz w:val="22"/>
          <w:szCs w:val="22"/>
        </w:rPr>
        <w:t>La CELEC EP, presentó la ejecución de 386</w:t>
      </w:r>
      <w:r>
        <w:rPr>
          <w:rFonts w:ascii="Calibri Light" w:eastAsia="Calibri" w:hAnsi="Calibri Light" w:cs="Calibri Light"/>
          <w:color w:val="000000"/>
          <w:sz w:val="22"/>
          <w:szCs w:val="22"/>
        </w:rPr>
        <w:t>,</w:t>
      </w:r>
      <w:r w:rsidRPr="00563161">
        <w:rPr>
          <w:rFonts w:ascii="Calibri Light" w:eastAsia="Calibri" w:hAnsi="Calibri Light" w:cs="Calibri Light"/>
          <w:color w:val="000000"/>
          <w:sz w:val="22"/>
          <w:szCs w:val="22"/>
        </w:rPr>
        <w:t>99</w:t>
      </w:r>
      <w:r>
        <w:rPr>
          <w:rFonts w:ascii="Calibri Light" w:eastAsia="Calibri" w:hAnsi="Calibri Light" w:cs="Calibri Light"/>
          <w:color w:val="000000"/>
          <w:sz w:val="22"/>
          <w:szCs w:val="22"/>
        </w:rPr>
        <w:t xml:space="preserve"> </w:t>
      </w:r>
      <w:r w:rsidRPr="00E4061F">
        <w:rPr>
          <w:rFonts w:ascii="Calibri Light" w:eastAsia="Calibri" w:hAnsi="Calibri Light" w:cs="Calibri Light"/>
          <w:color w:val="000000"/>
          <w:sz w:val="22"/>
          <w:szCs w:val="22"/>
        </w:rPr>
        <w:t>millones</w:t>
      </w:r>
      <w:r>
        <w:rPr>
          <w:rFonts w:ascii="Calibri Light" w:eastAsia="Calibri" w:hAnsi="Calibri Light" w:cs="Calibri Light"/>
          <w:color w:val="000000"/>
          <w:sz w:val="22"/>
          <w:szCs w:val="22"/>
        </w:rPr>
        <w:t xml:space="preserve"> de USD</w:t>
      </w:r>
      <w:r w:rsidRPr="00563161">
        <w:rPr>
          <w:rFonts w:ascii="Calibri Light" w:eastAsia="Calibri" w:hAnsi="Calibri Light" w:cs="Calibri Light"/>
          <w:color w:val="000000"/>
          <w:sz w:val="22"/>
          <w:szCs w:val="22"/>
        </w:rPr>
        <w:t xml:space="preserve"> y corresponde a un avance del 80,30%; y, </w:t>
      </w:r>
    </w:p>
    <w:p w14:paraId="04DDC94F" w14:textId="77777777" w:rsidR="00C420E7" w:rsidRPr="00563161" w:rsidRDefault="00C420E7" w:rsidP="00C420E7">
      <w:pPr>
        <w:pStyle w:val="Prrafodelista"/>
        <w:numPr>
          <w:ilvl w:val="0"/>
          <w:numId w:val="196"/>
        </w:numPr>
        <w:autoSpaceDE w:val="0"/>
        <w:autoSpaceDN w:val="0"/>
        <w:adjustRightInd w:val="0"/>
        <w:jc w:val="both"/>
        <w:rPr>
          <w:rFonts w:ascii="Calibri Light" w:eastAsia="Calibri" w:hAnsi="Calibri Light" w:cs="Calibri Light"/>
          <w:color w:val="000000"/>
          <w:sz w:val="22"/>
          <w:szCs w:val="22"/>
        </w:rPr>
      </w:pPr>
      <w:r w:rsidRPr="00563161">
        <w:rPr>
          <w:rFonts w:ascii="Calibri Light" w:eastAsia="Calibri" w:hAnsi="Calibri Light" w:cs="Calibri Light"/>
          <w:color w:val="000000"/>
          <w:sz w:val="22"/>
          <w:szCs w:val="22"/>
        </w:rPr>
        <w:t>Las Generadoras - No escindidas, presentaron la ejecución de</w:t>
      </w:r>
      <w:r>
        <w:rPr>
          <w:rFonts w:ascii="Calibri Light" w:eastAsia="Calibri" w:hAnsi="Calibri Light" w:cs="Calibri Light"/>
          <w:color w:val="000000"/>
          <w:sz w:val="22"/>
          <w:szCs w:val="22"/>
        </w:rPr>
        <w:t xml:space="preserve"> </w:t>
      </w:r>
      <w:r w:rsidRPr="00563161">
        <w:rPr>
          <w:rFonts w:ascii="Calibri Light" w:eastAsia="Calibri" w:hAnsi="Calibri Light" w:cs="Calibri Light"/>
          <w:color w:val="000000"/>
          <w:sz w:val="22"/>
          <w:szCs w:val="22"/>
        </w:rPr>
        <w:t>36</w:t>
      </w:r>
      <w:r>
        <w:rPr>
          <w:rFonts w:ascii="Calibri Light" w:eastAsia="Calibri" w:hAnsi="Calibri Light" w:cs="Calibri Light"/>
          <w:color w:val="000000"/>
          <w:sz w:val="22"/>
          <w:szCs w:val="22"/>
        </w:rPr>
        <w:t>,</w:t>
      </w:r>
      <w:r w:rsidRPr="00563161">
        <w:rPr>
          <w:rFonts w:ascii="Calibri Light" w:eastAsia="Calibri" w:hAnsi="Calibri Light" w:cs="Calibri Light"/>
          <w:color w:val="000000"/>
          <w:sz w:val="22"/>
          <w:szCs w:val="22"/>
        </w:rPr>
        <w:t>77</w:t>
      </w:r>
      <w:r>
        <w:rPr>
          <w:rFonts w:ascii="Calibri Light" w:eastAsia="Calibri" w:hAnsi="Calibri Light" w:cs="Calibri Light"/>
          <w:color w:val="000000"/>
          <w:sz w:val="22"/>
          <w:szCs w:val="22"/>
        </w:rPr>
        <w:t xml:space="preserve"> </w:t>
      </w:r>
      <w:r w:rsidRPr="00E4061F">
        <w:rPr>
          <w:rFonts w:ascii="Calibri Light" w:eastAsia="Calibri" w:hAnsi="Calibri Light" w:cs="Calibri Light"/>
          <w:color w:val="000000"/>
          <w:sz w:val="22"/>
          <w:szCs w:val="22"/>
        </w:rPr>
        <w:t>millones</w:t>
      </w:r>
      <w:r>
        <w:rPr>
          <w:rFonts w:ascii="Calibri Light" w:eastAsia="Calibri" w:hAnsi="Calibri Light" w:cs="Calibri Light"/>
          <w:color w:val="000000"/>
          <w:sz w:val="22"/>
          <w:szCs w:val="22"/>
        </w:rPr>
        <w:t xml:space="preserve"> de USD</w:t>
      </w:r>
      <w:r w:rsidRPr="00563161">
        <w:rPr>
          <w:rFonts w:ascii="Calibri Light" w:eastAsia="Calibri" w:hAnsi="Calibri Light" w:cs="Calibri Light"/>
          <w:color w:val="000000"/>
          <w:sz w:val="22"/>
          <w:szCs w:val="22"/>
        </w:rPr>
        <w:t xml:space="preserve">, con un avance del 100,11%. </w:t>
      </w:r>
    </w:p>
    <w:p w14:paraId="4B808B34" w14:textId="77777777" w:rsidR="00C420E7" w:rsidRDefault="00C420E7" w:rsidP="00C420E7">
      <w:pPr>
        <w:jc w:val="both"/>
        <w:rPr>
          <w:rFonts w:ascii="Calibri Light" w:eastAsia="Calibri" w:hAnsi="Calibri Light" w:cs="Calibri Light"/>
          <w:color w:val="000000"/>
          <w:sz w:val="22"/>
          <w:szCs w:val="22"/>
        </w:rPr>
      </w:pPr>
    </w:p>
    <w:p w14:paraId="1D6929E0" w14:textId="77777777" w:rsidR="00C420E7" w:rsidRPr="00563161" w:rsidRDefault="00C420E7" w:rsidP="00C420E7">
      <w:pPr>
        <w:jc w:val="both"/>
        <w:rPr>
          <w:rFonts w:ascii="Calibri Light" w:eastAsia="Calibri" w:hAnsi="Calibri Light" w:cs="Calibri Light"/>
          <w:color w:val="000000"/>
          <w:sz w:val="22"/>
          <w:szCs w:val="22"/>
        </w:rPr>
      </w:pPr>
      <w:r w:rsidRPr="00563161">
        <w:rPr>
          <w:rFonts w:ascii="Calibri Light" w:eastAsia="Calibri" w:hAnsi="Calibri Light" w:cs="Calibri Light"/>
          <w:color w:val="000000"/>
          <w:sz w:val="22"/>
          <w:szCs w:val="22"/>
        </w:rPr>
        <w:t>Por concepto de “Mantenimientos mayores”, el cual se incluyen los mantenimientos menores y son componentes del rubro AO&amp;M, las empresas eléctricas públicas de generación reportaron la ejecución de 79</w:t>
      </w:r>
      <w:r>
        <w:rPr>
          <w:rFonts w:ascii="Calibri Light" w:eastAsia="Calibri" w:hAnsi="Calibri Light" w:cs="Calibri Light"/>
          <w:color w:val="000000"/>
          <w:sz w:val="22"/>
          <w:szCs w:val="22"/>
        </w:rPr>
        <w:t>,</w:t>
      </w:r>
      <w:r w:rsidRPr="00563161">
        <w:rPr>
          <w:rFonts w:ascii="Calibri Light" w:eastAsia="Calibri" w:hAnsi="Calibri Light" w:cs="Calibri Light"/>
          <w:color w:val="000000"/>
          <w:sz w:val="22"/>
          <w:szCs w:val="22"/>
        </w:rPr>
        <w:t>12</w:t>
      </w:r>
      <w:r>
        <w:rPr>
          <w:rFonts w:ascii="Calibri Light" w:eastAsia="Calibri" w:hAnsi="Calibri Light" w:cs="Calibri Light"/>
          <w:color w:val="000000"/>
          <w:sz w:val="22"/>
          <w:szCs w:val="22"/>
        </w:rPr>
        <w:t xml:space="preserve"> </w:t>
      </w:r>
      <w:r w:rsidRPr="00E4061F">
        <w:rPr>
          <w:rFonts w:ascii="Calibri Light" w:eastAsia="Calibri" w:hAnsi="Calibri Light" w:cs="Calibri Light"/>
          <w:color w:val="000000"/>
          <w:sz w:val="22"/>
          <w:szCs w:val="22"/>
        </w:rPr>
        <w:t>millones</w:t>
      </w:r>
      <w:r>
        <w:rPr>
          <w:rFonts w:ascii="Calibri Light" w:eastAsia="Calibri" w:hAnsi="Calibri Light" w:cs="Calibri Light"/>
          <w:color w:val="000000"/>
          <w:sz w:val="22"/>
          <w:szCs w:val="22"/>
        </w:rPr>
        <w:t xml:space="preserve"> de USD</w:t>
      </w:r>
      <w:r w:rsidRPr="00563161">
        <w:rPr>
          <w:rFonts w:ascii="Calibri Light" w:eastAsia="Calibri" w:hAnsi="Calibri Light" w:cs="Calibri Light"/>
          <w:color w:val="000000"/>
          <w:sz w:val="22"/>
          <w:szCs w:val="22"/>
        </w:rPr>
        <w:t xml:space="preserve"> del monto total aprobado por</w:t>
      </w:r>
      <w:r>
        <w:rPr>
          <w:rFonts w:ascii="Calibri Light" w:eastAsia="Calibri" w:hAnsi="Calibri Light" w:cs="Calibri Light"/>
          <w:color w:val="000000"/>
          <w:sz w:val="22"/>
          <w:szCs w:val="22"/>
        </w:rPr>
        <w:t xml:space="preserve"> </w:t>
      </w:r>
      <w:r w:rsidRPr="00563161">
        <w:rPr>
          <w:rFonts w:ascii="Calibri Light" w:eastAsia="Calibri" w:hAnsi="Calibri Light" w:cs="Calibri Light"/>
          <w:color w:val="000000"/>
          <w:sz w:val="22"/>
          <w:szCs w:val="22"/>
        </w:rPr>
        <w:t>150</w:t>
      </w:r>
      <w:r>
        <w:rPr>
          <w:rFonts w:ascii="Calibri Light" w:eastAsia="Calibri" w:hAnsi="Calibri Light" w:cs="Calibri Light"/>
          <w:color w:val="000000"/>
          <w:sz w:val="22"/>
          <w:szCs w:val="22"/>
        </w:rPr>
        <w:t>,</w:t>
      </w:r>
      <w:r w:rsidRPr="00563161">
        <w:rPr>
          <w:rFonts w:ascii="Calibri Light" w:eastAsia="Calibri" w:hAnsi="Calibri Light" w:cs="Calibri Light"/>
          <w:color w:val="000000"/>
          <w:sz w:val="22"/>
          <w:szCs w:val="22"/>
        </w:rPr>
        <w:t>41</w:t>
      </w:r>
      <w:r>
        <w:rPr>
          <w:rFonts w:ascii="Calibri Light" w:eastAsia="Calibri" w:hAnsi="Calibri Light" w:cs="Calibri Light"/>
          <w:color w:val="000000"/>
          <w:sz w:val="22"/>
          <w:szCs w:val="22"/>
        </w:rPr>
        <w:t xml:space="preserve"> </w:t>
      </w:r>
      <w:r w:rsidRPr="00E4061F">
        <w:rPr>
          <w:rFonts w:ascii="Calibri Light" w:eastAsia="Calibri" w:hAnsi="Calibri Light" w:cs="Calibri Light"/>
          <w:color w:val="000000"/>
          <w:sz w:val="22"/>
          <w:szCs w:val="22"/>
        </w:rPr>
        <w:t>millones</w:t>
      </w:r>
      <w:r>
        <w:rPr>
          <w:rFonts w:ascii="Calibri Light" w:eastAsia="Calibri" w:hAnsi="Calibri Light" w:cs="Calibri Light"/>
          <w:color w:val="000000"/>
          <w:sz w:val="22"/>
          <w:szCs w:val="22"/>
        </w:rPr>
        <w:t xml:space="preserve"> de USD</w:t>
      </w:r>
      <w:r w:rsidRPr="00563161">
        <w:rPr>
          <w:rFonts w:ascii="Calibri Light" w:eastAsia="Calibri" w:hAnsi="Calibri Light" w:cs="Calibri Light"/>
          <w:color w:val="000000"/>
          <w:sz w:val="22"/>
          <w:szCs w:val="22"/>
        </w:rPr>
        <w:t xml:space="preserve"> y corresponde a un avance para el período enero – diciembre 2024 del 52</w:t>
      </w:r>
      <w:r>
        <w:rPr>
          <w:rFonts w:ascii="Calibri Light" w:eastAsia="Calibri" w:hAnsi="Calibri Light" w:cs="Calibri Light"/>
          <w:color w:val="000000"/>
          <w:sz w:val="22"/>
          <w:szCs w:val="22"/>
        </w:rPr>
        <w:t>,</w:t>
      </w:r>
      <w:r w:rsidRPr="00563161">
        <w:rPr>
          <w:rFonts w:ascii="Calibri Light" w:eastAsia="Calibri" w:hAnsi="Calibri Light" w:cs="Calibri Light"/>
          <w:color w:val="000000"/>
          <w:sz w:val="22"/>
          <w:szCs w:val="22"/>
        </w:rPr>
        <w:t>60%:</w:t>
      </w:r>
    </w:p>
    <w:p w14:paraId="66784400" w14:textId="77777777" w:rsidR="00C420E7" w:rsidRPr="00563161" w:rsidRDefault="00C420E7" w:rsidP="00C420E7">
      <w:pPr>
        <w:autoSpaceDE w:val="0"/>
        <w:autoSpaceDN w:val="0"/>
        <w:adjustRightInd w:val="0"/>
        <w:rPr>
          <w:rFonts w:ascii="Calibri Light" w:eastAsia="Calibri" w:hAnsi="Calibri Light" w:cs="Calibri Light"/>
          <w:color w:val="000000"/>
          <w:sz w:val="22"/>
          <w:szCs w:val="22"/>
        </w:rPr>
      </w:pPr>
    </w:p>
    <w:p w14:paraId="2ED594BC" w14:textId="77777777" w:rsidR="00C420E7" w:rsidRPr="00563161" w:rsidRDefault="00C420E7" w:rsidP="00C420E7">
      <w:pPr>
        <w:pStyle w:val="Prrafodelista"/>
        <w:numPr>
          <w:ilvl w:val="0"/>
          <w:numId w:val="197"/>
        </w:numPr>
        <w:autoSpaceDE w:val="0"/>
        <w:autoSpaceDN w:val="0"/>
        <w:adjustRightInd w:val="0"/>
        <w:spacing w:after="59"/>
        <w:jc w:val="both"/>
        <w:rPr>
          <w:rFonts w:ascii="Calibri Light" w:eastAsia="Calibri" w:hAnsi="Calibri Light" w:cs="Calibri Light"/>
          <w:color w:val="000000"/>
          <w:sz w:val="22"/>
          <w:szCs w:val="22"/>
        </w:rPr>
      </w:pPr>
      <w:r w:rsidRPr="00563161">
        <w:rPr>
          <w:rFonts w:ascii="Calibri Light" w:eastAsia="Calibri" w:hAnsi="Calibri Light" w:cs="Calibri Light"/>
          <w:color w:val="000000"/>
          <w:sz w:val="22"/>
          <w:szCs w:val="22"/>
        </w:rPr>
        <w:t>La CELEC EP, presentó una ejecución de 75</w:t>
      </w:r>
      <w:r>
        <w:rPr>
          <w:rFonts w:ascii="Calibri Light" w:eastAsia="Calibri" w:hAnsi="Calibri Light" w:cs="Calibri Light"/>
          <w:color w:val="000000"/>
          <w:sz w:val="22"/>
          <w:szCs w:val="22"/>
        </w:rPr>
        <w:t>,</w:t>
      </w:r>
      <w:r w:rsidRPr="00563161">
        <w:rPr>
          <w:rFonts w:ascii="Calibri Light" w:eastAsia="Calibri" w:hAnsi="Calibri Light" w:cs="Calibri Light"/>
          <w:color w:val="000000"/>
          <w:sz w:val="22"/>
          <w:szCs w:val="22"/>
        </w:rPr>
        <w:t xml:space="preserve">67 </w:t>
      </w:r>
      <w:r w:rsidRPr="00E4061F">
        <w:rPr>
          <w:rFonts w:ascii="Calibri Light" w:eastAsia="Calibri" w:hAnsi="Calibri Light" w:cs="Calibri Light"/>
          <w:color w:val="000000"/>
          <w:sz w:val="22"/>
          <w:szCs w:val="22"/>
        </w:rPr>
        <w:t>millones</w:t>
      </w:r>
      <w:r>
        <w:rPr>
          <w:rFonts w:ascii="Calibri Light" w:eastAsia="Calibri" w:hAnsi="Calibri Light" w:cs="Calibri Light"/>
          <w:color w:val="000000"/>
          <w:sz w:val="22"/>
          <w:szCs w:val="22"/>
        </w:rPr>
        <w:t xml:space="preserve"> de USD </w:t>
      </w:r>
      <w:r w:rsidRPr="00563161">
        <w:rPr>
          <w:rFonts w:ascii="Calibri Light" w:eastAsia="Calibri" w:hAnsi="Calibri Light" w:cs="Calibri Light"/>
          <w:color w:val="000000"/>
          <w:sz w:val="22"/>
          <w:szCs w:val="22"/>
        </w:rPr>
        <w:t xml:space="preserve">y corresponde a un avance de 53,38%; y, </w:t>
      </w:r>
    </w:p>
    <w:p w14:paraId="4AEAEE13" w14:textId="18FA4376" w:rsidR="005817CB" w:rsidRPr="00FD1FAB" w:rsidRDefault="00C420E7" w:rsidP="00C420E7">
      <w:pPr>
        <w:pStyle w:val="Prrafodelista"/>
        <w:numPr>
          <w:ilvl w:val="0"/>
          <w:numId w:val="197"/>
        </w:numPr>
        <w:autoSpaceDE w:val="0"/>
        <w:autoSpaceDN w:val="0"/>
        <w:adjustRightInd w:val="0"/>
        <w:jc w:val="both"/>
        <w:rPr>
          <w:rFonts w:ascii="Calibri Light" w:eastAsia="Calibri" w:hAnsi="Calibri Light" w:cs="Calibri Light"/>
          <w:color w:val="000000"/>
          <w:sz w:val="22"/>
          <w:szCs w:val="22"/>
        </w:rPr>
      </w:pPr>
      <w:r w:rsidRPr="00563161">
        <w:rPr>
          <w:rFonts w:ascii="Calibri Light" w:eastAsia="Calibri" w:hAnsi="Calibri Light" w:cs="Calibri Light"/>
          <w:color w:val="000000"/>
          <w:sz w:val="22"/>
          <w:szCs w:val="22"/>
        </w:rPr>
        <w:t>Las Generadoras - No escindidas, presentaron una ejecución de 3</w:t>
      </w:r>
      <w:r>
        <w:rPr>
          <w:rFonts w:ascii="Calibri Light" w:eastAsia="Calibri" w:hAnsi="Calibri Light" w:cs="Calibri Light"/>
          <w:color w:val="000000"/>
          <w:sz w:val="22"/>
          <w:szCs w:val="22"/>
        </w:rPr>
        <w:t>,</w:t>
      </w:r>
      <w:r w:rsidRPr="00563161">
        <w:rPr>
          <w:rFonts w:ascii="Calibri Light" w:eastAsia="Calibri" w:hAnsi="Calibri Light" w:cs="Calibri Light"/>
          <w:color w:val="000000"/>
          <w:sz w:val="22"/>
          <w:szCs w:val="22"/>
        </w:rPr>
        <w:t>44</w:t>
      </w:r>
      <w:r>
        <w:rPr>
          <w:rFonts w:ascii="Calibri Light" w:eastAsia="Calibri" w:hAnsi="Calibri Light" w:cs="Calibri Light"/>
          <w:color w:val="000000"/>
          <w:sz w:val="22"/>
          <w:szCs w:val="22"/>
        </w:rPr>
        <w:t xml:space="preserve"> </w:t>
      </w:r>
      <w:r w:rsidRPr="00E4061F">
        <w:rPr>
          <w:rFonts w:ascii="Calibri Light" w:eastAsia="Calibri" w:hAnsi="Calibri Light" w:cs="Calibri Light"/>
          <w:color w:val="000000"/>
          <w:sz w:val="22"/>
          <w:szCs w:val="22"/>
        </w:rPr>
        <w:t>millones</w:t>
      </w:r>
      <w:r>
        <w:rPr>
          <w:rFonts w:ascii="Calibri Light" w:eastAsia="Calibri" w:hAnsi="Calibri Light" w:cs="Calibri Light"/>
          <w:color w:val="000000"/>
          <w:sz w:val="22"/>
          <w:szCs w:val="22"/>
        </w:rPr>
        <w:t xml:space="preserve"> de USD</w:t>
      </w:r>
      <w:r w:rsidRPr="00563161">
        <w:rPr>
          <w:rFonts w:ascii="Calibri Light" w:eastAsia="Calibri" w:hAnsi="Calibri Light" w:cs="Calibri Light"/>
          <w:color w:val="000000"/>
          <w:sz w:val="22"/>
          <w:szCs w:val="22"/>
        </w:rPr>
        <w:t xml:space="preserve"> con un avance del 39,79%. </w:t>
      </w:r>
    </w:p>
    <w:p w14:paraId="4F06076E" w14:textId="77777777" w:rsidR="00EC08B4" w:rsidRPr="007239CB" w:rsidRDefault="00EC08B4" w:rsidP="00C420E7">
      <w:pPr>
        <w:jc w:val="both"/>
        <w:rPr>
          <w:rFonts w:ascii="Calibri Light" w:eastAsia="Calibri" w:hAnsi="Calibri Light" w:cs="Calibri Light"/>
          <w:color w:val="000000"/>
          <w:sz w:val="22"/>
          <w:szCs w:val="22"/>
        </w:rPr>
      </w:pPr>
    </w:p>
    <w:p w14:paraId="42CACB74" w14:textId="77777777" w:rsidR="00C420E7" w:rsidRDefault="00C420E7" w:rsidP="00C420E7">
      <w:pPr>
        <w:jc w:val="both"/>
        <w:rPr>
          <w:rFonts w:asciiTheme="majorHAnsi" w:hAnsiTheme="majorHAnsi" w:cstheme="majorHAnsi"/>
          <w:b/>
          <w:sz w:val="22"/>
        </w:rPr>
      </w:pPr>
      <w:r w:rsidRPr="0081251B">
        <w:rPr>
          <w:rFonts w:asciiTheme="majorHAnsi" w:hAnsiTheme="majorHAnsi" w:cstheme="majorHAnsi"/>
          <w:b/>
          <w:sz w:val="22"/>
        </w:rPr>
        <w:t>Seguimiento de la recuperación de cartera: Convenio de liquidez entre CELEC EP y el Ministerio de Economía y Finanzas, y recursos pendientes de este Ministerio.</w:t>
      </w:r>
    </w:p>
    <w:p w14:paraId="78EC022B" w14:textId="77777777" w:rsidR="00C420E7" w:rsidRDefault="00C420E7" w:rsidP="00C420E7">
      <w:pPr>
        <w:jc w:val="both"/>
        <w:rPr>
          <w:rFonts w:asciiTheme="majorHAnsi" w:hAnsiTheme="majorHAnsi" w:cstheme="majorHAnsi"/>
          <w:b/>
          <w:sz w:val="22"/>
        </w:rPr>
      </w:pPr>
    </w:p>
    <w:p w14:paraId="111C3471" w14:textId="77777777" w:rsidR="00C420E7" w:rsidRPr="007239CB" w:rsidRDefault="00C420E7" w:rsidP="00C420E7">
      <w:pPr>
        <w:jc w:val="both"/>
        <w:rPr>
          <w:rFonts w:ascii="Calibri Light" w:eastAsia="Calibri" w:hAnsi="Calibri Light" w:cs="Calibri Light"/>
          <w:color w:val="000000"/>
          <w:sz w:val="22"/>
          <w:szCs w:val="22"/>
        </w:rPr>
      </w:pPr>
      <w:r w:rsidRPr="007239CB">
        <w:rPr>
          <w:rFonts w:ascii="Calibri Light" w:eastAsia="Calibri" w:hAnsi="Calibri Light" w:cs="Calibri Light"/>
          <w:color w:val="000000"/>
          <w:sz w:val="22"/>
          <w:szCs w:val="22"/>
        </w:rPr>
        <w:t>Con cargo al Convenio Interinstitucional para el manejo integrado de liquidez del Sector Público suscrito entre el Ministerio de Economía y Finanzas y la CELEC EP, se debitaron y acreditaron hasta la fecha de las cuentas bancarias Institucionales, los valores que a continuación se detallan:</w:t>
      </w:r>
    </w:p>
    <w:p w14:paraId="0214A09B" w14:textId="77777777" w:rsidR="00C420E7" w:rsidRPr="00C760F6" w:rsidRDefault="00C420E7" w:rsidP="00C420E7">
      <w:pPr>
        <w:pStyle w:val="Descripcin"/>
        <w:rPr>
          <w:rFonts w:asciiTheme="majorHAnsi" w:hAnsiTheme="majorHAnsi" w:cstheme="majorHAnsi"/>
        </w:rPr>
      </w:pPr>
    </w:p>
    <w:p w14:paraId="6C620DB5" w14:textId="274E826C" w:rsidR="00C420E7" w:rsidRPr="00C760F6" w:rsidRDefault="00C420E7" w:rsidP="00C420E7">
      <w:pPr>
        <w:pStyle w:val="Descripcin"/>
        <w:rPr>
          <w:rFonts w:asciiTheme="majorHAnsi" w:hAnsiTheme="majorHAnsi" w:cstheme="majorHAnsi"/>
        </w:rPr>
      </w:pPr>
      <w:bookmarkStart w:id="337" w:name="_Toc198110377"/>
      <w:bookmarkStart w:id="338" w:name="_Toc199759701"/>
      <w:r w:rsidRPr="00C760F6">
        <w:rPr>
          <w:rFonts w:asciiTheme="majorHAnsi" w:hAnsiTheme="majorHAnsi" w:cstheme="majorHAnsi"/>
        </w:rPr>
        <w:t xml:space="preserve">Tabla </w:t>
      </w:r>
      <w:r w:rsidR="003A269C" w:rsidRPr="00C760F6">
        <w:rPr>
          <w:rFonts w:asciiTheme="majorHAnsi" w:hAnsiTheme="majorHAnsi" w:cstheme="majorHAnsi"/>
        </w:rPr>
        <w:fldChar w:fldCharType="begin"/>
      </w:r>
      <w:r w:rsidR="003A269C" w:rsidRPr="00C760F6">
        <w:rPr>
          <w:rFonts w:asciiTheme="majorHAnsi" w:hAnsiTheme="majorHAnsi" w:cstheme="majorHAnsi"/>
        </w:rPr>
        <w:instrText xml:space="preserve"> SEQ Tabla \* ARABIC </w:instrText>
      </w:r>
      <w:r w:rsidR="003A269C" w:rsidRPr="00C760F6">
        <w:rPr>
          <w:rFonts w:asciiTheme="majorHAnsi" w:hAnsiTheme="majorHAnsi" w:cstheme="majorHAnsi"/>
        </w:rPr>
        <w:fldChar w:fldCharType="separate"/>
      </w:r>
      <w:r w:rsidR="00CF0AD2">
        <w:rPr>
          <w:rFonts w:asciiTheme="majorHAnsi" w:hAnsiTheme="majorHAnsi" w:cstheme="majorHAnsi"/>
          <w:noProof/>
        </w:rPr>
        <w:t>31</w:t>
      </w:r>
      <w:r w:rsidR="003A269C" w:rsidRPr="00C760F6">
        <w:rPr>
          <w:rFonts w:asciiTheme="majorHAnsi" w:hAnsiTheme="majorHAnsi" w:cstheme="majorHAnsi"/>
          <w:noProof/>
        </w:rPr>
        <w:fldChar w:fldCharType="end"/>
      </w:r>
      <w:r w:rsidR="00192E54">
        <w:rPr>
          <w:rFonts w:asciiTheme="majorHAnsi" w:hAnsiTheme="majorHAnsi" w:cstheme="majorHAnsi"/>
        </w:rPr>
        <w:t xml:space="preserve">: </w:t>
      </w:r>
      <w:r w:rsidRPr="00C760F6">
        <w:rPr>
          <w:rFonts w:asciiTheme="majorHAnsi" w:hAnsiTheme="majorHAnsi" w:cstheme="majorHAnsi"/>
        </w:rPr>
        <w:t>Saldo por convenio de liquidez firmado con el MEF</w:t>
      </w:r>
      <w:bookmarkEnd w:id="337"/>
      <w:bookmarkEnd w:id="338"/>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9"/>
        <w:gridCol w:w="1664"/>
        <w:gridCol w:w="1767"/>
        <w:gridCol w:w="1572"/>
        <w:gridCol w:w="1571"/>
      </w:tblGrid>
      <w:tr w:rsidR="00C420E7" w:rsidRPr="00B00FBD" w14:paraId="39D43701" w14:textId="77777777" w:rsidTr="000A4588">
        <w:trPr>
          <w:trHeight w:val="19"/>
          <w:tblHeader/>
        </w:trPr>
        <w:tc>
          <w:tcPr>
            <w:tcW w:w="1291" w:type="pct"/>
            <w:shd w:val="clear" w:color="auto" w:fill="5B9BD5" w:themeFill="accent5"/>
            <w:vAlign w:val="center"/>
            <w:hideMark/>
          </w:tcPr>
          <w:p w14:paraId="08B4C9D4" w14:textId="77777777" w:rsidR="00C420E7" w:rsidRPr="00C760F6" w:rsidRDefault="00C420E7" w:rsidP="000A4588">
            <w:pPr>
              <w:jc w:val="center"/>
              <w:rPr>
                <w:rFonts w:asciiTheme="majorHAnsi" w:hAnsiTheme="majorHAnsi" w:cstheme="majorHAnsi"/>
                <w:b/>
                <w:bCs/>
                <w:color w:val="FFFFFF" w:themeColor="background1"/>
                <w:sz w:val="16"/>
                <w:szCs w:val="16"/>
              </w:rPr>
            </w:pPr>
            <w:r w:rsidRPr="00C760F6">
              <w:rPr>
                <w:rFonts w:asciiTheme="majorHAnsi" w:eastAsia="Times New Roman" w:hAnsiTheme="majorHAnsi" w:cstheme="majorHAnsi"/>
                <w:b/>
                <w:bCs/>
                <w:color w:val="FFFFFF"/>
                <w:sz w:val="16"/>
                <w:szCs w:val="16"/>
                <w:lang w:eastAsia="es-EC"/>
              </w:rPr>
              <w:t>Observaciones</w:t>
            </w:r>
          </w:p>
        </w:tc>
        <w:tc>
          <w:tcPr>
            <w:tcW w:w="939" w:type="pct"/>
            <w:shd w:val="clear" w:color="auto" w:fill="5B9BD5" w:themeFill="accent5"/>
            <w:vAlign w:val="center"/>
            <w:hideMark/>
          </w:tcPr>
          <w:p w14:paraId="1AAF71CE" w14:textId="77777777" w:rsidR="00C420E7" w:rsidRPr="00C760F6" w:rsidRDefault="00C420E7" w:rsidP="000A4588">
            <w:pPr>
              <w:jc w:val="center"/>
              <w:rPr>
                <w:rFonts w:asciiTheme="majorHAnsi" w:eastAsia="Times New Roman" w:hAnsiTheme="majorHAnsi" w:cstheme="majorHAnsi"/>
                <w:b/>
                <w:bCs/>
                <w:color w:val="FFFFFF"/>
                <w:sz w:val="16"/>
                <w:szCs w:val="16"/>
                <w:lang w:eastAsia="es-EC"/>
              </w:rPr>
            </w:pPr>
            <w:r w:rsidRPr="00C760F6">
              <w:rPr>
                <w:rFonts w:asciiTheme="majorHAnsi" w:eastAsia="Times New Roman" w:hAnsiTheme="majorHAnsi" w:cstheme="majorHAnsi"/>
                <w:b/>
                <w:bCs/>
                <w:color w:val="FFFFFF"/>
                <w:sz w:val="16"/>
                <w:szCs w:val="16"/>
                <w:lang w:eastAsia="es-EC"/>
              </w:rPr>
              <w:t>Fecha transferencia a Cuenta Única Del Tesoro/Devolución</w:t>
            </w:r>
          </w:p>
        </w:tc>
        <w:tc>
          <w:tcPr>
            <w:tcW w:w="997" w:type="pct"/>
            <w:shd w:val="clear" w:color="auto" w:fill="5B9BD5" w:themeFill="accent5"/>
            <w:vAlign w:val="center"/>
            <w:hideMark/>
          </w:tcPr>
          <w:p w14:paraId="57ADB09E" w14:textId="77777777" w:rsidR="00C420E7" w:rsidRPr="00C760F6" w:rsidRDefault="00C420E7" w:rsidP="000A4588">
            <w:pPr>
              <w:jc w:val="center"/>
              <w:rPr>
                <w:rFonts w:asciiTheme="majorHAnsi" w:eastAsia="Times New Roman" w:hAnsiTheme="majorHAnsi" w:cstheme="majorHAnsi"/>
                <w:b/>
                <w:bCs/>
                <w:color w:val="FFFFFF"/>
                <w:sz w:val="16"/>
                <w:szCs w:val="16"/>
                <w:lang w:eastAsia="es-EC"/>
              </w:rPr>
            </w:pPr>
            <w:r w:rsidRPr="00C760F6">
              <w:rPr>
                <w:rFonts w:asciiTheme="majorHAnsi" w:eastAsia="Times New Roman" w:hAnsiTheme="majorHAnsi" w:cstheme="majorHAnsi"/>
                <w:b/>
                <w:bCs/>
                <w:color w:val="FFFFFF"/>
                <w:sz w:val="16"/>
                <w:szCs w:val="16"/>
                <w:lang w:eastAsia="es-EC"/>
              </w:rPr>
              <w:t>Valor transferido O Debitado Por Orden Del MEF</w:t>
            </w:r>
          </w:p>
        </w:tc>
        <w:tc>
          <w:tcPr>
            <w:tcW w:w="887" w:type="pct"/>
            <w:shd w:val="clear" w:color="auto" w:fill="5B9BD5" w:themeFill="accent5"/>
            <w:vAlign w:val="center"/>
            <w:hideMark/>
          </w:tcPr>
          <w:p w14:paraId="3D5D93DC" w14:textId="77777777" w:rsidR="00C420E7" w:rsidRPr="00C760F6" w:rsidRDefault="00C420E7" w:rsidP="000A4588">
            <w:pPr>
              <w:jc w:val="center"/>
              <w:rPr>
                <w:rFonts w:asciiTheme="majorHAnsi" w:eastAsia="Times New Roman" w:hAnsiTheme="majorHAnsi" w:cstheme="majorHAnsi"/>
                <w:b/>
                <w:bCs/>
                <w:color w:val="FFFFFF"/>
                <w:sz w:val="16"/>
                <w:szCs w:val="16"/>
                <w:lang w:eastAsia="es-EC"/>
              </w:rPr>
            </w:pPr>
            <w:r w:rsidRPr="00C760F6">
              <w:rPr>
                <w:rFonts w:asciiTheme="majorHAnsi" w:eastAsia="Times New Roman" w:hAnsiTheme="majorHAnsi" w:cstheme="majorHAnsi"/>
                <w:b/>
                <w:bCs/>
                <w:color w:val="FFFFFF"/>
                <w:sz w:val="16"/>
                <w:szCs w:val="16"/>
                <w:lang w:eastAsia="es-EC"/>
              </w:rPr>
              <w:t>Valor Devuelto Por El MEF</w:t>
            </w:r>
          </w:p>
        </w:tc>
        <w:tc>
          <w:tcPr>
            <w:tcW w:w="887" w:type="pct"/>
            <w:shd w:val="clear" w:color="auto" w:fill="5B9BD5" w:themeFill="accent5"/>
            <w:vAlign w:val="center"/>
            <w:hideMark/>
          </w:tcPr>
          <w:p w14:paraId="49FE3F6E" w14:textId="77777777" w:rsidR="00C420E7" w:rsidRPr="00C760F6" w:rsidRDefault="00C420E7" w:rsidP="000A4588">
            <w:pPr>
              <w:jc w:val="center"/>
              <w:rPr>
                <w:rFonts w:asciiTheme="majorHAnsi" w:eastAsia="Times New Roman" w:hAnsiTheme="majorHAnsi" w:cstheme="majorHAnsi"/>
                <w:b/>
                <w:bCs/>
                <w:color w:val="FFFFFF"/>
                <w:sz w:val="16"/>
                <w:szCs w:val="16"/>
                <w:lang w:eastAsia="es-EC"/>
              </w:rPr>
            </w:pPr>
            <w:r w:rsidRPr="00C760F6">
              <w:rPr>
                <w:rFonts w:asciiTheme="majorHAnsi" w:eastAsia="Times New Roman" w:hAnsiTheme="majorHAnsi" w:cstheme="majorHAnsi"/>
                <w:b/>
                <w:bCs/>
                <w:color w:val="FFFFFF"/>
                <w:sz w:val="16"/>
                <w:szCs w:val="16"/>
                <w:lang w:eastAsia="es-EC"/>
              </w:rPr>
              <w:t>Saldo A Recibir</w:t>
            </w:r>
          </w:p>
        </w:tc>
      </w:tr>
      <w:tr w:rsidR="00C420E7" w:rsidRPr="00B00FBD" w14:paraId="14422090" w14:textId="77777777" w:rsidTr="000A4588">
        <w:trPr>
          <w:trHeight w:val="19"/>
        </w:trPr>
        <w:tc>
          <w:tcPr>
            <w:tcW w:w="1291" w:type="pct"/>
            <w:shd w:val="clear" w:color="auto" w:fill="auto"/>
            <w:vAlign w:val="center"/>
            <w:hideMark/>
          </w:tcPr>
          <w:p w14:paraId="1D4EE540"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 </w:t>
            </w:r>
          </w:p>
        </w:tc>
        <w:tc>
          <w:tcPr>
            <w:tcW w:w="939" w:type="pct"/>
            <w:shd w:val="clear" w:color="auto" w:fill="auto"/>
            <w:vAlign w:val="center"/>
            <w:hideMark/>
          </w:tcPr>
          <w:p w14:paraId="76BD9174"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SALDO AL 31-12-2022</w:t>
            </w:r>
          </w:p>
        </w:tc>
        <w:tc>
          <w:tcPr>
            <w:tcW w:w="997" w:type="pct"/>
            <w:shd w:val="clear" w:color="auto" w:fill="auto"/>
            <w:vAlign w:val="center"/>
            <w:hideMark/>
          </w:tcPr>
          <w:p w14:paraId="6181FABC"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678.711.691,07</w:t>
            </w:r>
          </w:p>
        </w:tc>
        <w:tc>
          <w:tcPr>
            <w:tcW w:w="887" w:type="pct"/>
            <w:shd w:val="clear" w:color="auto" w:fill="auto"/>
            <w:vAlign w:val="center"/>
            <w:hideMark/>
          </w:tcPr>
          <w:p w14:paraId="527CF834"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91.289.708,78</w:t>
            </w:r>
          </w:p>
        </w:tc>
        <w:tc>
          <w:tcPr>
            <w:tcW w:w="887" w:type="pct"/>
            <w:shd w:val="clear" w:color="auto" w:fill="auto"/>
            <w:vAlign w:val="center"/>
            <w:hideMark/>
          </w:tcPr>
          <w:p w14:paraId="1F4AD10A"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587.421.982,29</w:t>
            </w:r>
          </w:p>
        </w:tc>
      </w:tr>
      <w:tr w:rsidR="00C420E7" w:rsidRPr="00B00FBD" w14:paraId="41676BE8" w14:textId="77777777" w:rsidTr="000A4588">
        <w:trPr>
          <w:trHeight w:val="19"/>
        </w:trPr>
        <w:tc>
          <w:tcPr>
            <w:tcW w:w="1291" w:type="pct"/>
            <w:shd w:val="clear" w:color="auto" w:fill="auto"/>
            <w:vAlign w:val="center"/>
            <w:hideMark/>
          </w:tcPr>
          <w:p w14:paraId="47E7E311"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 xml:space="preserve">CRUCE DE CUENTAS CON EL MEF POR LOS CONVENIOS </w:t>
            </w:r>
            <w:r w:rsidRPr="00C760F6">
              <w:rPr>
                <w:rFonts w:asciiTheme="majorHAnsi" w:eastAsia="Times New Roman" w:hAnsiTheme="majorHAnsi" w:cstheme="majorHAnsi"/>
                <w:color w:val="000000"/>
                <w:sz w:val="16"/>
                <w:szCs w:val="16"/>
                <w:lang w:eastAsia="es-EC"/>
              </w:rPr>
              <w:lastRenderedPageBreak/>
              <w:t>SUBSIDIARIOS DE SOPLADORA Y COCA CODO SINCLAIR</w:t>
            </w:r>
          </w:p>
        </w:tc>
        <w:tc>
          <w:tcPr>
            <w:tcW w:w="939" w:type="pct"/>
            <w:shd w:val="clear" w:color="auto" w:fill="auto"/>
            <w:vAlign w:val="center"/>
            <w:hideMark/>
          </w:tcPr>
          <w:p w14:paraId="25FEEA34"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lastRenderedPageBreak/>
              <w:t>31/12/2022</w:t>
            </w:r>
          </w:p>
        </w:tc>
        <w:tc>
          <w:tcPr>
            <w:tcW w:w="997" w:type="pct"/>
            <w:shd w:val="clear" w:color="auto" w:fill="auto"/>
            <w:vAlign w:val="center"/>
            <w:hideMark/>
          </w:tcPr>
          <w:p w14:paraId="3F6B9D5D"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p>
        </w:tc>
        <w:tc>
          <w:tcPr>
            <w:tcW w:w="887" w:type="pct"/>
            <w:shd w:val="clear" w:color="auto" w:fill="auto"/>
            <w:vAlign w:val="center"/>
            <w:hideMark/>
          </w:tcPr>
          <w:p w14:paraId="1E80D5C6"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441.724.669,00</w:t>
            </w:r>
          </w:p>
        </w:tc>
        <w:tc>
          <w:tcPr>
            <w:tcW w:w="887" w:type="pct"/>
            <w:shd w:val="clear" w:color="auto" w:fill="auto"/>
            <w:vAlign w:val="center"/>
            <w:hideMark/>
          </w:tcPr>
          <w:p w14:paraId="4F95D05D"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145.697.313,29</w:t>
            </w:r>
          </w:p>
        </w:tc>
      </w:tr>
      <w:tr w:rsidR="00C420E7" w:rsidRPr="00B00FBD" w14:paraId="67A3EEB5" w14:textId="77777777" w:rsidTr="000A4588">
        <w:trPr>
          <w:trHeight w:val="19"/>
        </w:trPr>
        <w:tc>
          <w:tcPr>
            <w:tcW w:w="1291" w:type="pct"/>
            <w:shd w:val="clear" w:color="auto" w:fill="auto"/>
            <w:vAlign w:val="center"/>
            <w:hideMark/>
          </w:tcPr>
          <w:p w14:paraId="37A3813E"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DÉBITO DEL MEF SIN COORDINACIÓN CON CELEC EP</w:t>
            </w:r>
          </w:p>
        </w:tc>
        <w:tc>
          <w:tcPr>
            <w:tcW w:w="939" w:type="pct"/>
            <w:shd w:val="clear" w:color="auto" w:fill="auto"/>
            <w:vAlign w:val="center"/>
            <w:hideMark/>
          </w:tcPr>
          <w:p w14:paraId="16A1F8D3" w14:textId="77777777" w:rsidR="00C420E7" w:rsidRPr="00C760F6" w:rsidRDefault="00C420E7" w:rsidP="000A4588">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22/2/2023</w:t>
            </w:r>
          </w:p>
        </w:tc>
        <w:tc>
          <w:tcPr>
            <w:tcW w:w="997" w:type="pct"/>
            <w:shd w:val="clear" w:color="auto" w:fill="auto"/>
            <w:vAlign w:val="center"/>
            <w:hideMark/>
          </w:tcPr>
          <w:p w14:paraId="5ED36D33"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6.000.000,00</w:t>
            </w:r>
          </w:p>
        </w:tc>
        <w:tc>
          <w:tcPr>
            <w:tcW w:w="887" w:type="pct"/>
            <w:shd w:val="clear" w:color="auto" w:fill="auto"/>
            <w:vAlign w:val="center"/>
            <w:hideMark/>
          </w:tcPr>
          <w:p w14:paraId="7011205B"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w:t>
            </w:r>
          </w:p>
        </w:tc>
        <w:tc>
          <w:tcPr>
            <w:tcW w:w="887" w:type="pct"/>
            <w:shd w:val="clear" w:color="auto" w:fill="auto"/>
            <w:vAlign w:val="center"/>
            <w:hideMark/>
          </w:tcPr>
          <w:p w14:paraId="5C13334D"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151.697.313,29</w:t>
            </w:r>
          </w:p>
        </w:tc>
      </w:tr>
      <w:tr w:rsidR="00C420E7" w:rsidRPr="00B00FBD" w14:paraId="37E4FE97" w14:textId="77777777" w:rsidTr="000A4588">
        <w:trPr>
          <w:trHeight w:val="19"/>
        </w:trPr>
        <w:tc>
          <w:tcPr>
            <w:tcW w:w="1291" w:type="pct"/>
            <w:shd w:val="clear" w:color="auto" w:fill="auto"/>
            <w:vAlign w:val="center"/>
            <w:hideMark/>
          </w:tcPr>
          <w:p w14:paraId="17097883"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DEVOLUCIÓN DEL MEF</w:t>
            </w:r>
          </w:p>
        </w:tc>
        <w:tc>
          <w:tcPr>
            <w:tcW w:w="939" w:type="pct"/>
            <w:shd w:val="clear" w:color="auto" w:fill="auto"/>
            <w:vAlign w:val="center"/>
            <w:hideMark/>
          </w:tcPr>
          <w:p w14:paraId="6160FC80" w14:textId="77777777" w:rsidR="00C420E7" w:rsidRPr="00C760F6" w:rsidRDefault="00C420E7" w:rsidP="000A4588">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28/4/2023</w:t>
            </w:r>
          </w:p>
        </w:tc>
        <w:tc>
          <w:tcPr>
            <w:tcW w:w="997" w:type="pct"/>
            <w:shd w:val="clear" w:color="auto" w:fill="auto"/>
            <w:vAlign w:val="center"/>
            <w:hideMark/>
          </w:tcPr>
          <w:p w14:paraId="60C39C34"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p>
        </w:tc>
        <w:tc>
          <w:tcPr>
            <w:tcW w:w="887" w:type="pct"/>
            <w:shd w:val="clear" w:color="auto" w:fill="auto"/>
            <w:vAlign w:val="center"/>
            <w:hideMark/>
          </w:tcPr>
          <w:p w14:paraId="4B4C71B3"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6.000.000,00</w:t>
            </w:r>
          </w:p>
        </w:tc>
        <w:tc>
          <w:tcPr>
            <w:tcW w:w="887" w:type="pct"/>
            <w:shd w:val="clear" w:color="auto" w:fill="auto"/>
            <w:vAlign w:val="center"/>
            <w:hideMark/>
          </w:tcPr>
          <w:p w14:paraId="4EB2AEB4"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145.697.313,29</w:t>
            </w:r>
          </w:p>
        </w:tc>
      </w:tr>
      <w:tr w:rsidR="00C420E7" w:rsidRPr="00B00FBD" w14:paraId="42D54913" w14:textId="77777777" w:rsidTr="000A4588">
        <w:trPr>
          <w:trHeight w:val="19"/>
        </w:trPr>
        <w:tc>
          <w:tcPr>
            <w:tcW w:w="1291" w:type="pct"/>
            <w:shd w:val="clear" w:color="auto" w:fill="auto"/>
            <w:vAlign w:val="center"/>
            <w:hideMark/>
          </w:tcPr>
          <w:p w14:paraId="6707C078"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DÉBITO DEL MEF SIN COORDINACIÓN CON CELEC EP</w:t>
            </w:r>
          </w:p>
        </w:tc>
        <w:tc>
          <w:tcPr>
            <w:tcW w:w="939" w:type="pct"/>
            <w:shd w:val="clear" w:color="auto" w:fill="auto"/>
            <w:vAlign w:val="center"/>
            <w:hideMark/>
          </w:tcPr>
          <w:p w14:paraId="2F6F9EBA" w14:textId="77777777" w:rsidR="00C420E7" w:rsidRPr="00C760F6" w:rsidRDefault="00C420E7" w:rsidP="000A4588">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30/6/2023</w:t>
            </w:r>
          </w:p>
        </w:tc>
        <w:tc>
          <w:tcPr>
            <w:tcW w:w="997" w:type="pct"/>
            <w:shd w:val="clear" w:color="auto" w:fill="auto"/>
            <w:vAlign w:val="center"/>
            <w:hideMark/>
          </w:tcPr>
          <w:p w14:paraId="682904F5"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10.000.000,00</w:t>
            </w:r>
          </w:p>
        </w:tc>
        <w:tc>
          <w:tcPr>
            <w:tcW w:w="887" w:type="pct"/>
            <w:shd w:val="clear" w:color="auto" w:fill="auto"/>
            <w:vAlign w:val="center"/>
            <w:hideMark/>
          </w:tcPr>
          <w:p w14:paraId="08B01E79"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w:t>
            </w:r>
          </w:p>
        </w:tc>
        <w:tc>
          <w:tcPr>
            <w:tcW w:w="887" w:type="pct"/>
            <w:shd w:val="clear" w:color="auto" w:fill="auto"/>
            <w:vAlign w:val="center"/>
            <w:hideMark/>
          </w:tcPr>
          <w:p w14:paraId="678DB7E9"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155.697.313,29</w:t>
            </w:r>
          </w:p>
        </w:tc>
      </w:tr>
      <w:tr w:rsidR="00C420E7" w:rsidRPr="00B00FBD" w14:paraId="4C070F20" w14:textId="77777777" w:rsidTr="000A4588">
        <w:trPr>
          <w:trHeight w:val="19"/>
        </w:trPr>
        <w:tc>
          <w:tcPr>
            <w:tcW w:w="1291" w:type="pct"/>
            <w:shd w:val="clear" w:color="auto" w:fill="auto"/>
            <w:vAlign w:val="center"/>
            <w:hideMark/>
          </w:tcPr>
          <w:p w14:paraId="0B61392B"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DÉBITO DEL MEF SIN COORDINACIÓN CON CELEC EP</w:t>
            </w:r>
          </w:p>
        </w:tc>
        <w:tc>
          <w:tcPr>
            <w:tcW w:w="939" w:type="pct"/>
            <w:shd w:val="clear" w:color="auto" w:fill="auto"/>
            <w:vAlign w:val="center"/>
            <w:hideMark/>
          </w:tcPr>
          <w:p w14:paraId="2BDAE33D" w14:textId="77777777" w:rsidR="00C420E7" w:rsidRPr="00C760F6" w:rsidRDefault="00C420E7" w:rsidP="000A4588">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29/9/2023</w:t>
            </w:r>
          </w:p>
        </w:tc>
        <w:tc>
          <w:tcPr>
            <w:tcW w:w="997" w:type="pct"/>
            <w:shd w:val="clear" w:color="auto" w:fill="auto"/>
            <w:vAlign w:val="center"/>
            <w:hideMark/>
          </w:tcPr>
          <w:p w14:paraId="074C72FB"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47.500.000,00</w:t>
            </w:r>
          </w:p>
        </w:tc>
        <w:tc>
          <w:tcPr>
            <w:tcW w:w="887" w:type="pct"/>
            <w:shd w:val="clear" w:color="auto" w:fill="auto"/>
            <w:vAlign w:val="center"/>
            <w:hideMark/>
          </w:tcPr>
          <w:p w14:paraId="1AE3B62B"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w:t>
            </w:r>
          </w:p>
        </w:tc>
        <w:tc>
          <w:tcPr>
            <w:tcW w:w="887" w:type="pct"/>
            <w:shd w:val="clear" w:color="auto" w:fill="auto"/>
            <w:vAlign w:val="center"/>
            <w:hideMark/>
          </w:tcPr>
          <w:p w14:paraId="2CD03ED4"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203.197.313,29</w:t>
            </w:r>
          </w:p>
        </w:tc>
      </w:tr>
      <w:tr w:rsidR="00C420E7" w:rsidRPr="00B00FBD" w14:paraId="22BCE4D8" w14:textId="77777777" w:rsidTr="000A4588">
        <w:trPr>
          <w:trHeight w:val="19"/>
        </w:trPr>
        <w:tc>
          <w:tcPr>
            <w:tcW w:w="1291" w:type="pct"/>
            <w:shd w:val="clear" w:color="auto" w:fill="auto"/>
            <w:vAlign w:val="center"/>
            <w:hideMark/>
          </w:tcPr>
          <w:p w14:paraId="45DC1CBC"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DEVOLUCIÓN DEL MEF</w:t>
            </w:r>
          </w:p>
        </w:tc>
        <w:tc>
          <w:tcPr>
            <w:tcW w:w="939" w:type="pct"/>
            <w:shd w:val="clear" w:color="auto" w:fill="auto"/>
            <w:vAlign w:val="center"/>
            <w:hideMark/>
          </w:tcPr>
          <w:p w14:paraId="28473788" w14:textId="77777777" w:rsidR="00C420E7" w:rsidRPr="00C760F6" w:rsidRDefault="00C420E7" w:rsidP="000A4588">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15/11/2023</w:t>
            </w:r>
          </w:p>
        </w:tc>
        <w:tc>
          <w:tcPr>
            <w:tcW w:w="997" w:type="pct"/>
            <w:shd w:val="clear" w:color="auto" w:fill="auto"/>
            <w:vAlign w:val="center"/>
            <w:hideMark/>
          </w:tcPr>
          <w:p w14:paraId="4F2A3113"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w:t>
            </w:r>
          </w:p>
        </w:tc>
        <w:tc>
          <w:tcPr>
            <w:tcW w:w="887" w:type="pct"/>
            <w:shd w:val="clear" w:color="auto" w:fill="auto"/>
            <w:vAlign w:val="center"/>
            <w:hideMark/>
          </w:tcPr>
          <w:p w14:paraId="20A9897C"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6.500.000,00</w:t>
            </w:r>
          </w:p>
        </w:tc>
        <w:tc>
          <w:tcPr>
            <w:tcW w:w="887" w:type="pct"/>
            <w:shd w:val="clear" w:color="auto" w:fill="auto"/>
            <w:vAlign w:val="center"/>
            <w:hideMark/>
          </w:tcPr>
          <w:p w14:paraId="230C1CE3"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196.697.313,29</w:t>
            </w:r>
          </w:p>
        </w:tc>
      </w:tr>
      <w:tr w:rsidR="00C420E7" w:rsidRPr="00B00FBD" w14:paraId="485EE8D9" w14:textId="77777777" w:rsidTr="000A4588">
        <w:trPr>
          <w:trHeight w:val="19"/>
        </w:trPr>
        <w:tc>
          <w:tcPr>
            <w:tcW w:w="1291" w:type="pct"/>
            <w:shd w:val="clear" w:color="auto" w:fill="auto"/>
            <w:vAlign w:val="center"/>
            <w:hideMark/>
          </w:tcPr>
          <w:p w14:paraId="43A3E4AC"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DEVOLUCIÓN DEL MEF</w:t>
            </w:r>
          </w:p>
        </w:tc>
        <w:tc>
          <w:tcPr>
            <w:tcW w:w="939" w:type="pct"/>
            <w:shd w:val="clear" w:color="auto" w:fill="auto"/>
            <w:vAlign w:val="center"/>
            <w:hideMark/>
          </w:tcPr>
          <w:p w14:paraId="018868CA" w14:textId="77777777" w:rsidR="00C420E7" w:rsidRPr="00C760F6" w:rsidRDefault="00C420E7" w:rsidP="000A4588">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28/12/2023</w:t>
            </w:r>
          </w:p>
        </w:tc>
        <w:tc>
          <w:tcPr>
            <w:tcW w:w="997" w:type="pct"/>
            <w:shd w:val="clear" w:color="auto" w:fill="auto"/>
            <w:vAlign w:val="center"/>
            <w:hideMark/>
          </w:tcPr>
          <w:p w14:paraId="6928B9BD"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w:t>
            </w:r>
          </w:p>
        </w:tc>
        <w:tc>
          <w:tcPr>
            <w:tcW w:w="887" w:type="pct"/>
            <w:shd w:val="clear" w:color="auto" w:fill="auto"/>
            <w:vAlign w:val="center"/>
            <w:hideMark/>
          </w:tcPr>
          <w:p w14:paraId="5A6A75E1"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8.456.476,77</w:t>
            </w:r>
          </w:p>
        </w:tc>
        <w:tc>
          <w:tcPr>
            <w:tcW w:w="887" w:type="pct"/>
            <w:shd w:val="clear" w:color="auto" w:fill="auto"/>
            <w:vAlign w:val="center"/>
            <w:hideMark/>
          </w:tcPr>
          <w:p w14:paraId="41392576"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188.240.836,52</w:t>
            </w:r>
          </w:p>
        </w:tc>
      </w:tr>
      <w:tr w:rsidR="00C420E7" w:rsidRPr="00B00FBD" w14:paraId="31C8982B" w14:textId="77777777" w:rsidTr="000A4588">
        <w:trPr>
          <w:trHeight w:val="19"/>
        </w:trPr>
        <w:tc>
          <w:tcPr>
            <w:tcW w:w="1291" w:type="pct"/>
            <w:shd w:val="clear" w:color="auto" w:fill="auto"/>
            <w:vAlign w:val="center"/>
            <w:hideMark/>
          </w:tcPr>
          <w:p w14:paraId="7C17A385"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DEVOLUCIÓN DEL MEF</w:t>
            </w:r>
          </w:p>
        </w:tc>
        <w:tc>
          <w:tcPr>
            <w:tcW w:w="939" w:type="pct"/>
            <w:shd w:val="clear" w:color="auto" w:fill="auto"/>
            <w:vAlign w:val="center"/>
            <w:hideMark/>
          </w:tcPr>
          <w:p w14:paraId="31E92B97" w14:textId="77777777" w:rsidR="00C420E7" w:rsidRPr="00C760F6" w:rsidRDefault="00C420E7" w:rsidP="000A4588">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2/8/2024</w:t>
            </w:r>
          </w:p>
        </w:tc>
        <w:tc>
          <w:tcPr>
            <w:tcW w:w="997" w:type="pct"/>
            <w:shd w:val="clear" w:color="auto" w:fill="auto"/>
            <w:vAlign w:val="center"/>
            <w:hideMark/>
          </w:tcPr>
          <w:p w14:paraId="593A0683"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w:t>
            </w:r>
          </w:p>
        </w:tc>
        <w:tc>
          <w:tcPr>
            <w:tcW w:w="887" w:type="pct"/>
            <w:shd w:val="clear" w:color="auto" w:fill="auto"/>
            <w:vAlign w:val="center"/>
            <w:hideMark/>
          </w:tcPr>
          <w:p w14:paraId="2218B472"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28.000.000,00</w:t>
            </w:r>
          </w:p>
        </w:tc>
        <w:tc>
          <w:tcPr>
            <w:tcW w:w="887" w:type="pct"/>
            <w:shd w:val="clear" w:color="auto" w:fill="auto"/>
            <w:vAlign w:val="center"/>
            <w:hideMark/>
          </w:tcPr>
          <w:p w14:paraId="28CF3FA0"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160.240.836,52</w:t>
            </w:r>
          </w:p>
        </w:tc>
      </w:tr>
      <w:tr w:rsidR="00C420E7" w:rsidRPr="00B00FBD" w14:paraId="6BB0B74A" w14:textId="77777777" w:rsidTr="000A4588">
        <w:trPr>
          <w:trHeight w:val="19"/>
        </w:trPr>
        <w:tc>
          <w:tcPr>
            <w:tcW w:w="1291" w:type="pct"/>
            <w:shd w:val="clear" w:color="auto" w:fill="auto"/>
            <w:vAlign w:val="center"/>
            <w:hideMark/>
          </w:tcPr>
          <w:p w14:paraId="7782888D"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DEVOLUCIÓN DEL MEF</w:t>
            </w:r>
          </w:p>
        </w:tc>
        <w:tc>
          <w:tcPr>
            <w:tcW w:w="939" w:type="pct"/>
            <w:shd w:val="clear" w:color="auto" w:fill="auto"/>
            <w:vAlign w:val="center"/>
            <w:hideMark/>
          </w:tcPr>
          <w:p w14:paraId="65BD8EBE" w14:textId="77777777" w:rsidR="00C420E7" w:rsidRPr="00C760F6" w:rsidRDefault="00C420E7" w:rsidP="000A4588">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4/9/2024</w:t>
            </w:r>
          </w:p>
        </w:tc>
        <w:tc>
          <w:tcPr>
            <w:tcW w:w="997" w:type="pct"/>
            <w:shd w:val="clear" w:color="auto" w:fill="auto"/>
            <w:vAlign w:val="center"/>
            <w:hideMark/>
          </w:tcPr>
          <w:p w14:paraId="341A033D"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w:t>
            </w:r>
          </w:p>
        </w:tc>
        <w:tc>
          <w:tcPr>
            <w:tcW w:w="887" w:type="pct"/>
            <w:shd w:val="clear" w:color="auto" w:fill="auto"/>
            <w:vAlign w:val="center"/>
            <w:hideMark/>
          </w:tcPr>
          <w:p w14:paraId="64FB0A6F"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16.000.000,00</w:t>
            </w:r>
          </w:p>
        </w:tc>
        <w:tc>
          <w:tcPr>
            <w:tcW w:w="887" w:type="pct"/>
            <w:shd w:val="clear" w:color="auto" w:fill="auto"/>
            <w:vAlign w:val="center"/>
            <w:hideMark/>
          </w:tcPr>
          <w:p w14:paraId="0DCC24E9"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144.240.836,52</w:t>
            </w:r>
          </w:p>
        </w:tc>
      </w:tr>
      <w:tr w:rsidR="00C420E7" w:rsidRPr="00B00FBD" w14:paraId="356D8F81" w14:textId="77777777" w:rsidTr="000A4588">
        <w:trPr>
          <w:trHeight w:val="19"/>
        </w:trPr>
        <w:tc>
          <w:tcPr>
            <w:tcW w:w="1291" w:type="pct"/>
            <w:shd w:val="clear" w:color="auto" w:fill="auto"/>
            <w:vAlign w:val="center"/>
            <w:hideMark/>
          </w:tcPr>
          <w:p w14:paraId="75747802"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DEVOLUCIÓN DEL MEF</w:t>
            </w:r>
          </w:p>
        </w:tc>
        <w:tc>
          <w:tcPr>
            <w:tcW w:w="939" w:type="pct"/>
            <w:shd w:val="clear" w:color="auto" w:fill="auto"/>
            <w:vAlign w:val="center"/>
            <w:hideMark/>
          </w:tcPr>
          <w:p w14:paraId="102CD4BF" w14:textId="77777777" w:rsidR="00C420E7" w:rsidRPr="00C760F6" w:rsidRDefault="00C420E7" w:rsidP="000A4588">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16/9/2024</w:t>
            </w:r>
          </w:p>
        </w:tc>
        <w:tc>
          <w:tcPr>
            <w:tcW w:w="997" w:type="pct"/>
            <w:shd w:val="clear" w:color="auto" w:fill="auto"/>
            <w:vAlign w:val="center"/>
            <w:hideMark/>
          </w:tcPr>
          <w:p w14:paraId="22EA6C25"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w:t>
            </w:r>
          </w:p>
        </w:tc>
        <w:tc>
          <w:tcPr>
            <w:tcW w:w="887" w:type="pct"/>
            <w:shd w:val="clear" w:color="auto" w:fill="auto"/>
            <w:vAlign w:val="center"/>
            <w:hideMark/>
          </w:tcPr>
          <w:p w14:paraId="1643893B"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12.000.000,00</w:t>
            </w:r>
          </w:p>
        </w:tc>
        <w:tc>
          <w:tcPr>
            <w:tcW w:w="887" w:type="pct"/>
            <w:shd w:val="clear" w:color="auto" w:fill="auto"/>
            <w:vAlign w:val="center"/>
            <w:hideMark/>
          </w:tcPr>
          <w:p w14:paraId="37F46258"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132.240.836,52</w:t>
            </w:r>
          </w:p>
        </w:tc>
      </w:tr>
      <w:tr w:rsidR="00C420E7" w:rsidRPr="00B00FBD" w14:paraId="3C33CD9A" w14:textId="77777777" w:rsidTr="000A4588">
        <w:trPr>
          <w:trHeight w:val="19"/>
        </w:trPr>
        <w:tc>
          <w:tcPr>
            <w:tcW w:w="1291" w:type="pct"/>
            <w:shd w:val="clear" w:color="auto" w:fill="auto"/>
            <w:vAlign w:val="center"/>
          </w:tcPr>
          <w:p w14:paraId="472710EB"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DEVOLUCIÓN DEL MEF</w:t>
            </w:r>
          </w:p>
        </w:tc>
        <w:tc>
          <w:tcPr>
            <w:tcW w:w="939" w:type="pct"/>
            <w:shd w:val="clear" w:color="auto" w:fill="auto"/>
            <w:vAlign w:val="center"/>
          </w:tcPr>
          <w:p w14:paraId="40C0E508" w14:textId="77777777" w:rsidR="00C420E7" w:rsidRPr="00C760F6" w:rsidRDefault="00C420E7" w:rsidP="000A4588">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13/11/2024</w:t>
            </w:r>
          </w:p>
        </w:tc>
        <w:tc>
          <w:tcPr>
            <w:tcW w:w="997" w:type="pct"/>
            <w:shd w:val="clear" w:color="auto" w:fill="auto"/>
            <w:vAlign w:val="center"/>
          </w:tcPr>
          <w:p w14:paraId="431F3FB2"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w:t>
            </w:r>
          </w:p>
        </w:tc>
        <w:tc>
          <w:tcPr>
            <w:tcW w:w="887" w:type="pct"/>
            <w:shd w:val="clear" w:color="auto" w:fill="auto"/>
            <w:vAlign w:val="center"/>
          </w:tcPr>
          <w:p w14:paraId="20DB56B3"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34.790.000,00</w:t>
            </w:r>
          </w:p>
        </w:tc>
        <w:tc>
          <w:tcPr>
            <w:tcW w:w="887" w:type="pct"/>
            <w:shd w:val="clear" w:color="auto" w:fill="auto"/>
            <w:vAlign w:val="center"/>
          </w:tcPr>
          <w:p w14:paraId="1999CC00"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97.450.836,52</w:t>
            </w:r>
          </w:p>
        </w:tc>
      </w:tr>
      <w:tr w:rsidR="00C420E7" w:rsidRPr="00B00FBD" w14:paraId="22D0A74D" w14:textId="77777777" w:rsidTr="000A4588">
        <w:trPr>
          <w:trHeight w:val="19"/>
        </w:trPr>
        <w:tc>
          <w:tcPr>
            <w:tcW w:w="1291" w:type="pct"/>
            <w:shd w:val="clear" w:color="auto" w:fill="auto"/>
            <w:vAlign w:val="center"/>
          </w:tcPr>
          <w:p w14:paraId="2A63703A"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DEVOLUCIÓN DEL MEF</w:t>
            </w:r>
          </w:p>
        </w:tc>
        <w:tc>
          <w:tcPr>
            <w:tcW w:w="939" w:type="pct"/>
            <w:shd w:val="clear" w:color="auto" w:fill="auto"/>
            <w:vAlign w:val="center"/>
          </w:tcPr>
          <w:p w14:paraId="43D52E65" w14:textId="77777777" w:rsidR="00C420E7" w:rsidRPr="00C760F6" w:rsidRDefault="00C420E7" w:rsidP="000A4588">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15/11/2024</w:t>
            </w:r>
          </w:p>
        </w:tc>
        <w:tc>
          <w:tcPr>
            <w:tcW w:w="997" w:type="pct"/>
            <w:shd w:val="clear" w:color="auto" w:fill="auto"/>
            <w:vAlign w:val="center"/>
          </w:tcPr>
          <w:p w14:paraId="6461C3E9"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w:t>
            </w:r>
          </w:p>
        </w:tc>
        <w:tc>
          <w:tcPr>
            <w:tcW w:w="887" w:type="pct"/>
            <w:shd w:val="clear" w:color="auto" w:fill="auto"/>
            <w:vAlign w:val="center"/>
          </w:tcPr>
          <w:p w14:paraId="15A5BF14"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1.890.000,00</w:t>
            </w:r>
          </w:p>
        </w:tc>
        <w:tc>
          <w:tcPr>
            <w:tcW w:w="887" w:type="pct"/>
            <w:shd w:val="clear" w:color="auto" w:fill="auto"/>
            <w:vAlign w:val="center"/>
          </w:tcPr>
          <w:p w14:paraId="12A0184B"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95.560.836,52</w:t>
            </w:r>
          </w:p>
        </w:tc>
      </w:tr>
      <w:tr w:rsidR="00C420E7" w:rsidRPr="00B00FBD" w14:paraId="0CDC8F61" w14:textId="77777777" w:rsidTr="000A4588">
        <w:trPr>
          <w:trHeight w:val="19"/>
        </w:trPr>
        <w:tc>
          <w:tcPr>
            <w:tcW w:w="1291" w:type="pct"/>
            <w:shd w:val="clear" w:color="auto" w:fill="auto"/>
            <w:vAlign w:val="center"/>
          </w:tcPr>
          <w:p w14:paraId="39AEF556"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DEVOLUCIÓN DEL MEF</w:t>
            </w:r>
          </w:p>
        </w:tc>
        <w:tc>
          <w:tcPr>
            <w:tcW w:w="939" w:type="pct"/>
            <w:shd w:val="clear" w:color="auto" w:fill="auto"/>
            <w:vAlign w:val="center"/>
          </w:tcPr>
          <w:p w14:paraId="0806BF35" w14:textId="77777777" w:rsidR="00C420E7" w:rsidRPr="00C760F6" w:rsidRDefault="00C420E7" w:rsidP="000A4588">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25/11/2024</w:t>
            </w:r>
          </w:p>
        </w:tc>
        <w:tc>
          <w:tcPr>
            <w:tcW w:w="997" w:type="pct"/>
            <w:shd w:val="clear" w:color="auto" w:fill="auto"/>
            <w:vAlign w:val="center"/>
          </w:tcPr>
          <w:p w14:paraId="05E21B5D"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w:t>
            </w:r>
          </w:p>
        </w:tc>
        <w:tc>
          <w:tcPr>
            <w:tcW w:w="887" w:type="pct"/>
            <w:shd w:val="clear" w:color="auto" w:fill="auto"/>
            <w:vAlign w:val="center"/>
          </w:tcPr>
          <w:p w14:paraId="4E4080B9"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10.411.654,03</w:t>
            </w:r>
          </w:p>
        </w:tc>
        <w:tc>
          <w:tcPr>
            <w:tcW w:w="887" w:type="pct"/>
            <w:shd w:val="clear" w:color="auto" w:fill="auto"/>
            <w:vAlign w:val="center"/>
          </w:tcPr>
          <w:p w14:paraId="1B970D0E"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85.149.182,49</w:t>
            </w:r>
          </w:p>
        </w:tc>
      </w:tr>
      <w:tr w:rsidR="00C420E7" w:rsidRPr="00B00FBD" w14:paraId="394F678B" w14:textId="77777777" w:rsidTr="000A4588">
        <w:trPr>
          <w:trHeight w:val="19"/>
        </w:trPr>
        <w:tc>
          <w:tcPr>
            <w:tcW w:w="1291" w:type="pct"/>
            <w:shd w:val="clear" w:color="auto" w:fill="auto"/>
            <w:vAlign w:val="center"/>
          </w:tcPr>
          <w:p w14:paraId="0475460C"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DEVOLUCIÓN DEL MEF</w:t>
            </w:r>
          </w:p>
        </w:tc>
        <w:tc>
          <w:tcPr>
            <w:tcW w:w="939" w:type="pct"/>
            <w:shd w:val="clear" w:color="auto" w:fill="auto"/>
            <w:vAlign w:val="center"/>
          </w:tcPr>
          <w:p w14:paraId="220CEA9E" w14:textId="77777777" w:rsidR="00C420E7" w:rsidRPr="00C760F6" w:rsidRDefault="00C420E7" w:rsidP="000A4588">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23/12/2024</w:t>
            </w:r>
          </w:p>
        </w:tc>
        <w:tc>
          <w:tcPr>
            <w:tcW w:w="997" w:type="pct"/>
            <w:shd w:val="clear" w:color="auto" w:fill="auto"/>
            <w:vAlign w:val="center"/>
          </w:tcPr>
          <w:p w14:paraId="649161F9"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w:t>
            </w:r>
          </w:p>
        </w:tc>
        <w:tc>
          <w:tcPr>
            <w:tcW w:w="887" w:type="pct"/>
            <w:shd w:val="clear" w:color="auto" w:fill="auto"/>
            <w:vAlign w:val="center"/>
          </w:tcPr>
          <w:p w14:paraId="38687E99"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10.000.000,00</w:t>
            </w:r>
          </w:p>
        </w:tc>
        <w:tc>
          <w:tcPr>
            <w:tcW w:w="887" w:type="pct"/>
            <w:shd w:val="clear" w:color="auto" w:fill="auto"/>
            <w:vAlign w:val="center"/>
          </w:tcPr>
          <w:p w14:paraId="1BCD9810"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75.149.182,49</w:t>
            </w:r>
          </w:p>
        </w:tc>
      </w:tr>
      <w:tr w:rsidR="00C420E7" w:rsidRPr="00B00FBD" w14:paraId="2369703D" w14:textId="77777777" w:rsidTr="000A4588">
        <w:trPr>
          <w:trHeight w:val="19"/>
        </w:trPr>
        <w:tc>
          <w:tcPr>
            <w:tcW w:w="1291" w:type="pct"/>
            <w:shd w:val="clear" w:color="auto" w:fill="auto"/>
            <w:vAlign w:val="center"/>
          </w:tcPr>
          <w:p w14:paraId="36440F25"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DEVOLUCIÓN DEL MEF</w:t>
            </w:r>
          </w:p>
        </w:tc>
        <w:tc>
          <w:tcPr>
            <w:tcW w:w="939" w:type="pct"/>
            <w:shd w:val="clear" w:color="auto" w:fill="auto"/>
            <w:vAlign w:val="center"/>
          </w:tcPr>
          <w:p w14:paraId="6C05DB80" w14:textId="77777777" w:rsidR="00C420E7" w:rsidRPr="00C760F6" w:rsidRDefault="00C420E7" w:rsidP="000A4588">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24/12/2024</w:t>
            </w:r>
          </w:p>
        </w:tc>
        <w:tc>
          <w:tcPr>
            <w:tcW w:w="997" w:type="pct"/>
            <w:shd w:val="clear" w:color="auto" w:fill="auto"/>
            <w:vAlign w:val="center"/>
          </w:tcPr>
          <w:p w14:paraId="37C2AE45"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w:t>
            </w:r>
          </w:p>
        </w:tc>
        <w:tc>
          <w:tcPr>
            <w:tcW w:w="887" w:type="pct"/>
            <w:shd w:val="clear" w:color="auto" w:fill="auto"/>
            <w:vAlign w:val="center"/>
          </w:tcPr>
          <w:p w14:paraId="42A44EC7"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10.000.000,00</w:t>
            </w:r>
          </w:p>
        </w:tc>
        <w:tc>
          <w:tcPr>
            <w:tcW w:w="887" w:type="pct"/>
            <w:shd w:val="clear" w:color="auto" w:fill="auto"/>
            <w:vAlign w:val="center"/>
          </w:tcPr>
          <w:p w14:paraId="346F0D99"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65.149.182,49</w:t>
            </w:r>
          </w:p>
        </w:tc>
      </w:tr>
      <w:tr w:rsidR="00C420E7" w:rsidRPr="00B00FBD" w14:paraId="4812316E" w14:textId="77777777" w:rsidTr="000A4588">
        <w:trPr>
          <w:trHeight w:val="19"/>
        </w:trPr>
        <w:tc>
          <w:tcPr>
            <w:tcW w:w="1291" w:type="pct"/>
            <w:shd w:val="clear" w:color="auto" w:fill="auto"/>
            <w:vAlign w:val="center"/>
          </w:tcPr>
          <w:p w14:paraId="1F039CD8"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DEVOLUCIÓN DEL MEF</w:t>
            </w:r>
          </w:p>
        </w:tc>
        <w:tc>
          <w:tcPr>
            <w:tcW w:w="939" w:type="pct"/>
            <w:shd w:val="clear" w:color="auto" w:fill="auto"/>
            <w:vAlign w:val="center"/>
          </w:tcPr>
          <w:p w14:paraId="68A4C549" w14:textId="77777777" w:rsidR="00C420E7" w:rsidRPr="00C760F6" w:rsidRDefault="00C420E7" w:rsidP="000A4588">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26/12/2024</w:t>
            </w:r>
          </w:p>
        </w:tc>
        <w:tc>
          <w:tcPr>
            <w:tcW w:w="997" w:type="pct"/>
            <w:shd w:val="clear" w:color="auto" w:fill="auto"/>
            <w:vAlign w:val="center"/>
          </w:tcPr>
          <w:p w14:paraId="143171EA"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w:t>
            </w:r>
          </w:p>
        </w:tc>
        <w:tc>
          <w:tcPr>
            <w:tcW w:w="887" w:type="pct"/>
            <w:shd w:val="clear" w:color="auto" w:fill="auto"/>
            <w:vAlign w:val="center"/>
          </w:tcPr>
          <w:p w14:paraId="47EBE32B"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10.000.000,00</w:t>
            </w:r>
          </w:p>
        </w:tc>
        <w:tc>
          <w:tcPr>
            <w:tcW w:w="887" w:type="pct"/>
            <w:shd w:val="clear" w:color="auto" w:fill="auto"/>
            <w:vAlign w:val="center"/>
          </w:tcPr>
          <w:p w14:paraId="3F76B533"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55.149.182,49</w:t>
            </w:r>
          </w:p>
        </w:tc>
      </w:tr>
      <w:tr w:rsidR="00C420E7" w:rsidRPr="00B00FBD" w14:paraId="73264BE5" w14:textId="77777777" w:rsidTr="000A4588">
        <w:trPr>
          <w:trHeight w:val="19"/>
        </w:trPr>
        <w:tc>
          <w:tcPr>
            <w:tcW w:w="1291" w:type="pct"/>
            <w:shd w:val="clear" w:color="auto" w:fill="auto"/>
            <w:vAlign w:val="center"/>
          </w:tcPr>
          <w:p w14:paraId="7CFF22DF"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DEVOLUCIÓN DEL MEF</w:t>
            </w:r>
          </w:p>
        </w:tc>
        <w:tc>
          <w:tcPr>
            <w:tcW w:w="939" w:type="pct"/>
            <w:shd w:val="clear" w:color="auto" w:fill="auto"/>
            <w:vAlign w:val="center"/>
          </w:tcPr>
          <w:p w14:paraId="62E9C403" w14:textId="77777777" w:rsidR="00C420E7" w:rsidRPr="00C760F6" w:rsidRDefault="00C420E7" w:rsidP="000A4588">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27/12/2024</w:t>
            </w:r>
          </w:p>
        </w:tc>
        <w:tc>
          <w:tcPr>
            <w:tcW w:w="997" w:type="pct"/>
            <w:shd w:val="clear" w:color="auto" w:fill="auto"/>
            <w:vAlign w:val="center"/>
          </w:tcPr>
          <w:p w14:paraId="3D11A2CC"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w:t>
            </w:r>
          </w:p>
        </w:tc>
        <w:tc>
          <w:tcPr>
            <w:tcW w:w="887" w:type="pct"/>
            <w:shd w:val="clear" w:color="auto" w:fill="auto"/>
            <w:vAlign w:val="center"/>
          </w:tcPr>
          <w:p w14:paraId="689F41AD"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10.000.000,00</w:t>
            </w:r>
          </w:p>
        </w:tc>
        <w:tc>
          <w:tcPr>
            <w:tcW w:w="887" w:type="pct"/>
            <w:shd w:val="clear" w:color="auto" w:fill="auto"/>
            <w:vAlign w:val="center"/>
          </w:tcPr>
          <w:p w14:paraId="40A77452" w14:textId="77777777" w:rsidR="00C420E7" w:rsidRPr="00C760F6" w:rsidRDefault="00C420E7" w:rsidP="00C760F6">
            <w:pPr>
              <w:jc w:val="cente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45.149.182,49</w:t>
            </w:r>
          </w:p>
        </w:tc>
      </w:tr>
      <w:tr w:rsidR="00C420E7" w:rsidRPr="00B00FBD" w14:paraId="75A77723" w14:textId="77777777" w:rsidTr="000A4588">
        <w:trPr>
          <w:trHeight w:val="19"/>
        </w:trPr>
        <w:tc>
          <w:tcPr>
            <w:tcW w:w="1291" w:type="pct"/>
            <w:shd w:val="clear" w:color="auto" w:fill="auto"/>
            <w:vAlign w:val="center"/>
            <w:hideMark/>
          </w:tcPr>
          <w:p w14:paraId="1F3A95CA"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 </w:t>
            </w:r>
          </w:p>
        </w:tc>
        <w:tc>
          <w:tcPr>
            <w:tcW w:w="939" w:type="pct"/>
            <w:shd w:val="clear" w:color="auto" w:fill="auto"/>
            <w:vAlign w:val="center"/>
            <w:hideMark/>
          </w:tcPr>
          <w:p w14:paraId="25913B21" w14:textId="77777777" w:rsidR="00C420E7" w:rsidRPr="00C760F6" w:rsidRDefault="00C420E7" w:rsidP="000A4588">
            <w:pPr>
              <w:rPr>
                <w:rFonts w:asciiTheme="majorHAnsi" w:eastAsia="Times New Roman" w:hAnsiTheme="majorHAnsi" w:cstheme="majorHAnsi"/>
                <w:color w:val="000000"/>
                <w:sz w:val="16"/>
                <w:szCs w:val="16"/>
                <w:lang w:eastAsia="es-EC"/>
              </w:rPr>
            </w:pPr>
            <w:r w:rsidRPr="00C760F6">
              <w:rPr>
                <w:rFonts w:asciiTheme="majorHAnsi" w:eastAsia="Times New Roman" w:hAnsiTheme="majorHAnsi" w:cstheme="majorHAnsi"/>
                <w:color w:val="000000"/>
                <w:sz w:val="16"/>
                <w:szCs w:val="16"/>
                <w:lang w:eastAsia="es-EC"/>
              </w:rPr>
              <w:t> </w:t>
            </w:r>
          </w:p>
        </w:tc>
        <w:tc>
          <w:tcPr>
            <w:tcW w:w="997" w:type="pct"/>
            <w:shd w:val="clear" w:color="auto" w:fill="auto"/>
            <w:vAlign w:val="center"/>
            <w:hideMark/>
          </w:tcPr>
          <w:p w14:paraId="4F96252C" w14:textId="77777777" w:rsidR="00C420E7" w:rsidRPr="00C760F6" w:rsidRDefault="00C420E7" w:rsidP="00C760F6">
            <w:pPr>
              <w:jc w:val="center"/>
              <w:rPr>
                <w:rFonts w:asciiTheme="majorHAnsi" w:eastAsia="Times New Roman" w:hAnsiTheme="majorHAnsi" w:cstheme="majorHAnsi"/>
                <w:b/>
                <w:color w:val="000000"/>
                <w:sz w:val="16"/>
                <w:szCs w:val="16"/>
                <w:lang w:eastAsia="es-EC"/>
              </w:rPr>
            </w:pPr>
            <w:r w:rsidRPr="00C760F6">
              <w:rPr>
                <w:rFonts w:asciiTheme="majorHAnsi" w:eastAsia="Times New Roman" w:hAnsiTheme="majorHAnsi" w:cstheme="majorHAnsi"/>
                <w:b/>
                <w:color w:val="000000"/>
                <w:sz w:val="16"/>
                <w:szCs w:val="16"/>
                <w:lang w:eastAsia="es-EC"/>
              </w:rPr>
              <w:t>742.211.691,07</w:t>
            </w:r>
          </w:p>
        </w:tc>
        <w:tc>
          <w:tcPr>
            <w:tcW w:w="887" w:type="pct"/>
            <w:shd w:val="clear" w:color="auto" w:fill="auto"/>
            <w:vAlign w:val="center"/>
            <w:hideMark/>
          </w:tcPr>
          <w:p w14:paraId="4E1CEE10" w14:textId="77777777" w:rsidR="00C420E7" w:rsidRPr="00C760F6" w:rsidRDefault="00C420E7" w:rsidP="00C760F6">
            <w:pPr>
              <w:jc w:val="center"/>
              <w:rPr>
                <w:rFonts w:asciiTheme="majorHAnsi" w:eastAsia="Times New Roman" w:hAnsiTheme="majorHAnsi" w:cstheme="majorHAnsi"/>
                <w:b/>
                <w:color w:val="000000"/>
                <w:sz w:val="16"/>
                <w:szCs w:val="16"/>
                <w:lang w:eastAsia="es-EC"/>
              </w:rPr>
            </w:pPr>
            <w:r w:rsidRPr="00C760F6">
              <w:rPr>
                <w:rFonts w:asciiTheme="majorHAnsi" w:eastAsia="Times New Roman" w:hAnsiTheme="majorHAnsi" w:cstheme="majorHAnsi"/>
                <w:b/>
                <w:color w:val="000000"/>
                <w:sz w:val="16"/>
                <w:szCs w:val="16"/>
                <w:lang w:eastAsia="es-EC"/>
              </w:rPr>
              <w:t>697.062.508,58</w:t>
            </w:r>
          </w:p>
        </w:tc>
        <w:tc>
          <w:tcPr>
            <w:tcW w:w="887" w:type="pct"/>
            <w:shd w:val="clear" w:color="auto" w:fill="auto"/>
            <w:vAlign w:val="center"/>
            <w:hideMark/>
          </w:tcPr>
          <w:p w14:paraId="46E5B6ED" w14:textId="77777777" w:rsidR="00C420E7" w:rsidRPr="00C760F6" w:rsidRDefault="00C420E7" w:rsidP="00C760F6">
            <w:pPr>
              <w:jc w:val="center"/>
              <w:rPr>
                <w:rFonts w:asciiTheme="majorHAnsi" w:eastAsia="Times New Roman" w:hAnsiTheme="majorHAnsi" w:cstheme="majorHAnsi"/>
                <w:b/>
                <w:color w:val="000000"/>
                <w:sz w:val="16"/>
                <w:szCs w:val="16"/>
                <w:lang w:eastAsia="es-EC"/>
              </w:rPr>
            </w:pPr>
            <w:r w:rsidRPr="00C760F6">
              <w:rPr>
                <w:rFonts w:asciiTheme="majorHAnsi" w:eastAsia="Times New Roman" w:hAnsiTheme="majorHAnsi" w:cstheme="majorHAnsi"/>
                <w:b/>
                <w:color w:val="000000"/>
                <w:sz w:val="16"/>
                <w:szCs w:val="16"/>
                <w:lang w:eastAsia="es-EC"/>
              </w:rPr>
              <w:t>45.149.182,49</w:t>
            </w:r>
          </w:p>
        </w:tc>
      </w:tr>
    </w:tbl>
    <w:p w14:paraId="34928023" w14:textId="77777777" w:rsidR="00C420E7" w:rsidRPr="00C760F6" w:rsidRDefault="00C420E7" w:rsidP="00C420E7">
      <w:pPr>
        <w:jc w:val="center"/>
        <w:rPr>
          <w:rFonts w:asciiTheme="majorHAnsi" w:hAnsiTheme="majorHAnsi" w:cstheme="majorHAnsi"/>
          <w:i/>
          <w:iCs/>
          <w:color w:val="44546A" w:themeColor="text2"/>
          <w:sz w:val="18"/>
          <w:szCs w:val="18"/>
        </w:rPr>
      </w:pPr>
      <w:r w:rsidRPr="00C760F6">
        <w:rPr>
          <w:rFonts w:asciiTheme="majorHAnsi" w:hAnsiTheme="majorHAnsi" w:cstheme="majorHAnsi"/>
          <w:i/>
          <w:iCs/>
          <w:color w:val="44546A" w:themeColor="text2"/>
          <w:sz w:val="18"/>
          <w:szCs w:val="18"/>
        </w:rPr>
        <w:t>Fuente: Jefatura Corporativa Financiera - Elaborado por: Tesorería</w:t>
      </w:r>
    </w:p>
    <w:p w14:paraId="734A9375" w14:textId="77777777" w:rsidR="00C420E7" w:rsidRDefault="00C420E7" w:rsidP="00C420E7">
      <w:pPr>
        <w:rPr>
          <w:rFonts w:ascii="Calibri Light" w:hAnsi="Calibri Light" w:cs="Calibri Light"/>
          <w:sz w:val="22"/>
          <w:szCs w:val="22"/>
        </w:rPr>
      </w:pPr>
    </w:p>
    <w:p w14:paraId="0F07DA0E" w14:textId="77777777" w:rsidR="00C420E7" w:rsidRPr="007239CB" w:rsidRDefault="00C420E7" w:rsidP="00C420E7">
      <w:pPr>
        <w:rPr>
          <w:rFonts w:ascii="Calibri Light" w:eastAsia="Calibri" w:hAnsi="Calibri Light" w:cs="Calibri Light"/>
          <w:color w:val="000000"/>
          <w:sz w:val="22"/>
          <w:szCs w:val="22"/>
        </w:rPr>
      </w:pPr>
      <w:r w:rsidRPr="007239CB">
        <w:rPr>
          <w:rFonts w:ascii="Calibri Light" w:eastAsia="Calibri" w:hAnsi="Calibri Light" w:cs="Calibri Light"/>
          <w:color w:val="000000"/>
          <w:sz w:val="22"/>
          <w:szCs w:val="22"/>
        </w:rPr>
        <w:t xml:space="preserve">El saldo del convenio de liquidez al 31 de diciembre de 2024 </w:t>
      </w:r>
      <w:r>
        <w:rPr>
          <w:rFonts w:ascii="Calibri Light" w:eastAsia="Calibri" w:hAnsi="Calibri Light" w:cs="Calibri Light"/>
          <w:color w:val="000000"/>
          <w:sz w:val="22"/>
          <w:szCs w:val="22"/>
        </w:rPr>
        <w:t>fue</w:t>
      </w:r>
      <w:r w:rsidRPr="007239CB">
        <w:rPr>
          <w:rFonts w:ascii="Calibri Light" w:eastAsia="Calibri" w:hAnsi="Calibri Light" w:cs="Calibri Light"/>
          <w:color w:val="000000"/>
          <w:sz w:val="22"/>
          <w:szCs w:val="22"/>
        </w:rPr>
        <w:t xml:space="preserve"> de 45</w:t>
      </w:r>
      <w:r>
        <w:rPr>
          <w:rFonts w:ascii="Calibri Light" w:eastAsia="Calibri" w:hAnsi="Calibri Light" w:cs="Calibri Light"/>
          <w:color w:val="000000"/>
          <w:sz w:val="22"/>
          <w:szCs w:val="22"/>
        </w:rPr>
        <w:t>,</w:t>
      </w:r>
      <w:r w:rsidRPr="007239CB">
        <w:rPr>
          <w:rFonts w:ascii="Calibri Light" w:eastAsia="Calibri" w:hAnsi="Calibri Light" w:cs="Calibri Light"/>
          <w:color w:val="000000"/>
          <w:sz w:val="22"/>
          <w:szCs w:val="22"/>
        </w:rPr>
        <w:t>15</w:t>
      </w:r>
      <w:r>
        <w:rPr>
          <w:rFonts w:ascii="Calibri Light" w:eastAsia="Calibri" w:hAnsi="Calibri Light" w:cs="Calibri Light"/>
          <w:color w:val="000000"/>
          <w:sz w:val="22"/>
          <w:szCs w:val="22"/>
        </w:rPr>
        <w:t xml:space="preserve"> </w:t>
      </w:r>
      <w:r w:rsidRPr="00E4061F">
        <w:rPr>
          <w:rFonts w:ascii="Calibri Light" w:eastAsia="Calibri" w:hAnsi="Calibri Light" w:cs="Calibri Light"/>
          <w:color w:val="000000"/>
          <w:sz w:val="22"/>
          <w:szCs w:val="22"/>
        </w:rPr>
        <w:t>millones</w:t>
      </w:r>
      <w:r>
        <w:rPr>
          <w:rFonts w:ascii="Calibri Light" w:eastAsia="Calibri" w:hAnsi="Calibri Light" w:cs="Calibri Light"/>
          <w:color w:val="000000"/>
          <w:sz w:val="22"/>
          <w:szCs w:val="22"/>
        </w:rPr>
        <w:t xml:space="preserve"> de USD, una gestión de recuperación de cartera positiva para el sector.</w:t>
      </w:r>
    </w:p>
    <w:p w14:paraId="676BEC5F" w14:textId="77777777" w:rsidR="005817CB" w:rsidRDefault="005817CB" w:rsidP="00C420E7">
      <w:pPr>
        <w:rPr>
          <w:rFonts w:asciiTheme="majorHAnsi" w:eastAsiaTheme="majorEastAsia" w:hAnsiTheme="majorHAnsi" w:cstheme="majorBidi"/>
          <w:color w:val="2F5496" w:themeColor="accent1" w:themeShade="BF"/>
        </w:rPr>
      </w:pPr>
      <w:bookmarkStart w:id="339" w:name="_Toc195084869"/>
      <w:bookmarkEnd w:id="320"/>
    </w:p>
    <w:p w14:paraId="18939219" w14:textId="4125F648" w:rsidR="00C420E7" w:rsidRPr="00213F2B" w:rsidRDefault="00C420E7" w:rsidP="00213F2B">
      <w:pPr>
        <w:pStyle w:val="Ttulo4"/>
        <w:rPr>
          <w:i w:val="0"/>
          <w:sz w:val="22"/>
          <w:szCs w:val="22"/>
        </w:rPr>
      </w:pPr>
      <w:r w:rsidRPr="00213F2B">
        <w:rPr>
          <w:i w:val="0"/>
          <w:sz w:val="22"/>
          <w:szCs w:val="22"/>
        </w:rPr>
        <w:t xml:space="preserve">Facturación y </w:t>
      </w:r>
      <w:r w:rsidR="00192E54" w:rsidRPr="00213F2B">
        <w:rPr>
          <w:i w:val="0"/>
          <w:sz w:val="22"/>
          <w:szCs w:val="22"/>
        </w:rPr>
        <w:t>R</w:t>
      </w:r>
      <w:r w:rsidRPr="00213F2B">
        <w:rPr>
          <w:i w:val="0"/>
          <w:sz w:val="22"/>
          <w:szCs w:val="22"/>
        </w:rPr>
        <w:t>ecaudación</w:t>
      </w:r>
    </w:p>
    <w:p w14:paraId="6865F39B" w14:textId="77777777" w:rsidR="00192E54" w:rsidRDefault="00192E54" w:rsidP="00C420E7">
      <w:pPr>
        <w:rPr>
          <w:rFonts w:asciiTheme="majorHAnsi" w:eastAsiaTheme="majorEastAsia" w:hAnsiTheme="majorHAnsi" w:cstheme="majorBidi"/>
          <w:color w:val="2F5496" w:themeColor="accent1" w:themeShade="BF"/>
        </w:rPr>
      </w:pPr>
    </w:p>
    <w:p w14:paraId="70587D74" w14:textId="77777777" w:rsidR="00C420E7" w:rsidRDefault="00C420E7" w:rsidP="00B62CFA">
      <w:pPr>
        <w:keepNext/>
        <w:pBdr>
          <w:top w:val="nil"/>
          <w:left w:val="nil"/>
          <w:bottom w:val="nil"/>
          <w:right w:val="nil"/>
          <w:between w:val="nil"/>
        </w:pBdr>
        <w:jc w:val="both"/>
        <w:rPr>
          <w:rFonts w:asciiTheme="majorHAnsi" w:hAnsiTheme="majorHAnsi" w:cstheme="majorHAnsi"/>
          <w:sz w:val="22"/>
          <w:szCs w:val="22"/>
        </w:rPr>
      </w:pPr>
      <w:r w:rsidRPr="007E452F">
        <w:rPr>
          <w:rFonts w:asciiTheme="majorHAnsi" w:hAnsiTheme="majorHAnsi" w:cstheme="majorHAnsi"/>
          <w:sz w:val="22"/>
          <w:szCs w:val="22"/>
        </w:rPr>
        <w:t>Para el mes de diciembre del año 2024, de acuerdo al último informe de control presentado por la ARCONEL, se registra USD 2.196.190.261 en la facturación y USD 2.108.951.978 en recaudación lo que representa un 96,03% de recaudación.</w:t>
      </w:r>
    </w:p>
    <w:p w14:paraId="0DD1CA13" w14:textId="77777777" w:rsidR="00C420E7" w:rsidRPr="00B62CFA" w:rsidRDefault="00C420E7" w:rsidP="00B62CFA">
      <w:pPr>
        <w:keepNext/>
        <w:pBdr>
          <w:top w:val="nil"/>
          <w:left w:val="nil"/>
          <w:bottom w:val="nil"/>
          <w:right w:val="nil"/>
          <w:between w:val="nil"/>
        </w:pBdr>
        <w:jc w:val="both"/>
        <w:rPr>
          <w:rFonts w:asciiTheme="majorHAnsi" w:hAnsiTheme="majorHAnsi" w:cstheme="majorHAnsi"/>
          <w:sz w:val="22"/>
          <w:szCs w:val="22"/>
        </w:rPr>
      </w:pPr>
    </w:p>
    <w:p w14:paraId="4441E2FD" w14:textId="75BCF69F" w:rsidR="00C420E7" w:rsidRPr="00B62CFA" w:rsidRDefault="00C420E7" w:rsidP="00C420E7">
      <w:pPr>
        <w:pStyle w:val="Descripcin"/>
        <w:rPr>
          <w:rFonts w:asciiTheme="majorHAnsi" w:hAnsiTheme="majorHAnsi" w:cstheme="majorHAnsi"/>
        </w:rPr>
      </w:pPr>
      <w:bookmarkStart w:id="340" w:name="_Toc198110408"/>
      <w:bookmarkStart w:id="341" w:name="_Toc199757571"/>
      <w:r w:rsidRPr="00B62CFA">
        <w:rPr>
          <w:rFonts w:asciiTheme="majorHAnsi" w:hAnsiTheme="majorHAnsi" w:cstheme="majorHAnsi"/>
        </w:rPr>
        <w:t xml:space="preserve">Figura </w:t>
      </w:r>
      <w:r w:rsidR="002026B0" w:rsidRPr="00B62CFA">
        <w:rPr>
          <w:rFonts w:asciiTheme="majorHAnsi" w:hAnsiTheme="majorHAnsi" w:cstheme="majorHAnsi"/>
        </w:rPr>
        <w:fldChar w:fldCharType="begin"/>
      </w:r>
      <w:r w:rsidR="002026B0" w:rsidRPr="00B62CFA">
        <w:rPr>
          <w:rFonts w:asciiTheme="majorHAnsi" w:hAnsiTheme="majorHAnsi" w:cstheme="majorHAnsi"/>
        </w:rPr>
        <w:instrText xml:space="preserve"> SEQ Figura \* ARABIC </w:instrText>
      </w:r>
      <w:r w:rsidR="002026B0" w:rsidRPr="00B62CFA">
        <w:rPr>
          <w:rFonts w:asciiTheme="majorHAnsi" w:hAnsiTheme="majorHAnsi" w:cstheme="majorHAnsi"/>
        </w:rPr>
        <w:fldChar w:fldCharType="separate"/>
      </w:r>
      <w:r w:rsidR="00C751F5">
        <w:rPr>
          <w:rFonts w:asciiTheme="majorHAnsi" w:hAnsiTheme="majorHAnsi" w:cstheme="majorHAnsi"/>
          <w:noProof/>
        </w:rPr>
        <w:t>28</w:t>
      </w:r>
      <w:r w:rsidR="002026B0" w:rsidRPr="00B62CFA">
        <w:rPr>
          <w:rFonts w:asciiTheme="majorHAnsi" w:hAnsiTheme="majorHAnsi" w:cstheme="majorHAnsi"/>
        </w:rPr>
        <w:fldChar w:fldCharType="end"/>
      </w:r>
      <w:r w:rsidR="005241FC">
        <w:rPr>
          <w:rFonts w:asciiTheme="majorHAnsi" w:hAnsiTheme="majorHAnsi" w:cstheme="majorHAnsi"/>
        </w:rPr>
        <w:t xml:space="preserve">: </w:t>
      </w:r>
      <w:r w:rsidRPr="00B62CFA">
        <w:rPr>
          <w:rFonts w:asciiTheme="majorHAnsi" w:hAnsiTheme="majorHAnsi" w:cstheme="majorHAnsi"/>
        </w:rPr>
        <w:t>Evolución de la facturación y recaudación a nivel nacional – diciembre 2024</w:t>
      </w:r>
      <w:bookmarkEnd w:id="340"/>
      <w:bookmarkEnd w:id="341"/>
    </w:p>
    <w:p w14:paraId="2EADE492" w14:textId="253FB0CE" w:rsidR="00C420E7" w:rsidRPr="00AF69B3" w:rsidRDefault="00C420E7" w:rsidP="00C420E7">
      <w:pPr>
        <w:pStyle w:val="Descripcin"/>
        <w:rPr>
          <w:rFonts w:asciiTheme="majorHAnsi" w:hAnsiTheme="majorHAnsi" w:cstheme="majorHAnsi"/>
          <w:iCs w:val="0"/>
          <w:color w:val="7F7F7F" w:themeColor="text1" w:themeTint="80"/>
          <w:sz w:val="16"/>
          <w:szCs w:val="16"/>
        </w:rPr>
      </w:pPr>
      <w:r>
        <w:rPr>
          <w:noProof/>
        </w:rPr>
        <w:drawing>
          <wp:inline distT="0" distB="0" distL="0" distR="0" wp14:anchorId="0CFE2231" wp14:editId="12524AFB">
            <wp:extent cx="5121798" cy="2216552"/>
            <wp:effectExtent l="0" t="0" r="3175" b="12700"/>
            <wp:docPr id="1421088712" name="Gráfico 1421088712">
              <a:extLst xmlns:a="http://schemas.openxmlformats.org/drawingml/2006/main">
                <a:ext uri="{FF2B5EF4-FFF2-40B4-BE49-F238E27FC236}">
                  <a16:creationId xmlns:a16="http://schemas.microsoft.com/office/drawing/2014/main" id="{3B602192-E9D4-4AFD-94DF-8C00014B3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AF69B3">
        <w:rPr>
          <w:rFonts w:asciiTheme="majorHAnsi" w:hAnsiTheme="majorHAnsi" w:cstheme="majorHAnsi"/>
          <w:iCs w:val="0"/>
          <w:color w:val="7F7F7F" w:themeColor="text1" w:themeTint="80"/>
          <w:sz w:val="16"/>
          <w:szCs w:val="16"/>
        </w:rPr>
        <w:t xml:space="preserve">Fuente: Reporte mensual ARCONEL - Informe </w:t>
      </w:r>
      <w:proofErr w:type="spellStart"/>
      <w:r w:rsidRPr="00AF69B3">
        <w:rPr>
          <w:rFonts w:asciiTheme="majorHAnsi" w:hAnsiTheme="majorHAnsi" w:cstheme="majorHAnsi"/>
          <w:iCs w:val="0"/>
          <w:color w:val="7F7F7F" w:themeColor="text1" w:themeTint="80"/>
          <w:sz w:val="16"/>
          <w:szCs w:val="16"/>
        </w:rPr>
        <w:t>N°</w:t>
      </w:r>
      <w:proofErr w:type="spellEnd"/>
      <w:r w:rsidRPr="00AF69B3">
        <w:rPr>
          <w:rFonts w:asciiTheme="majorHAnsi" w:hAnsiTheme="majorHAnsi" w:cstheme="majorHAnsi"/>
          <w:iCs w:val="0"/>
          <w:color w:val="7F7F7F" w:themeColor="text1" w:themeTint="80"/>
          <w:sz w:val="16"/>
          <w:szCs w:val="16"/>
        </w:rPr>
        <w:t>. DTEII-2025-GIESE-01-PP01-02 año 2024</w:t>
      </w:r>
    </w:p>
    <w:p w14:paraId="176E9CC4" w14:textId="77777777" w:rsidR="00B62CFA" w:rsidRPr="00B62CFA" w:rsidRDefault="00B62CFA" w:rsidP="00B62CFA"/>
    <w:p w14:paraId="33F3B4A9" w14:textId="1FDB11E8" w:rsidR="00C420E7" w:rsidRPr="008C1613" w:rsidRDefault="00C420E7" w:rsidP="008C1613">
      <w:pPr>
        <w:jc w:val="both"/>
        <w:rPr>
          <w:rFonts w:asciiTheme="majorHAnsi" w:hAnsiTheme="majorHAnsi" w:cstheme="majorHAnsi"/>
          <w:sz w:val="22"/>
          <w:szCs w:val="22"/>
        </w:rPr>
      </w:pPr>
      <w:r w:rsidRPr="002D7968">
        <w:rPr>
          <w:rFonts w:asciiTheme="majorHAnsi" w:hAnsiTheme="majorHAnsi" w:cstheme="majorHAnsi"/>
          <w:sz w:val="22"/>
          <w:szCs w:val="22"/>
        </w:rPr>
        <w:t xml:space="preserve">A diciembre de 2024, las </w:t>
      </w:r>
      <w:r>
        <w:rPr>
          <w:rFonts w:asciiTheme="majorHAnsi" w:hAnsiTheme="majorHAnsi" w:cstheme="majorHAnsi"/>
          <w:sz w:val="22"/>
          <w:szCs w:val="22"/>
        </w:rPr>
        <w:t>E</w:t>
      </w:r>
      <w:r w:rsidRPr="002D7968">
        <w:rPr>
          <w:rFonts w:asciiTheme="majorHAnsi" w:hAnsiTheme="majorHAnsi" w:cstheme="majorHAnsi"/>
          <w:sz w:val="22"/>
          <w:szCs w:val="22"/>
        </w:rPr>
        <w:t xml:space="preserve">mpresas </w:t>
      </w:r>
      <w:r>
        <w:rPr>
          <w:rFonts w:asciiTheme="majorHAnsi" w:hAnsiTheme="majorHAnsi" w:cstheme="majorHAnsi"/>
          <w:sz w:val="22"/>
          <w:szCs w:val="22"/>
        </w:rPr>
        <w:t>Eléctricas de D</w:t>
      </w:r>
      <w:r w:rsidRPr="002D7968">
        <w:rPr>
          <w:rFonts w:asciiTheme="majorHAnsi" w:hAnsiTheme="majorHAnsi" w:cstheme="majorHAnsi"/>
          <w:sz w:val="22"/>
          <w:szCs w:val="22"/>
        </w:rPr>
        <w:t>istribu</w:t>
      </w:r>
      <w:r>
        <w:rPr>
          <w:rFonts w:asciiTheme="majorHAnsi" w:hAnsiTheme="majorHAnsi" w:cstheme="majorHAnsi"/>
          <w:sz w:val="22"/>
          <w:szCs w:val="22"/>
        </w:rPr>
        <w:t>ción,</w:t>
      </w:r>
      <w:r w:rsidRPr="002D7968">
        <w:rPr>
          <w:rFonts w:asciiTheme="majorHAnsi" w:hAnsiTheme="majorHAnsi" w:cstheme="majorHAnsi"/>
          <w:sz w:val="22"/>
          <w:szCs w:val="22"/>
        </w:rPr>
        <w:t xml:space="preserve"> presentan una disminución en el indicador de recaudación debido principalmente a la aplicación de la Resolución Nro. ARCONEL025/2024 emitida con motivo de los Decretos Ejecutivos </w:t>
      </w:r>
      <w:proofErr w:type="spellStart"/>
      <w:r w:rsidRPr="002D7968">
        <w:rPr>
          <w:rFonts w:asciiTheme="majorHAnsi" w:hAnsiTheme="majorHAnsi" w:cstheme="majorHAnsi"/>
          <w:sz w:val="22"/>
          <w:szCs w:val="22"/>
        </w:rPr>
        <w:t>Nros</w:t>
      </w:r>
      <w:proofErr w:type="spellEnd"/>
      <w:r w:rsidRPr="002D7968">
        <w:rPr>
          <w:rFonts w:asciiTheme="majorHAnsi" w:hAnsiTheme="majorHAnsi" w:cstheme="majorHAnsi"/>
          <w:sz w:val="22"/>
          <w:szCs w:val="22"/>
        </w:rPr>
        <w:t xml:space="preserve">. 384 y 442 mediante los cuales, se otorga una compensación del valor equivalente a 180 kW/h al mes en la planilla de los </w:t>
      </w:r>
      <w:r w:rsidRPr="002D7968">
        <w:rPr>
          <w:rFonts w:asciiTheme="majorHAnsi" w:hAnsiTheme="majorHAnsi" w:cstheme="majorHAnsi"/>
          <w:sz w:val="22"/>
          <w:szCs w:val="22"/>
        </w:rPr>
        <w:lastRenderedPageBreak/>
        <w:t>usuarios residenciales del servicio público de energía eléctrica en todo el país, durante los meses de noviembre y diciembre de 2024; y, enero y febrero de 2025</w:t>
      </w:r>
      <w:r>
        <w:rPr>
          <w:rFonts w:asciiTheme="majorHAnsi" w:hAnsiTheme="majorHAnsi" w:cstheme="majorHAnsi"/>
          <w:sz w:val="22"/>
          <w:szCs w:val="22"/>
        </w:rPr>
        <w:t>.</w:t>
      </w:r>
    </w:p>
    <w:p w14:paraId="57F2509E" w14:textId="77777777" w:rsidR="00FD1FAB" w:rsidRPr="00ED332C" w:rsidRDefault="00FD1FAB" w:rsidP="00C420E7"/>
    <w:p w14:paraId="07D4ABA3" w14:textId="77777777" w:rsidR="00C420E7" w:rsidRPr="00FF4B1C" w:rsidRDefault="00C420E7" w:rsidP="00C420E7">
      <w:pPr>
        <w:pStyle w:val="Prrafodelista"/>
        <w:keepNext/>
        <w:keepLines/>
        <w:numPr>
          <w:ilvl w:val="0"/>
          <w:numId w:val="179"/>
        </w:numPr>
        <w:spacing w:before="40"/>
        <w:contextualSpacing w:val="0"/>
        <w:outlineLvl w:val="3"/>
        <w:rPr>
          <w:rFonts w:asciiTheme="majorHAnsi" w:eastAsiaTheme="majorEastAsia" w:hAnsiTheme="majorHAnsi" w:cstheme="majorBidi"/>
          <w:vanish/>
          <w:color w:val="2F5496" w:themeColor="accent1" w:themeShade="BF"/>
        </w:rPr>
      </w:pPr>
      <w:bookmarkStart w:id="342" w:name="_Toc196407853"/>
      <w:bookmarkStart w:id="343" w:name="_Toc196461009"/>
      <w:bookmarkStart w:id="344" w:name="_Toc196464831"/>
      <w:bookmarkStart w:id="345" w:name="_Toc196819081"/>
      <w:bookmarkStart w:id="346" w:name="_Toc196819140"/>
      <w:bookmarkStart w:id="347" w:name="_Toc196819199"/>
      <w:bookmarkStart w:id="348" w:name="_Toc196819314"/>
      <w:bookmarkStart w:id="349" w:name="_Toc196819468"/>
      <w:bookmarkStart w:id="350" w:name="_Toc196819531"/>
      <w:bookmarkStart w:id="351" w:name="_Toc196819674"/>
      <w:bookmarkStart w:id="352" w:name="_Toc196819742"/>
      <w:bookmarkStart w:id="353" w:name="_Toc196819807"/>
      <w:bookmarkStart w:id="354" w:name="_Toc196819872"/>
      <w:bookmarkStart w:id="355" w:name="_Toc196820048"/>
      <w:bookmarkStart w:id="356" w:name="_Toc196820188"/>
      <w:bookmarkStart w:id="357" w:name="_Toc196820498"/>
      <w:bookmarkStart w:id="358" w:name="_Toc196820561"/>
      <w:bookmarkStart w:id="359" w:name="_Toc196820624"/>
      <w:bookmarkStart w:id="360" w:name="_Toc196820687"/>
      <w:bookmarkStart w:id="361" w:name="_Toc196820749"/>
      <w:bookmarkStart w:id="362" w:name="_Toc196820874"/>
      <w:bookmarkStart w:id="363" w:name="_Toc196820933"/>
      <w:bookmarkStart w:id="364" w:name="_Toc196821021"/>
      <w:bookmarkStart w:id="365" w:name="_Toc196821284"/>
      <w:bookmarkStart w:id="366" w:name="_Toc196821830"/>
      <w:bookmarkStart w:id="367" w:name="_Toc196822005"/>
      <w:bookmarkStart w:id="368" w:name="_Toc196822075"/>
      <w:bookmarkStart w:id="369" w:name="_Toc196822270"/>
      <w:bookmarkStart w:id="370" w:name="_Toc197420717"/>
      <w:bookmarkStart w:id="371" w:name="_Toc197440445"/>
      <w:bookmarkStart w:id="372" w:name="_Toc197524814"/>
      <w:bookmarkStart w:id="373" w:name="_Toc197524872"/>
      <w:bookmarkStart w:id="374" w:name="_Toc197525319"/>
      <w:bookmarkStart w:id="375" w:name="_Toc197525376"/>
      <w:bookmarkStart w:id="376" w:name="_Toc197525581"/>
      <w:bookmarkStart w:id="377" w:name="_Toc198032567"/>
      <w:bookmarkStart w:id="378" w:name="_Toc198032631"/>
      <w:bookmarkStart w:id="379" w:name="_Toc198032708"/>
      <w:bookmarkStart w:id="380" w:name="_Toc198042008"/>
      <w:bookmarkStart w:id="381" w:name="_Toc198042064"/>
      <w:bookmarkStart w:id="382" w:name="_Toc198110343"/>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04C939DA" w14:textId="77777777" w:rsidR="00C420E7" w:rsidRPr="00FF4B1C" w:rsidRDefault="00C420E7" w:rsidP="00C420E7">
      <w:pPr>
        <w:pStyle w:val="Prrafodelista"/>
        <w:keepNext/>
        <w:keepLines/>
        <w:numPr>
          <w:ilvl w:val="3"/>
          <w:numId w:val="179"/>
        </w:numPr>
        <w:spacing w:before="40"/>
        <w:contextualSpacing w:val="0"/>
        <w:outlineLvl w:val="3"/>
        <w:rPr>
          <w:rFonts w:asciiTheme="majorHAnsi" w:eastAsiaTheme="majorEastAsia" w:hAnsiTheme="majorHAnsi" w:cstheme="majorBidi"/>
          <w:vanish/>
          <w:color w:val="2F5496" w:themeColor="accent1" w:themeShade="BF"/>
        </w:rPr>
      </w:pPr>
      <w:bookmarkStart w:id="383" w:name="_Toc196407854"/>
      <w:bookmarkStart w:id="384" w:name="_Toc196461010"/>
      <w:bookmarkStart w:id="385" w:name="_Toc196464832"/>
      <w:bookmarkStart w:id="386" w:name="_Toc196819082"/>
      <w:bookmarkStart w:id="387" w:name="_Toc196819141"/>
      <w:bookmarkStart w:id="388" w:name="_Toc196819200"/>
      <w:bookmarkStart w:id="389" w:name="_Toc196819315"/>
      <w:bookmarkStart w:id="390" w:name="_Toc196819469"/>
      <w:bookmarkStart w:id="391" w:name="_Toc196819532"/>
      <w:bookmarkStart w:id="392" w:name="_Toc196819675"/>
      <w:bookmarkStart w:id="393" w:name="_Toc196819743"/>
      <w:bookmarkStart w:id="394" w:name="_Toc196819808"/>
      <w:bookmarkStart w:id="395" w:name="_Toc196819873"/>
      <w:bookmarkStart w:id="396" w:name="_Toc196820049"/>
      <w:bookmarkStart w:id="397" w:name="_Toc196820189"/>
      <w:bookmarkStart w:id="398" w:name="_Toc196820499"/>
      <w:bookmarkStart w:id="399" w:name="_Toc196820562"/>
      <w:bookmarkStart w:id="400" w:name="_Toc196820625"/>
      <w:bookmarkStart w:id="401" w:name="_Toc196820688"/>
      <w:bookmarkStart w:id="402" w:name="_Toc196820750"/>
      <w:bookmarkStart w:id="403" w:name="_Toc196820875"/>
      <w:bookmarkStart w:id="404" w:name="_Toc196820934"/>
      <w:bookmarkStart w:id="405" w:name="_Toc196821022"/>
      <w:bookmarkStart w:id="406" w:name="_Toc196821285"/>
      <w:bookmarkStart w:id="407" w:name="_Toc196821831"/>
      <w:bookmarkStart w:id="408" w:name="_Toc196822006"/>
      <w:bookmarkStart w:id="409" w:name="_Toc196822076"/>
      <w:bookmarkStart w:id="410" w:name="_Toc196822271"/>
      <w:bookmarkStart w:id="411" w:name="_Toc197420718"/>
      <w:bookmarkStart w:id="412" w:name="_Toc197440446"/>
      <w:bookmarkStart w:id="413" w:name="_Toc197524815"/>
      <w:bookmarkStart w:id="414" w:name="_Toc197524873"/>
      <w:bookmarkStart w:id="415" w:name="_Toc197525320"/>
      <w:bookmarkStart w:id="416" w:name="_Toc197525377"/>
      <w:bookmarkStart w:id="417" w:name="_Toc197525582"/>
      <w:bookmarkStart w:id="418" w:name="_Toc198032568"/>
      <w:bookmarkStart w:id="419" w:name="_Toc198032632"/>
      <w:bookmarkStart w:id="420" w:name="_Toc198032709"/>
      <w:bookmarkStart w:id="421" w:name="_Toc198042009"/>
      <w:bookmarkStart w:id="422" w:name="_Toc198042065"/>
      <w:bookmarkStart w:id="423" w:name="_Toc198110344"/>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36BD0510" w14:textId="77777777" w:rsidR="00C420E7" w:rsidRPr="00190089" w:rsidRDefault="00C420E7" w:rsidP="00190089">
      <w:pPr>
        <w:pStyle w:val="Ttulo2"/>
        <w:rPr>
          <w:sz w:val="24"/>
          <w:szCs w:val="24"/>
        </w:rPr>
      </w:pPr>
      <w:bookmarkStart w:id="424" w:name="_Toc198110345"/>
      <w:bookmarkStart w:id="425" w:name="_Toc199759573"/>
      <w:r w:rsidRPr="00190089">
        <w:rPr>
          <w:sz w:val="24"/>
          <w:szCs w:val="24"/>
        </w:rPr>
        <w:t>Gestión de la Expansión y de la Gestión Técnica y Operativa de la Distribución de Energía Eléctrica</w:t>
      </w:r>
      <w:bookmarkEnd w:id="424"/>
      <w:bookmarkEnd w:id="425"/>
      <w:r w:rsidRPr="00190089">
        <w:rPr>
          <w:sz w:val="24"/>
          <w:szCs w:val="24"/>
        </w:rPr>
        <w:t xml:space="preserve"> </w:t>
      </w:r>
    </w:p>
    <w:p w14:paraId="62DFE66B" w14:textId="77777777" w:rsidR="00C420E7" w:rsidRDefault="00C420E7" w:rsidP="00C420E7"/>
    <w:p w14:paraId="49DF645A" w14:textId="2FB7611A" w:rsidR="00C420E7" w:rsidRPr="00213F2B" w:rsidRDefault="00C420E7" w:rsidP="00213F2B">
      <w:pPr>
        <w:pStyle w:val="Ttulo4"/>
        <w:rPr>
          <w:i w:val="0"/>
          <w:sz w:val="22"/>
          <w:szCs w:val="22"/>
        </w:rPr>
      </w:pPr>
      <w:bookmarkStart w:id="426" w:name="_Toc198110347"/>
      <w:r w:rsidRPr="00213F2B">
        <w:rPr>
          <w:i w:val="0"/>
          <w:sz w:val="22"/>
          <w:szCs w:val="22"/>
        </w:rPr>
        <w:t>Gestión Técnica</w:t>
      </w:r>
      <w:bookmarkEnd w:id="426"/>
      <w:r w:rsidRPr="00213F2B">
        <w:rPr>
          <w:i w:val="0"/>
          <w:sz w:val="22"/>
          <w:szCs w:val="22"/>
        </w:rPr>
        <w:t xml:space="preserve"> </w:t>
      </w:r>
    </w:p>
    <w:p w14:paraId="68E076B6" w14:textId="77777777" w:rsidR="00C420E7" w:rsidRDefault="00C420E7" w:rsidP="00C420E7">
      <w:pPr>
        <w:spacing w:before="240" w:after="240"/>
        <w:jc w:val="both"/>
        <w:rPr>
          <w:rFonts w:asciiTheme="majorHAnsi" w:hAnsiTheme="majorHAnsi" w:cstheme="majorHAnsi"/>
          <w:b/>
          <w:sz w:val="22"/>
        </w:rPr>
      </w:pPr>
      <w:r w:rsidRPr="00E93547">
        <w:rPr>
          <w:rFonts w:asciiTheme="majorHAnsi" w:hAnsiTheme="majorHAnsi" w:cstheme="majorHAnsi"/>
          <w:b/>
          <w:sz w:val="22"/>
        </w:rPr>
        <w:t>Inversiones en las fases de Distribución, Subtransmisión y Alumbrado Público</w:t>
      </w:r>
    </w:p>
    <w:p w14:paraId="097C91DE" w14:textId="0BE00556" w:rsidR="00C420E7" w:rsidRDefault="00415726" w:rsidP="00C420E7">
      <w:pPr>
        <w:spacing w:before="240" w:after="240"/>
        <w:jc w:val="both"/>
        <w:rPr>
          <w:rFonts w:asciiTheme="majorHAnsi" w:hAnsiTheme="majorHAnsi" w:cstheme="majorHAnsi"/>
          <w:sz w:val="22"/>
        </w:rPr>
      </w:pPr>
      <w:r>
        <w:rPr>
          <w:rFonts w:asciiTheme="majorHAnsi" w:hAnsiTheme="majorHAnsi" w:cstheme="majorHAnsi"/>
          <w:sz w:val="22"/>
        </w:rPr>
        <w:t>A</w:t>
      </w:r>
      <w:r w:rsidR="00C420E7">
        <w:rPr>
          <w:rFonts w:asciiTheme="majorHAnsi" w:hAnsiTheme="majorHAnsi" w:cstheme="majorHAnsi"/>
          <w:sz w:val="22"/>
        </w:rPr>
        <w:t xml:space="preserve"> </w:t>
      </w:r>
      <w:r w:rsidR="00C420E7" w:rsidRPr="00AA1791">
        <w:rPr>
          <w:rFonts w:asciiTheme="majorHAnsi" w:hAnsiTheme="majorHAnsi" w:cstheme="majorHAnsi"/>
          <w:sz w:val="22"/>
        </w:rPr>
        <w:t xml:space="preserve">nivel nacional, las distribuidoras registran </w:t>
      </w:r>
      <w:r w:rsidR="00C420E7">
        <w:rPr>
          <w:rFonts w:asciiTheme="majorHAnsi" w:hAnsiTheme="majorHAnsi" w:cstheme="majorHAnsi"/>
          <w:sz w:val="22"/>
        </w:rPr>
        <w:t xml:space="preserve">960 </w:t>
      </w:r>
      <w:r w:rsidR="00C420E7" w:rsidRPr="00AA1791">
        <w:rPr>
          <w:rFonts w:asciiTheme="majorHAnsi" w:hAnsiTheme="majorHAnsi" w:cstheme="majorHAnsi"/>
          <w:sz w:val="22"/>
        </w:rPr>
        <w:t xml:space="preserve">proyectos con una inversión de </w:t>
      </w:r>
      <w:r w:rsidR="00C420E7">
        <w:rPr>
          <w:rFonts w:asciiTheme="majorHAnsi" w:hAnsiTheme="majorHAnsi" w:cstheme="majorHAnsi"/>
          <w:sz w:val="22"/>
        </w:rPr>
        <w:t>211,5</w:t>
      </w:r>
      <w:r w:rsidR="00C420E7" w:rsidRPr="00AA1791">
        <w:rPr>
          <w:rFonts w:asciiTheme="majorHAnsi" w:hAnsiTheme="majorHAnsi" w:cstheme="majorHAnsi"/>
          <w:sz w:val="22"/>
        </w:rPr>
        <w:t xml:space="preserve"> MUSD beneficiando a </w:t>
      </w:r>
      <w:r w:rsidR="00C420E7">
        <w:rPr>
          <w:rFonts w:asciiTheme="majorHAnsi" w:hAnsiTheme="majorHAnsi" w:cstheme="majorHAnsi"/>
          <w:sz w:val="22"/>
        </w:rPr>
        <w:t>10,58</w:t>
      </w:r>
      <w:r w:rsidR="00C420E7" w:rsidRPr="00AA1791">
        <w:rPr>
          <w:rFonts w:asciiTheme="majorHAnsi" w:hAnsiTheme="majorHAnsi" w:cstheme="majorHAnsi"/>
          <w:sz w:val="22"/>
        </w:rPr>
        <w:t xml:space="preserve"> millones de ecuatorianos. Estos proyectos contemplan la: construcción de subestaciones de distribución y líneas de subtransmisión, construcción de alimentadores primarios, instalación de centros de transformación e instalación de luminarias con tecnología LED.</w:t>
      </w:r>
    </w:p>
    <w:p w14:paraId="083D4C1F" w14:textId="418698A0" w:rsidR="00213F2B" w:rsidRDefault="00C420E7" w:rsidP="00C420E7">
      <w:pPr>
        <w:spacing w:before="240" w:after="240"/>
        <w:jc w:val="both"/>
        <w:rPr>
          <w:rFonts w:asciiTheme="majorHAnsi" w:hAnsiTheme="majorHAnsi" w:cstheme="majorHAnsi"/>
          <w:sz w:val="22"/>
        </w:rPr>
      </w:pPr>
      <w:r w:rsidRPr="00AA1791">
        <w:rPr>
          <w:rFonts w:asciiTheme="majorHAnsi" w:hAnsiTheme="majorHAnsi" w:cstheme="majorHAnsi"/>
          <w:sz w:val="22"/>
        </w:rPr>
        <w:t>Es así, durante el año 202</w:t>
      </w:r>
      <w:r>
        <w:rPr>
          <w:rFonts w:asciiTheme="majorHAnsi" w:hAnsiTheme="majorHAnsi" w:cstheme="majorHAnsi"/>
          <w:sz w:val="22"/>
        </w:rPr>
        <w:t>4</w:t>
      </w:r>
      <w:r w:rsidRPr="00AA1791">
        <w:rPr>
          <w:rFonts w:asciiTheme="majorHAnsi" w:hAnsiTheme="majorHAnsi" w:cstheme="majorHAnsi"/>
          <w:sz w:val="22"/>
        </w:rPr>
        <w:t xml:space="preserve"> hasta el mes de diciembre el total de luminarias reemplazadas a nivel nacional es de </w:t>
      </w:r>
      <w:r w:rsidRPr="00E1755A">
        <w:rPr>
          <w:rFonts w:asciiTheme="majorHAnsi" w:hAnsiTheme="majorHAnsi" w:cstheme="majorHAnsi"/>
          <w:sz w:val="22"/>
        </w:rPr>
        <w:t>82.938</w:t>
      </w:r>
      <w:r w:rsidRPr="00AA1791">
        <w:rPr>
          <w:rFonts w:asciiTheme="majorHAnsi" w:hAnsiTheme="majorHAnsi" w:cstheme="majorHAnsi"/>
          <w:sz w:val="22"/>
        </w:rPr>
        <w:t xml:space="preserve"> luminarias tipo LED lo que ha contribuido a un ahorro energético de aproximadamente </w:t>
      </w:r>
      <w:r w:rsidRPr="00E1755A">
        <w:rPr>
          <w:rFonts w:asciiTheme="majorHAnsi" w:hAnsiTheme="majorHAnsi" w:cstheme="majorHAnsi"/>
          <w:sz w:val="22"/>
        </w:rPr>
        <w:t>18.92 </w:t>
      </w:r>
      <w:r w:rsidRPr="00AA1791">
        <w:rPr>
          <w:rFonts w:asciiTheme="majorHAnsi" w:hAnsiTheme="majorHAnsi" w:cstheme="majorHAnsi"/>
          <w:sz w:val="22"/>
        </w:rPr>
        <w:t>GWh/año</w:t>
      </w:r>
    </w:p>
    <w:p w14:paraId="63EBAB44" w14:textId="77777777" w:rsidR="00C420E7" w:rsidRPr="008B28FD" w:rsidRDefault="00C420E7" w:rsidP="00C420E7">
      <w:pPr>
        <w:spacing w:before="240" w:after="240"/>
        <w:jc w:val="both"/>
        <w:rPr>
          <w:rFonts w:asciiTheme="majorHAnsi" w:hAnsiTheme="majorHAnsi" w:cstheme="majorHAnsi"/>
          <w:sz w:val="22"/>
        </w:rPr>
      </w:pPr>
      <w:r w:rsidRPr="00AA1791">
        <w:rPr>
          <w:rFonts w:asciiTheme="majorHAnsi" w:hAnsiTheme="majorHAnsi" w:cstheme="majorHAnsi"/>
          <w:sz w:val="22"/>
        </w:rPr>
        <w:t>En la siguiente tabla, se puede visualizar el detalle de la ejecución por etapa funcional:</w:t>
      </w:r>
    </w:p>
    <w:p w14:paraId="63162B7D" w14:textId="3CCC724A" w:rsidR="00C420E7" w:rsidRPr="00B62CFA" w:rsidRDefault="00C420E7" w:rsidP="00C420E7">
      <w:pPr>
        <w:pStyle w:val="Descripcin"/>
        <w:rPr>
          <w:rFonts w:asciiTheme="majorHAnsi" w:hAnsiTheme="majorHAnsi" w:cstheme="majorHAnsi"/>
        </w:rPr>
      </w:pPr>
      <w:bookmarkStart w:id="427" w:name="_Toc198110392"/>
      <w:bookmarkStart w:id="428" w:name="_Toc199759702"/>
      <w:r w:rsidRPr="00B62CFA">
        <w:rPr>
          <w:rFonts w:asciiTheme="majorHAnsi" w:hAnsiTheme="majorHAnsi" w:cstheme="majorHAnsi"/>
        </w:rPr>
        <w:t xml:space="preserve">Tabla </w:t>
      </w:r>
      <w:r w:rsidR="003A269C" w:rsidRPr="00B62CFA">
        <w:rPr>
          <w:rFonts w:asciiTheme="majorHAnsi" w:hAnsiTheme="majorHAnsi" w:cstheme="majorHAnsi"/>
        </w:rPr>
        <w:fldChar w:fldCharType="begin"/>
      </w:r>
      <w:r w:rsidR="003A269C" w:rsidRPr="00B62CFA">
        <w:rPr>
          <w:rFonts w:asciiTheme="majorHAnsi" w:hAnsiTheme="majorHAnsi" w:cstheme="majorHAnsi"/>
        </w:rPr>
        <w:instrText xml:space="preserve"> SEQ Tabla \* ARABIC </w:instrText>
      </w:r>
      <w:r w:rsidR="003A269C" w:rsidRPr="00B62CFA">
        <w:rPr>
          <w:rFonts w:asciiTheme="majorHAnsi" w:hAnsiTheme="majorHAnsi" w:cstheme="majorHAnsi"/>
        </w:rPr>
        <w:fldChar w:fldCharType="separate"/>
      </w:r>
      <w:r w:rsidR="00CF0AD2">
        <w:rPr>
          <w:rFonts w:asciiTheme="majorHAnsi" w:hAnsiTheme="majorHAnsi" w:cstheme="majorHAnsi"/>
          <w:noProof/>
        </w:rPr>
        <w:t>32</w:t>
      </w:r>
      <w:r w:rsidR="003A269C" w:rsidRPr="00B62CFA">
        <w:rPr>
          <w:rFonts w:asciiTheme="majorHAnsi" w:hAnsiTheme="majorHAnsi" w:cstheme="majorHAnsi"/>
          <w:noProof/>
        </w:rPr>
        <w:fldChar w:fldCharType="end"/>
      </w:r>
      <w:r w:rsidR="00192E54">
        <w:rPr>
          <w:rFonts w:asciiTheme="majorHAnsi" w:hAnsiTheme="majorHAnsi" w:cstheme="majorHAnsi"/>
        </w:rPr>
        <w:t xml:space="preserve">: </w:t>
      </w:r>
      <w:r w:rsidRPr="00B62CFA">
        <w:rPr>
          <w:rFonts w:asciiTheme="majorHAnsi" w:hAnsiTheme="majorHAnsi" w:cstheme="majorHAnsi"/>
        </w:rPr>
        <w:t>Inversión recursos propios etapas de Subtransmisión - Distribución – SAPG</w:t>
      </w:r>
      <w:bookmarkEnd w:id="427"/>
      <w:bookmarkEnd w:id="428"/>
    </w:p>
    <w:tbl>
      <w:tblPr>
        <w:tblW w:w="6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9"/>
        <w:gridCol w:w="1193"/>
        <w:gridCol w:w="1642"/>
        <w:gridCol w:w="1540"/>
      </w:tblGrid>
      <w:tr w:rsidR="00C420E7" w:rsidRPr="005A15DF" w14:paraId="413F4A42" w14:textId="77777777" w:rsidTr="000A4588">
        <w:trPr>
          <w:trHeight w:val="300"/>
          <w:jc w:val="center"/>
        </w:trPr>
        <w:tc>
          <w:tcPr>
            <w:tcW w:w="2269" w:type="dxa"/>
            <w:shd w:val="clear" w:color="5B9BD5" w:fill="5B9BD5"/>
            <w:noWrap/>
            <w:vAlign w:val="center"/>
            <w:hideMark/>
          </w:tcPr>
          <w:p w14:paraId="648F47CE" w14:textId="77777777" w:rsidR="00C420E7" w:rsidRPr="005A15DF" w:rsidRDefault="00C420E7" w:rsidP="000A4588">
            <w:pPr>
              <w:jc w:val="center"/>
              <w:rPr>
                <w:rFonts w:ascii="Calibri Light" w:eastAsia="Times New Roman" w:hAnsi="Calibri Light" w:cs="Calibri Light"/>
                <w:b/>
                <w:bCs/>
                <w:color w:val="FFFFFF"/>
                <w:sz w:val="18"/>
                <w:szCs w:val="18"/>
                <w:lang w:eastAsia="es-EC"/>
              </w:rPr>
            </w:pPr>
            <w:r w:rsidRPr="005A15DF">
              <w:rPr>
                <w:rFonts w:ascii="Calibri Light" w:eastAsia="Times New Roman" w:hAnsi="Calibri Light" w:cs="Calibri Light"/>
                <w:b/>
                <w:bCs/>
                <w:color w:val="FFFFFF"/>
                <w:sz w:val="18"/>
                <w:szCs w:val="18"/>
                <w:lang w:eastAsia="es-EC"/>
              </w:rPr>
              <w:t>Etapa funcional</w:t>
            </w:r>
          </w:p>
        </w:tc>
        <w:tc>
          <w:tcPr>
            <w:tcW w:w="1193" w:type="dxa"/>
            <w:shd w:val="clear" w:color="5B9BD5" w:fill="5B9BD5"/>
            <w:vAlign w:val="center"/>
          </w:tcPr>
          <w:p w14:paraId="67C28B2A" w14:textId="77777777" w:rsidR="00C420E7" w:rsidRPr="005A15DF" w:rsidRDefault="00C420E7" w:rsidP="000A4588">
            <w:pPr>
              <w:jc w:val="center"/>
              <w:rPr>
                <w:rFonts w:ascii="Calibri Light" w:eastAsia="Times New Roman" w:hAnsi="Calibri Light" w:cs="Calibri Light"/>
                <w:b/>
                <w:bCs/>
                <w:color w:val="FFFFFF"/>
                <w:sz w:val="18"/>
                <w:szCs w:val="18"/>
                <w:lang w:eastAsia="es-EC"/>
              </w:rPr>
            </w:pPr>
            <w:r w:rsidRPr="005A15DF">
              <w:rPr>
                <w:rFonts w:ascii="Calibri Light" w:eastAsia="Times New Roman" w:hAnsi="Calibri Light" w:cs="Calibri Light"/>
                <w:b/>
                <w:bCs/>
                <w:color w:val="FFFFFF"/>
                <w:sz w:val="18"/>
                <w:szCs w:val="18"/>
                <w:lang w:eastAsia="es-EC"/>
              </w:rPr>
              <w:t>Proyectos</w:t>
            </w:r>
          </w:p>
        </w:tc>
        <w:tc>
          <w:tcPr>
            <w:tcW w:w="1642" w:type="dxa"/>
            <w:shd w:val="clear" w:color="5B9BD5" w:fill="5B9BD5"/>
            <w:vAlign w:val="center"/>
          </w:tcPr>
          <w:p w14:paraId="2D61C897" w14:textId="77777777" w:rsidR="00C420E7" w:rsidRPr="005A15DF" w:rsidRDefault="00C420E7" w:rsidP="000A4588">
            <w:pPr>
              <w:jc w:val="center"/>
              <w:rPr>
                <w:rFonts w:ascii="Calibri Light" w:eastAsia="Times New Roman" w:hAnsi="Calibri Light" w:cs="Calibri Light"/>
                <w:b/>
                <w:bCs/>
                <w:color w:val="FFFFFF"/>
                <w:sz w:val="18"/>
                <w:szCs w:val="18"/>
                <w:lang w:eastAsia="es-EC"/>
              </w:rPr>
            </w:pPr>
            <w:r w:rsidRPr="005A15DF">
              <w:rPr>
                <w:rFonts w:ascii="Calibri Light" w:eastAsia="Times New Roman" w:hAnsi="Calibri Light" w:cs="Calibri Light"/>
                <w:b/>
                <w:bCs/>
                <w:color w:val="FFFFFF"/>
                <w:sz w:val="18"/>
                <w:szCs w:val="18"/>
                <w:lang w:eastAsia="es-EC"/>
              </w:rPr>
              <w:t>Inversión (</w:t>
            </w:r>
            <w:r>
              <w:rPr>
                <w:rFonts w:ascii="Calibri Light" w:eastAsia="Times New Roman" w:hAnsi="Calibri Light" w:cs="Calibri Light"/>
                <w:b/>
                <w:bCs/>
                <w:color w:val="FFFFFF"/>
                <w:sz w:val="18"/>
                <w:szCs w:val="18"/>
                <w:lang w:eastAsia="es-EC"/>
              </w:rPr>
              <w:t>USD</w:t>
            </w:r>
            <w:r w:rsidRPr="005A15DF">
              <w:rPr>
                <w:rFonts w:ascii="Calibri Light" w:eastAsia="Times New Roman" w:hAnsi="Calibri Light" w:cs="Calibri Light"/>
                <w:b/>
                <w:bCs/>
                <w:color w:val="FFFFFF"/>
                <w:sz w:val="18"/>
                <w:szCs w:val="18"/>
                <w:lang w:eastAsia="es-EC"/>
              </w:rPr>
              <w:t>)</w:t>
            </w:r>
          </w:p>
        </w:tc>
        <w:tc>
          <w:tcPr>
            <w:tcW w:w="1540" w:type="dxa"/>
            <w:shd w:val="clear" w:color="5B9BD5" w:fill="5B9BD5"/>
            <w:noWrap/>
            <w:vAlign w:val="center"/>
            <w:hideMark/>
          </w:tcPr>
          <w:p w14:paraId="1B5905C6" w14:textId="77777777" w:rsidR="00C420E7" w:rsidRPr="005A15DF" w:rsidRDefault="00C420E7" w:rsidP="000A4588">
            <w:pPr>
              <w:jc w:val="center"/>
              <w:rPr>
                <w:rFonts w:ascii="Calibri Light" w:eastAsia="Times New Roman" w:hAnsi="Calibri Light" w:cs="Calibri Light"/>
                <w:b/>
                <w:bCs/>
                <w:color w:val="FFFFFF"/>
                <w:sz w:val="18"/>
                <w:szCs w:val="18"/>
                <w:lang w:eastAsia="es-EC"/>
              </w:rPr>
            </w:pPr>
            <w:r w:rsidRPr="005A15DF">
              <w:rPr>
                <w:rFonts w:ascii="Calibri Light" w:eastAsia="Times New Roman" w:hAnsi="Calibri Light" w:cs="Calibri Light"/>
                <w:b/>
                <w:bCs/>
                <w:color w:val="FFFFFF"/>
                <w:sz w:val="18"/>
                <w:szCs w:val="18"/>
                <w:lang w:eastAsia="es-EC"/>
              </w:rPr>
              <w:t>Beneficiarios</w:t>
            </w:r>
          </w:p>
        </w:tc>
      </w:tr>
      <w:tr w:rsidR="00C420E7" w:rsidRPr="005A15DF" w14:paraId="0CEB2FE2" w14:textId="77777777" w:rsidTr="000A4588">
        <w:trPr>
          <w:trHeight w:val="300"/>
          <w:jc w:val="center"/>
        </w:trPr>
        <w:tc>
          <w:tcPr>
            <w:tcW w:w="2269" w:type="dxa"/>
            <w:shd w:val="clear" w:color="auto" w:fill="auto"/>
            <w:noWrap/>
            <w:vAlign w:val="bottom"/>
          </w:tcPr>
          <w:p w14:paraId="34108AD6" w14:textId="77777777" w:rsidR="00C420E7" w:rsidRPr="005A15DF" w:rsidRDefault="00C420E7" w:rsidP="000A4588">
            <w:pPr>
              <w:rPr>
                <w:rFonts w:ascii="Calibri Light" w:eastAsia="Times New Roman" w:hAnsi="Calibri Light" w:cs="Calibri Light"/>
                <w:color w:val="000000"/>
                <w:sz w:val="18"/>
                <w:szCs w:val="18"/>
                <w:lang w:eastAsia="es-EC"/>
              </w:rPr>
            </w:pPr>
            <w:r w:rsidRPr="005A15DF">
              <w:rPr>
                <w:rFonts w:ascii="Calibri Light" w:eastAsia="Times New Roman" w:hAnsi="Calibri Light" w:cs="Calibri Light"/>
                <w:color w:val="000000"/>
                <w:sz w:val="18"/>
                <w:szCs w:val="18"/>
                <w:lang w:eastAsia="es-EC"/>
              </w:rPr>
              <w:t>Subtransmisión</w:t>
            </w:r>
          </w:p>
        </w:tc>
        <w:tc>
          <w:tcPr>
            <w:tcW w:w="1193" w:type="dxa"/>
          </w:tcPr>
          <w:p w14:paraId="79AB0ACE" w14:textId="77777777" w:rsidR="00C420E7" w:rsidRPr="005A15DF" w:rsidRDefault="00C420E7" w:rsidP="000A4588">
            <w:pPr>
              <w:jc w:val="center"/>
              <w:rPr>
                <w:rFonts w:ascii="Calibri Light" w:eastAsia="Times New Roman" w:hAnsi="Calibri Light" w:cs="Calibri Light"/>
                <w:color w:val="000000"/>
                <w:sz w:val="18"/>
                <w:szCs w:val="18"/>
                <w:lang w:eastAsia="es-EC"/>
              </w:rPr>
            </w:pPr>
            <w:r w:rsidRPr="005A15DF">
              <w:rPr>
                <w:rFonts w:ascii="Calibri Light" w:eastAsia="Times New Roman" w:hAnsi="Calibri Light" w:cs="Calibri Light"/>
                <w:color w:val="000000"/>
                <w:sz w:val="18"/>
                <w:szCs w:val="18"/>
                <w:lang w:eastAsia="es-EC"/>
              </w:rPr>
              <w:t>58</w:t>
            </w:r>
          </w:p>
        </w:tc>
        <w:tc>
          <w:tcPr>
            <w:tcW w:w="1642" w:type="dxa"/>
          </w:tcPr>
          <w:p w14:paraId="31CA8396" w14:textId="77777777" w:rsidR="00C420E7" w:rsidRPr="005A15DF" w:rsidRDefault="00C420E7" w:rsidP="000A4588">
            <w:pPr>
              <w:jc w:val="center"/>
              <w:rPr>
                <w:rFonts w:ascii="Calibri Light" w:eastAsia="Times New Roman" w:hAnsi="Calibri Light" w:cs="Calibri Light"/>
                <w:color w:val="000000"/>
                <w:sz w:val="18"/>
                <w:szCs w:val="18"/>
                <w:lang w:eastAsia="es-EC"/>
              </w:rPr>
            </w:pPr>
            <w:r w:rsidRPr="005A15DF">
              <w:rPr>
                <w:rFonts w:ascii="Calibri Light" w:eastAsia="Times New Roman" w:hAnsi="Calibri Light" w:cs="Calibri Light"/>
                <w:color w:val="000000"/>
                <w:sz w:val="18"/>
                <w:szCs w:val="18"/>
                <w:lang w:eastAsia="es-EC"/>
              </w:rPr>
              <w:t>52.805.430,30</w:t>
            </w:r>
          </w:p>
        </w:tc>
        <w:tc>
          <w:tcPr>
            <w:tcW w:w="1540" w:type="dxa"/>
            <w:shd w:val="clear" w:color="auto" w:fill="auto"/>
            <w:noWrap/>
          </w:tcPr>
          <w:p w14:paraId="4126E9FC" w14:textId="77777777" w:rsidR="00C420E7" w:rsidRPr="005A15DF" w:rsidRDefault="00C420E7" w:rsidP="000A4588">
            <w:pPr>
              <w:jc w:val="center"/>
              <w:rPr>
                <w:rFonts w:ascii="Calibri Light" w:eastAsia="Times New Roman" w:hAnsi="Calibri Light" w:cs="Calibri Light"/>
                <w:color w:val="000000"/>
                <w:sz w:val="18"/>
                <w:szCs w:val="18"/>
                <w:lang w:eastAsia="es-EC"/>
              </w:rPr>
            </w:pPr>
            <w:r w:rsidRPr="005A15DF">
              <w:rPr>
                <w:rFonts w:ascii="Calibri Light" w:eastAsia="Times New Roman" w:hAnsi="Calibri Light" w:cs="Calibri Light"/>
                <w:color w:val="000000"/>
                <w:sz w:val="18"/>
                <w:szCs w:val="18"/>
                <w:lang w:eastAsia="es-EC"/>
              </w:rPr>
              <w:t>6.449.055</w:t>
            </w:r>
          </w:p>
        </w:tc>
      </w:tr>
      <w:tr w:rsidR="00C420E7" w:rsidRPr="005A15DF" w14:paraId="7F8890C3" w14:textId="77777777" w:rsidTr="000A4588">
        <w:trPr>
          <w:trHeight w:val="300"/>
          <w:jc w:val="center"/>
        </w:trPr>
        <w:tc>
          <w:tcPr>
            <w:tcW w:w="2269" w:type="dxa"/>
            <w:shd w:val="clear" w:color="auto" w:fill="auto"/>
            <w:noWrap/>
            <w:vAlign w:val="bottom"/>
          </w:tcPr>
          <w:p w14:paraId="3598A195" w14:textId="77777777" w:rsidR="00C420E7" w:rsidRPr="005A15DF" w:rsidRDefault="00C420E7" w:rsidP="000A4588">
            <w:pPr>
              <w:rPr>
                <w:rFonts w:ascii="Calibri Light" w:eastAsia="Times New Roman" w:hAnsi="Calibri Light" w:cs="Calibri Light"/>
                <w:color w:val="000000"/>
                <w:sz w:val="18"/>
                <w:szCs w:val="18"/>
                <w:lang w:eastAsia="es-EC"/>
              </w:rPr>
            </w:pPr>
            <w:r w:rsidRPr="005A15DF">
              <w:rPr>
                <w:rFonts w:ascii="Calibri Light" w:eastAsia="Times New Roman" w:hAnsi="Calibri Light" w:cs="Calibri Light"/>
                <w:color w:val="000000"/>
                <w:sz w:val="18"/>
                <w:szCs w:val="18"/>
                <w:lang w:eastAsia="es-EC"/>
              </w:rPr>
              <w:t>Distribución</w:t>
            </w:r>
          </w:p>
        </w:tc>
        <w:tc>
          <w:tcPr>
            <w:tcW w:w="1193" w:type="dxa"/>
          </w:tcPr>
          <w:p w14:paraId="3B7B989C" w14:textId="77777777" w:rsidR="00C420E7" w:rsidRPr="005A15DF" w:rsidRDefault="00C420E7" w:rsidP="000A4588">
            <w:pPr>
              <w:jc w:val="center"/>
              <w:rPr>
                <w:rFonts w:ascii="Calibri Light" w:eastAsia="Times New Roman" w:hAnsi="Calibri Light" w:cs="Calibri Light"/>
                <w:color w:val="000000"/>
                <w:sz w:val="18"/>
                <w:szCs w:val="18"/>
                <w:lang w:eastAsia="es-EC"/>
              </w:rPr>
            </w:pPr>
            <w:r w:rsidRPr="005A15DF">
              <w:rPr>
                <w:rFonts w:ascii="Calibri Light" w:eastAsia="Times New Roman" w:hAnsi="Calibri Light" w:cs="Calibri Light"/>
                <w:color w:val="000000"/>
                <w:sz w:val="18"/>
                <w:szCs w:val="18"/>
                <w:lang w:eastAsia="es-EC"/>
              </w:rPr>
              <w:t>649</w:t>
            </w:r>
          </w:p>
        </w:tc>
        <w:tc>
          <w:tcPr>
            <w:tcW w:w="1642" w:type="dxa"/>
          </w:tcPr>
          <w:p w14:paraId="0F9A7D74" w14:textId="77777777" w:rsidR="00C420E7" w:rsidRPr="005A15DF" w:rsidRDefault="00C420E7" w:rsidP="000A4588">
            <w:pPr>
              <w:jc w:val="center"/>
              <w:rPr>
                <w:rFonts w:ascii="Calibri Light" w:eastAsia="Times New Roman" w:hAnsi="Calibri Light" w:cs="Calibri Light"/>
                <w:color w:val="000000"/>
                <w:sz w:val="18"/>
                <w:szCs w:val="18"/>
                <w:lang w:eastAsia="es-EC"/>
              </w:rPr>
            </w:pPr>
            <w:r w:rsidRPr="005A15DF">
              <w:rPr>
                <w:rFonts w:ascii="Calibri Light" w:eastAsia="Times New Roman" w:hAnsi="Calibri Light" w:cs="Calibri Light"/>
                <w:color w:val="000000"/>
                <w:sz w:val="18"/>
                <w:szCs w:val="18"/>
                <w:lang w:eastAsia="es-EC"/>
              </w:rPr>
              <w:t>117.035.363,30</w:t>
            </w:r>
          </w:p>
        </w:tc>
        <w:tc>
          <w:tcPr>
            <w:tcW w:w="1540" w:type="dxa"/>
            <w:shd w:val="clear" w:color="auto" w:fill="auto"/>
            <w:noWrap/>
          </w:tcPr>
          <w:p w14:paraId="34CB8A62" w14:textId="77777777" w:rsidR="00C420E7" w:rsidRPr="005A15DF" w:rsidRDefault="00C420E7" w:rsidP="000A4588">
            <w:pPr>
              <w:jc w:val="center"/>
              <w:rPr>
                <w:rFonts w:ascii="Calibri Light" w:eastAsia="Times New Roman" w:hAnsi="Calibri Light" w:cs="Calibri Light"/>
                <w:color w:val="000000"/>
                <w:sz w:val="18"/>
                <w:szCs w:val="18"/>
                <w:lang w:eastAsia="es-EC"/>
              </w:rPr>
            </w:pPr>
            <w:r w:rsidRPr="005A15DF">
              <w:rPr>
                <w:rFonts w:ascii="Calibri Light" w:eastAsia="Times New Roman" w:hAnsi="Calibri Light" w:cs="Calibri Light"/>
                <w:color w:val="000000"/>
                <w:sz w:val="18"/>
                <w:szCs w:val="18"/>
                <w:lang w:eastAsia="es-EC"/>
              </w:rPr>
              <w:t>1.817.298</w:t>
            </w:r>
          </w:p>
        </w:tc>
      </w:tr>
      <w:tr w:rsidR="00C420E7" w:rsidRPr="005A15DF" w14:paraId="5CFB3E54" w14:textId="77777777" w:rsidTr="000A4588">
        <w:trPr>
          <w:trHeight w:val="300"/>
          <w:jc w:val="center"/>
        </w:trPr>
        <w:tc>
          <w:tcPr>
            <w:tcW w:w="2269" w:type="dxa"/>
            <w:shd w:val="clear" w:color="auto" w:fill="auto"/>
            <w:noWrap/>
            <w:vAlign w:val="bottom"/>
          </w:tcPr>
          <w:p w14:paraId="35268DC3" w14:textId="77777777" w:rsidR="00C420E7" w:rsidRPr="005A15DF" w:rsidRDefault="00C420E7" w:rsidP="000A4588">
            <w:pPr>
              <w:rPr>
                <w:rFonts w:ascii="Calibri Light" w:eastAsia="Times New Roman" w:hAnsi="Calibri Light" w:cs="Calibri Light"/>
                <w:color w:val="000000"/>
                <w:sz w:val="18"/>
                <w:szCs w:val="18"/>
                <w:lang w:eastAsia="es-EC"/>
              </w:rPr>
            </w:pPr>
            <w:r w:rsidRPr="005A15DF">
              <w:rPr>
                <w:rFonts w:ascii="Calibri Light" w:eastAsia="Times New Roman" w:hAnsi="Calibri Light" w:cs="Calibri Light"/>
                <w:color w:val="000000"/>
                <w:sz w:val="18"/>
                <w:szCs w:val="18"/>
                <w:lang w:eastAsia="es-EC"/>
              </w:rPr>
              <w:t>Alumbrado Público</w:t>
            </w:r>
          </w:p>
        </w:tc>
        <w:tc>
          <w:tcPr>
            <w:tcW w:w="1193" w:type="dxa"/>
          </w:tcPr>
          <w:p w14:paraId="231954AC" w14:textId="77777777" w:rsidR="00C420E7" w:rsidRPr="005A15DF" w:rsidRDefault="00C420E7" w:rsidP="000A4588">
            <w:pPr>
              <w:jc w:val="center"/>
              <w:rPr>
                <w:rFonts w:ascii="Calibri Light" w:eastAsia="Times New Roman" w:hAnsi="Calibri Light" w:cs="Calibri Light"/>
                <w:color w:val="000000"/>
                <w:sz w:val="18"/>
                <w:szCs w:val="18"/>
                <w:lang w:eastAsia="es-EC"/>
              </w:rPr>
            </w:pPr>
            <w:r w:rsidRPr="005A15DF">
              <w:rPr>
                <w:rFonts w:ascii="Calibri Light" w:eastAsia="Times New Roman" w:hAnsi="Calibri Light" w:cs="Calibri Light"/>
                <w:color w:val="000000"/>
                <w:sz w:val="18"/>
                <w:szCs w:val="18"/>
                <w:lang w:eastAsia="es-EC"/>
              </w:rPr>
              <w:t>253</w:t>
            </w:r>
          </w:p>
        </w:tc>
        <w:tc>
          <w:tcPr>
            <w:tcW w:w="1642" w:type="dxa"/>
          </w:tcPr>
          <w:p w14:paraId="1DD2145E" w14:textId="77777777" w:rsidR="00C420E7" w:rsidRPr="005A15DF" w:rsidRDefault="00C420E7" w:rsidP="000A4588">
            <w:pPr>
              <w:jc w:val="center"/>
              <w:rPr>
                <w:rFonts w:ascii="Calibri Light" w:eastAsia="Times New Roman" w:hAnsi="Calibri Light" w:cs="Calibri Light"/>
                <w:color w:val="000000"/>
                <w:sz w:val="18"/>
                <w:szCs w:val="18"/>
                <w:lang w:eastAsia="es-EC"/>
              </w:rPr>
            </w:pPr>
            <w:r w:rsidRPr="005A15DF">
              <w:rPr>
                <w:rFonts w:ascii="Calibri Light" w:eastAsia="Times New Roman" w:hAnsi="Calibri Light" w:cs="Calibri Light"/>
                <w:color w:val="000000"/>
                <w:sz w:val="18"/>
                <w:szCs w:val="18"/>
                <w:lang w:eastAsia="es-EC"/>
              </w:rPr>
              <w:t>41.677.346,10</w:t>
            </w:r>
          </w:p>
        </w:tc>
        <w:tc>
          <w:tcPr>
            <w:tcW w:w="1540" w:type="dxa"/>
            <w:shd w:val="clear" w:color="auto" w:fill="auto"/>
            <w:noWrap/>
          </w:tcPr>
          <w:p w14:paraId="1F64115F" w14:textId="77777777" w:rsidR="00C420E7" w:rsidRPr="005A15DF" w:rsidRDefault="00C420E7" w:rsidP="000A4588">
            <w:pPr>
              <w:jc w:val="center"/>
              <w:rPr>
                <w:rFonts w:ascii="Calibri Light" w:eastAsia="Times New Roman" w:hAnsi="Calibri Light" w:cs="Calibri Light"/>
                <w:color w:val="000000"/>
                <w:sz w:val="18"/>
                <w:szCs w:val="18"/>
                <w:lang w:eastAsia="es-EC"/>
              </w:rPr>
            </w:pPr>
            <w:r w:rsidRPr="005A15DF">
              <w:rPr>
                <w:rFonts w:ascii="Calibri Light" w:eastAsia="Times New Roman" w:hAnsi="Calibri Light" w:cs="Calibri Light"/>
                <w:color w:val="000000"/>
                <w:sz w:val="18"/>
                <w:szCs w:val="18"/>
                <w:lang w:eastAsia="es-EC"/>
              </w:rPr>
              <w:t>2.320.719</w:t>
            </w:r>
          </w:p>
        </w:tc>
      </w:tr>
      <w:tr w:rsidR="00C420E7" w:rsidRPr="005A15DF" w14:paraId="25DAC477" w14:textId="77777777" w:rsidTr="000A4588">
        <w:trPr>
          <w:trHeight w:val="300"/>
          <w:jc w:val="center"/>
        </w:trPr>
        <w:tc>
          <w:tcPr>
            <w:tcW w:w="2269" w:type="dxa"/>
            <w:shd w:val="clear" w:color="auto" w:fill="auto"/>
            <w:noWrap/>
            <w:vAlign w:val="bottom"/>
            <w:hideMark/>
          </w:tcPr>
          <w:p w14:paraId="2D930E09" w14:textId="77777777" w:rsidR="00C420E7" w:rsidRPr="005A15DF" w:rsidRDefault="00C420E7" w:rsidP="000A4588">
            <w:pPr>
              <w:rPr>
                <w:rFonts w:ascii="Calibri Light" w:eastAsia="Times New Roman" w:hAnsi="Calibri Light" w:cs="Calibri Light"/>
                <w:b/>
                <w:bCs/>
                <w:color w:val="000000"/>
                <w:sz w:val="18"/>
                <w:szCs w:val="18"/>
                <w:lang w:eastAsia="es-EC"/>
              </w:rPr>
            </w:pPr>
            <w:r w:rsidRPr="005A15DF">
              <w:rPr>
                <w:rFonts w:ascii="Calibri Light" w:eastAsia="Times New Roman" w:hAnsi="Calibri Light" w:cs="Calibri Light"/>
                <w:b/>
                <w:bCs/>
                <w:color w:val="000000"/>
                <w:sz w:val="18"/>
                <w:szCs w:val="18"/>
                <w:lang w:eastAsia="es-EC"/>
              </w:rPr>
              <w:t>Total</w:t>
            </w:r>
          </w:p>
        </w:tc>
        <w:tc>
          <w:tcPr>
            <w:tcW w:w="1193" w:type="dxa"/>
          </w:tcPr>
          <w:p w14:paraId="7D8E29DC" w14:textId="77777777" w:rsidR="00C420E7" w:rsidRPr="005A15DF" w:rsidRDefault="00C420E7" w:rsidP="000A4588">
            <w:pPr>
              <w:jc w:val="center"/>
              <w:rPr>
                <w:rFonts w:ascii="Calibri Light" w:eastAsia="Times New Roman" w:hAnsi="Calibri Light" w:cs="Calibri Light"/>
                <w:b/>
                <w:bCs/>
                <w:color w:val="000000"/>
                <w:sz w:val="18"/>
                <w:szCs w:val="18"/>
                <w:lang w:eastAsia="es-EC"/>
              </w:rPr>
            </w:pPr>
            <w:r w:rsidRPr="005A15DF">
              <w:rPr>
                <w:rFonts w:ascii="Calibri Light" w:eastAsia="Times New Roman" w:hAnsi="Calibri Light" w:cs="Calibri Light"/>
                <w:b/>
                <w:bCs/>
                <w:color w:val="000000"/>
                <w:sz w:val="18"/>
                <w:szCs w:val="18"/>
                <w:lang w:eastAsia="es-EC"/>
              </w:rPr>
              <w:t>960</w:t>
            </w:r>
          </w:p>
        </w:tc>
        <w:tc>
          <w:tcPr>
            <w:tcW w:w="1642" w:type="dxa"/>
          </w:tcPr>
          <w:p w14:paraId="51E8DEC6" w14:textId="77777777" w:rsidR="00C420E7" w:rsidRPr="005A15DF" w:rsidRDefault="00C420E7" w:rsidP="000A4588">
            <w:pPr>
              <w:jc w:val="center"/>
              <w:rPr>
                <w:rFonts w:ascii="Calibri Light" w:eastAsia="Times New Roman" w:hAnsi="Calibri Light" w:cs="Calibri Light"/>
                <w:b/>
                <w:bCs/>
                <w:color w:val="000000"/>
                <w:sz w:val="18"/>
                <w:szCs w:val="18"/>
                <w:lang w:eastAsia="es-EC"/>
              </w:rPr>
            </w:pPr>
            <w:r w:rsidRPr="005A15DF">
              <w:rPr>
                <w:rFonts w:ascii="Calibri Light" w:eastAsia="Times New Roman" w:hAnsi="Calibri Light" w:cs="Calibri Light"/>
                <w:b/>
                <w:bCs/>
                <w:color w:val="000000"/>
                <w:sz w:val="18"/>
                <w:szCs w:val="18"/>
                <w:lang w:eastAsia="es-EC"/>
              </w:rPr>
              <w:t>211.518.139,70</w:t>
            </w:r>
          </w:p>
        </w:tc>
        <w:tc>
          <w:tcPr>
            <w:tcW w:w="1540" w:type="dxa"/>
            <w:shd w:val="clear" w:color="auto" w:fill="auto"/>
            <w:noWrap/>
          </w:tcPr>
          <w:p w14:paraId="6DB72386" w14:textId="77777777" w:rsidR="00C420E7" w:rsidRPr="005A15DF" w:rsidRDefault="00C420E7" w:rsidP="000A4588">
            <w:pPr>
              <w:jc w:val="center"/>
              <w:rPr>
                <w:rFonts w:ascii="Calibri Light" w:eastAsia="Times New Roman" w:hAnsi="Calibri Light" w:cs="Calibri Light"/>
                <w:b/>
                <w:bCs/>
                <w:color w:val="000000"/>
                <w:sz w:val="18"/>
                <w:szCs w:val="18"/>
                <w:lang w:eastAsia="es-EC"/>
              </w:rPr>
            </w:pPr>
            <w:r w:rsidRPr="005A15DF">
              <w:rPr>
                <w:rFonts w:ascii="Calibri Light" w:eastAsia="Times New Roman" w:hAnsi="Calibri Light" w:cs="Calibri Light"/>
                <w:b/>
                <w:bCs/>
                <w:color w:val="000000"/>
                <w:sz w:val="18"/>
                <w:szCs w:val="18"/>
                <w:lang w:eastAsia="es-EC"/>
              </w:rPr>
              <w:t>10.587.072</w:t>
            </w:r>
          </w:p>
        </w:tc>
      </w:tr>
    </w:tbl>
    <w:p w14:paraId="79878824" w14:textId="329E0945" w:rsidR="00C420E7" w:rsidRPr="00213F2B" w:rsidRDefault="00C420E7" w:rsidP="00213F2B">
      <w:pPr>
        <w:jc w:val="center"/>
        <w:rPr>
          <w:rFonts w:asciiTheme="majorHAnsi" w:hAnsiTheme="majorHAnsi" w:cstheme="majorHAnsi"/>
          <w:i/>
          <w:color w:val="7F7F7F" w:themeColor="text1" w:themeTint="80"/>
          <w:sz w:val="18"/>
          <w:szCs w:val="18"/>
        </w:rPr>
      </w:pPr>
      <w:r w:rsidRPr="00B62CFA">
        <w:rPr>
          <w:rFonts w:asciiTheme="majorHAnsi" w:hAnsiTheme="majorHAnsi" w:cstheme="majorHAnsi"/>
          <w:i/>
          <w:color w:val="7F7F7F" w:themeColor="text1" w:themeTint="80"/>
          <w:sz w:val="18"/>
          <w:szCs w:val="18"/>
        </w:rPr>
        <w:t>Fuente: Dirección Expansión y de la Gestión Técnica y Operativa de la Distribución de Energía Eléctrica año 2024</w:t>
      </w:r>
    </w:p>
    <w:p w14:paraId="5F7EC2F0" w14:textId="77777777" w:rsidR="00C420E7" w:rsidRPr="00D2135E" w:rsidRDefault="00C420E7" w:rsidP="00C420E7">
      <w:pPr>
        <w:spacing w:before="240" w:after="240"/>
        <w:jc w:val="both"/>
        <w:rPr>
          <w:rFonts w:asciiTheme="majorHAnsi" w:hAnsiTheme="majorHAnsi" w:cstheme="majorHAnsi"/>
          <w:b/>
          <w:bCs/>
          <w:sz w:val="22"/>
        </w:rPr>
      </w:pPr>
      <w:r w:rsidRPr="00D2135E">
        <w:rPr>
          <w:rFonts w:asciiTheme="majorHAnsi" w:hAnsiTheme="majorHAnsi" w:cstheme="majorHAnsi"/>
          <w:b/>
          <w:bCs/>
          <w:sz w:val="22"/>
        </w:rPr>
        <w:t>Programas de Inversión</w:t>
      </w:r>
    </w:p>
    <w:p w14:paraId="1D0966C1" w14:textId="77777777" w:rsidR="00C420E7" w:rsidRPr="00730733" w:rsidRDefault="00C420E7" w:rsidP="00C420E7">
      <w:pPr>
        <w:spacing w:before="240" w:after="240"/>
        <w:jc w:val="both"/>
        <w:rPr>
          <w:rFonts w:asciiTheme="majorHAnsi" w:hAnsiTheme="majorHAnsi" w:cstheme="majorHAnsi"/>
          <w:sz w:val="22"/>
        </w:rPr>
      </w:pPr>
      <w:r w:rsidRPr="00FF5C36">
        <w:rPr>
          <w:rFonts w:asciiTheme="majorHAnsi" w:hAnsiTheme="majorHAnsi" w:cstheme="majorHAnsi"/>
          <w:sz w:val="22"/>
        </w:rPr>
        <w:t>El detalle de los planes, programas y proyectos de distribución y comercialización de energía se detalla a continuación:</w:t>
      </w:r>
    </w:p>
    <w:p w14:paraId="0CB7AD5E" w14:textId="3D26107F" w:rsidR="00C420E7" w:rsidRPr="00B62CFA" w:rsidRDefault="00C420E7" w:rsidP="00C420E7">
      <w:pPr>
        <w:pStyle w:val="Descripcin"/>
        <w:rPr>
          <w:rFonts w:asciiTheme="majorHAnsi" w:hAnsiTheme="majorHAnsi" w:cstheme="majorHAnsi"/>
        </w:rPr>
      </w:pPr>
      <w:bookmarkStart w:id="429" w:name="_Toc198110393"/>
      <w:bookmarkStart w:id="430" w:name="_Toc199759703"/>
      <w:r w:rsidRPr="00B62CFA">
        <w:rPr>
          <w:rFonts w:asciiTheme="majorHAnsi" w:hAnsiTheme="majorHAnsi" w:cstheme="majorHAnsi"/>
        </w:rPr>
        <w:t xml:space="preserve">Tabla </w:t>
      </w:r>
      <w:r w:rsidR="003A269C" w:rsidRPr="00B62CFA">
        <w:rPr>
          <w:rFonts w:asciiTheme="majorHAnsi" w:hAnsiTheme="majorHAnsi" w:cstheme="majorHAnsi"/>
        </w:rPr>
        <w:fldChar w:fldCharType="begin"/>
      </w:r>
      <w:r w:rsidR="003A269C" w:rsidRPr="00B62CFA">
        <w:rPr>
          <w:rFonts w:asciiTheme="majorHAnsi" w:hAnsiTheme="majorHAnsi" w:cstheme="majorHAnsi"/>
        </w:rPr>
        <w:instrText xml:space="preserve"> SEQ Tabla \* ARABIC </w:instrText>
      </w:r>
      <w:r w:rsidR="003A269C" w:rsidRPr="00B62CFA">
        <w:rPr>
          <w:rFonts w:asciiTheme="majorHAnsi" w:hAnsiTheme="majorHAnsi" w:cstheme="majorHAnsi"/>
        </w:rPr>
        <w:fldChar w:fldCharType="separate"/>
      </w:r>
      <w:r w:rsidR="00CF0AD2">
        <w:rPr>
          <w:rFonts w:asciiTheme="majorHAnsi" w:hAnsiTheme="majorHAnsi" w:cstheme="majorHAnsi"/>
          <w:noProof/>
        </w:rPr>
        <w:t>33</w:t>
      </w:r>
      <w:r w:rsidR="003A269C" w:rsidRPr="00B62CFA">
        <w:rPr>
          <w:rFonts w:asciiTheme="majorHAnsi" w:hAnsiTheme="majorHAnsi" w:cstheme="majorHAnsi"/>
          <w:noProof/>
        </w:rPr>
        <w:fldChar w:fldCharType="end"/>
      </w:r>
      <w:r w:rsidR="00192E54">
        <w:rPr>
          <w:rFonts w:asciiTheme="majorHAnsi" w:hAnsiTheme="majorHAnsi" w:cstheme="majorHAnsi"/>
        </w:rPr>
        <w:t>:</w:t>
      </w:r>
      <w:r w:rsidRPr="00B62CFA">
        <w:rPr>
          <w:rFonts w:asciiTheme="majorHAnsi" w:hAnsiTheme="majorHAnsi" w:cstheme="majorHAnsi"/>
        </w:rPr>
        <w:t xml:space="preserve"> Inversión de Planes de Distribución</w:t>
      </w:r>
      <w:bookmarkEnd w:id="429"/>
      <w:bookmarkEnd w:id="430"/>
    </w:p>
    <w:tbl>
      <w:tblPr>
        <w:tblW w:w="8159" w:type="dxa"/>
        <w:jc w:val="center"/>
        <w:tblCellMar>
          <w:left w:w="70" w:type="dxa"/>
          <w:right w:w="70" w:type="dxa"/>
        </w:tblCellMar>
        <w:tblLook w:val="04A0" w:firstRow="1" w:lastRow="0" w:firstColumn="1" w:lastColumn="0" w:noHBand="0" w:noVBand="1"/>
      </w:tblPr>
      <w:tblGrid>
        <w:gridCol w:w="2269"/>
        <w:gridCol w:w="1735"/>
        <w:gridCol w:w="1193"/>
        <w:gridCol w:w="1422"/>
        <w:gridCol w:w="1540"/>
      </w:tblGrid>
      <w:tr w:rsidR="00C420E7" w:rsidRPr="005A15DF" w14:paraId="3F9B0C02" w14:textId="77777777" w:rsidTr="000A4588">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5B9BD5" w:fill="5B9BD5"/>
            <w:noWrap/>
            <w:vAlign w:val="center"/>
            <w:hideMark/>
          </w:tcPr>
          <w:p w14:paraId="7D82ABE9" w14:textId="77777777" w:rsidR="00C420E7" w:rsidRPr="00B62CFA" w:rsidRDefault="00C420E7" w:rsidP="000A4588">
            <w:pPr>
              <w:jc w:val="center"/>
              <w:rPr>
                <w:rFonts w:asciiTheme="majorHAnsi" w:eastAsia="Times New Roman" w:hAnsiTheme="majorHAnsi" w:cstheme="majorHAnsi"/>
                <w:b/>
                <w:bCs/>
                <w:color w:val="FFFFFF"/>
                <w:sz w:val="18"/>
                <w:szCs w:val="18"/>
                <w:lang w:eastAsia="es-EC"/>
              </w:rPr>
            </w:pPr>
            <w:r w:rsidRPr="00B62CFA">
              <w:rPr>
                <w:rFonts w:asciiTheme="majorHAnsi" w:eastAsia="Times New Roman" w:hAnsiTheme="majorHAnsi" w:cstheme="majorHAnsi"/>
                <w:b/>
                <w:bCs/>
                <w:color w:val="FFFFFF"/>
                <w:sz w:val="18"/>
                <w:szCs w:val="18"/>
                <w:lang w:eastAsia="es-EC"/>
              </w:rPr>
              <w:t>Programa</w:t>
            </w:r>
          </w:p>
        </w:tc>
        <w:tc>
          <w:tcPr>
            <w:tcW w:w="1735" w:type="dxa"/>
            <w:tcBorders>
              <w:top w:val="single" w:sz="4" w:space="0" w:color="auto"/>
              <w:left w:val="single" w:sz="4" w:space="0" w:color="auto"/>
              <w:bottom w:val="single" w:sz="4" w:space="0" w:color="auto"/>
              <w:right w:val="single" w:sz="4" w:space="0" w:color="auto"/>
            </w:tcBorders>
            <w:shd w:val="clear" w:color="5B9BD5" w:fill="5B9BD5"/>
            <w:vAlign w:val="center"/>
          </w:tcPr>
          <w:p w14:paraId="190A15C3" w14:textId="77777777" w:rsidR="00C420E7" w:rsidRPr="00B62CFA" w:rsidRDefault="00C420E7" w:rsidP="000A4588">
            <w:pPr>
              <w:jc w:val="center"/>
              <w:rPr>
                <w:rFonts w:asciiTheme="majorHAnsi" w:eastAsia="Times New Roman" w:hAnsiTheme="majorHAnsi" w:cstheme="majorHAnsi"/>
                <w:b/>
                <w:bCs/>
                <w:color w:val="FFFFFF"/>
                <w:sz w:val="18"/>
                <w:szCs w:val="18"/>
                <w:lang w:eastAsia="es-EC"/>
              </w:rPr>
            </w:pPr>
            <w:r w:rsidRPr="00B62CFA">
              <w:rPr>
                <w:rFonts w:asciiTheme="majorHAnsi" w:eastAsia="Times New Roman" w:hAnsiTheme="majorHAnsi" w:cstheme="majorHAnsi"/>
                <w:b/>
                <w:bCs/>
                <w:color w:val="FFFFFF"/>
                <w:sz w:val="18"/>
                <w:szCs w:val="18"/>
                <w:lang w:eastAsia="es-EC"/>
              </w:rPr>
              <w:t>Fuente de Financiamiento</w:t>
            </w:r>
          </w:p>
        </w:tc>
        <w:tc>
          <w:tcPr>
            <w:tcW w:w="1193" w:type="dxa"/>
            <w:tcBorders>
              <w:top w:val="single" w:sz="4" w:space="0" w:color="auto"/>
              <w:left w:val="single" w:sz="4" w:space="0" w:color="auto"/>
              <w:bottom w:val="single" w:sz="4" w:space="0" w:color="auto"/>
              <w:right w:val="single" w:sz="4" w:space="0" w:color="auto"/>
            </w:tcBorders>
            <w:shd w:val="clear" w:color="5B9BD5" w:fill="5B9BD5"/>
            <w:vAlign w:val="center"/>
          </w:tcPr>
          <w:p w14:paraId="32F1A718" w14:textId="77777777" w:rsidR="00C420E7" w:rsidRPr="00B62CFA" w:rsidRDefault="00C420E7" w:rsidP="000A4588">
            <w:pPr>
              <w:jc w:val="center"/>
              <w:rPr>
                <w:rFonts w:asciiTheme="majorHAnsi" w:eastAsia="Times New Roman" w:hAnsiTheme="majorHAnsi" w:cstheme="majorHAnsi"/>
                <w:b/>
                <w:bCs/>
                <w:color w:val="FFFFFF"/>
                <w:sz w:val="18"/>
                <w:szCs w:val="18"/>
                <w:lang w:eastAsia="es-EC"/>
              </w:rPr>
            </w:pPr>
            <w:r w:rsidRPr="00B62CFA">
              <w:rPr>
                <w:rFonts w:asciiTheme="majorHAnsi" w:eastAsia="Times New Roman" w:hAnsiTheme="majorHAnsi" w:cstheme="majorHAnsi"/>
                <w:b/>
                <w:bCs/>
                <w:color w:val="FFFFFF"/>
                <w:sz w:val="18"/>
                <w:szCs w:val="18"/>
                <w:lang w:eastAsia="es-EC"/>
              </w:rPr>
              <w:t>Proyectos</w:t>
            </w:r>
          </w:p>
        </w:tc>
        <w:tc>
          <w:tcPr>
            <w:tcW w:w="1422" w:type="dxa"/>
            <w:tcBorders>
              <w:top w:val="single" w:sz="4" w:space="0" w:color="auto"/>
              <w:left w:val="single" w:sz="4" w:space="0" w:color="auto"/>
              <w:bottom w:val="single" w:sz="4" w:space="0" w:color="auto"/>
              <w:right w:val="single" w:sz="4" w:space="0" w:color="auto"/>
            </w:tcBorders>
            <w:shd w:val="clear" w:color="5B9BD5" w:fill="5B9BD5"/>
            <w:vAlign w:val="center"/>
          </w:tcPr>
          <w:p w14:paraId="7BA4019B" w14:textId="77777777" w:rsidR="00C420E7" w:rsidRPr="00B62CFA" w:rsidRDefault="00C420E7" w:rsidP="000A4588">
            <w:pPr>
              <w:jc w:val="center"/>
              <w:rPr>
                <w:rFonts w:asciiTheme="majorHAnsi" w:eastAsia="Times New Roman" w:hAnsiTheme="majorHAnsi" w:cstheme="majorHAnsi"/>
                <w:b/>
                <w:bCs/>
                <w:color w:val="FFFFFF"/>
                <w:sz w:val="18"/>
                <w:szCs w:val="18"/>
                <w:lang w:eastAsia="es-EC"/>
              </w:rPr>
            </w:pPr>
            <w:r w:rsidRPr="00B62CFA">
              <w:rPr>
                <w:rFonts w:asciiTheme="majorHAnsi" w:eastAsia="Times New Roman" w:hAnsiTheme="majorHAnsi" w:cstheme="majorHAnsi"/>
                <w:b/>
                <w:bCs/>
                <w:color w:val="FFFFFF"/>
                <w:sz w:val="18"/>
                <w:szCs w:val="18"/>
                <w:lang w:eastAsia="es-EC"/>
              </w:rPr>
              <w:t>Inversión (USD)</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tcPr>
          <w:p w14:paraId="5DDE98DC" w14:textId="77777777" w:rsidR="00C420E7" w:rsidRPr="00B62CFA" w:rsidRDefault="00C420E7" w:rsidP="000A4588">
            <w:pPr>
              <w:jc w:val="center"/>
              <w:rPr>
                <w:rFonts w:asciiTheme="majorHAnsi" w:eastAsia="Times New Roman" w:hAnsiTheme="majorHAnsi" w:cstheme="majorHAnsi"/>
                <w:b/>
                <w:bCs/>
                <w:color w:val="FFFFFF"/>
                <w:sz w:val="18"/>
                <w:szCs w:val="18"/>
                <w:lang w:eastAsia="es-EC"/>
              </w:rPr>
            </w:pPr>
            <w:r w:rsidRPr="00B62CFA">
              <w:rPr>
                <w:rFonts w:asciiTheme="majorHAnsi" w:eastAsia="Times New Roman" w:hAnsiTheme="majorHAnsi" w:cstheme="majorHAnsi"/>
                <w:b/>
                <w:bCs/>
                <w:color w:val="FFFFFF"/>
                <w:sz w:val="18"/>
                <w:szCs w:val="18"/>
                <w:lang w:eastAsia="es-EC"/>
              </w:rPr>
              <w:t>Beneficiarios</w:t>
            </w:r>
          </w:p>
        </w:tc>
      </w:tr>
      <w:tr w:rsidR="00C420E7" w:rsidRPr="005A15DF" w14:paraId="3CA2F0EC" w14:textId="77777777" w:rsidTr="000A4588">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88BA2"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FERUM</w:t>
            </w:r>
          </w:p>
        </w:tc>
        <w:tc>
          <w:tcPr>
            <w:tcW w:w="1735" w:type="dxa"/>
            <w:tcBorders>
              <w:top w:val="single" w:sz="4" w:space="0" w:color="auto"/>
              <w:left w:val="single" w:sz="4" w:space="0" w:color="auto"/>
              <w:bottom w:val="single" w:sz="4" w:space="0" w:color="auto"/>
              <w:right w:val="single" w:sz="4" w:space="0" w:color="auto"/>
            </w:tcBorders>
            <w:vAlign w:val="center"/>
          </w:tcPr>
          <w:p w14:paraId="408196B3"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BID</w:t>
            </w:r>
          </w:p>
        </w:tc>
        <w:tc>
          <w:tcPr>
            <w:tcW w:w="1193" w:type="dxa"/>
            <w:tcBorders>
              <w:top w:val="single" w:sz="4" w:space="0" w:color="auto"/>
              <w:left w:val="single" w:sz="4" w:space="0" w:color="auto"/>
              <w:bottom w:val="single" w:sz="4" w:space="0" w:color="auto"/>
              <w:right w:val="single" w:sz="4" w:space="0" w:color="auto"/>
            </w:tcBorders>
            <w:vAlign w:val="center"/>
          </w:tcPr>
          <w:p w14:paraId="467F2A7E"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95</w:t>
            </w:r>
          </w:p>
        </w:tc>
        <w:tc>
          <w:tcPr>
            <w:tcW w:w="1422" w:type="dxa"/>
            <w:tcBorders>
              <w:top w:val="single" w:sz="4" w:space="0" w:color="auto"/>
              <w:left w:val="single" w:sz="4" w:space="0" w:color="auto"/>
              <w:bottom w:val="single" w:sz="4" w:space="0" w:color="auto"/>
              <w:right w:val="single" w:sz="4" w:space="0" w:color="auto"/>
            </w:tcBorders>
            <w:vAlign w:val="center"/>
          </w:tcPr>
          <w:p w14:paraId="178DF8F8"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2.292.833,40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509BA"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3.166</w:t>
            </w:r>
          </w:p>
        </w:tc>
      </w:tr>
      <w:tr w:rsidR="00C420E7" w:rsidRPr="005A15DF" w14:paraId="546914B2" w14:textId="77777777" w:rsidTr="000A4588">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16B18"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PMD</w:t>
            </w:r>
          </w:p>
        </w:tc>
        <w:tc>
          <w:tcPr>
            <w:tcW w:w="1735" w:type="dxa"/>
            <w:tcBorders>
              <w:top w:val="single" w:sz="4" w:space="0" w:color="auto"/>
              <w:left w:val="single" w:sz="4" w:space="0" w:color="auto"/>
              <w:bottom w:val="single" w:sz="4" w:space="0" w:color="auto"/>
              <w:right w:val="single" w:sz="4" w:space="0" w:color="auto"/>
            </w:tcBorders>
            <w:vAlign w:val="center"/>
          </w:tcPr>
          <w:p w14:paraId="1B765E00"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BID</w:t>
            </w:r>
          </w:p>
        </w:tc>
        <w:tc>
          <w:tcPr>
            <w:tcW w:w="1193" w:type="dxa"/>
            <w:tcBorders>
              <w:top w:val="single" w:sz="4" w:space="0" w:color="auto"/>
              <w:left w:val="single" w:sz="4" w:space="0" w:color="auto"/>
              <w:bottom w:val="single" w:sz="4" w:space="0" w:color="auto"/>
              <w:right w:val="single" w:sz="4" w:space="0" w:color="auto"/>
            </w:tcBorders>
            <w:vAlign w:val="center"/>
          </w:tcPr>
          <w:p w14:paraId="2700D728"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16</w:t>
            </w:r>
          </w:p>
        </w:tc>
        <w:tc>
          <w:tcPr>
            <w:tcW w:w="1422" w:type="dxa"/>
            <w:tcBorders>
              <w:top w:val="single" w:sz="4" w:space="0" w:color="auto"/>
              <w:left w:val="single" w:sz="4" w:space="0" w:color="auto"/>
              <w:bottom w:val="single" w:sz="4" w:space="0" w:color="auto"/>
              <w:right w:val="single" w:sz="4" w:space="0" w:color="auto"/>
            </w:tcBorders>
            <w:vAlign w:val="center"/>
          </w:tcPr>
          <w:p w14:paraId="664AD300"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14.779.066,08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D8D0D"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39.819</w:t>
            </w:r>
          </w:p>
        </w:tc>
      </w:tr>
      <w:tr w:rsidR="00C420E7" w:rsidRPr="005A15DF" w14:paraId="00CC1262" w14:textId="77777777" w:rsidTr="000A4588">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BDCDC"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PMRSEE</w:t>
            </w:r>
          </w:p>
        </w:tc>
        <w:tc>
          <w:tcPr>
            <w:tcW w:w="1735" w:type="dxa"/>
            <w:tcBorders>
              <w:top w:val="single" w:sz="4" w:space="0" w:color="auto"/>
              <w:left w:val="single" w:sz="4" w:space="0" w:color="auto"/>
              <w:bottom w:val="single" w:sz="4" w:space="0" w:color="auto"/>
              <w:right w:val="single" w:sz="4" w:space="0" w:color="auto"/>
            </w:tcBorders>
            <w:vAlign w:val="center"/>
          </w:tcPr>
          <w:p w14:paraId="1F64C8DA"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BID</w:t>
            </w:r>
          </w:p>
        </w:tc>
        <w:tc>
          <w:tcPr>
            <w:tcW w:w="1193" w:type="dxa"/>
            <w:tcBorders>
              <w:top w:val="single" w:sz="4" w:space="0" w:color="auto"/>
              <w:left w:val="single" w:sz="4" w:space="0" w:color="auto"/>
              <w:bottom w:val="single" w:sz="4" w:space="0" w:color="auto"/>
              <w:right w:val="single" w:sz="4" w:space="0" w:color="auto"/>
            </w:tcBorders>
            <w:vAlign w:val="center"/>
          </w:tcPr>
          <w:p w14:paraId="787A205E"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18</w:t>
            </w:r>
          </w:p>
        </w:tc>
        <w:tc>
          <w:tcPr>
            <w:tcW w:w="1422" w:type="dxa"/>
            <w:tcBorders>
              <w:top w:val="single" w:sz="4" w:space="0" w:color="auto"/>
              <w:left w:val="single" w:sz="4" w:space="0" w:color="auto"/>
              <w:bottom w:val="single" w:sz="4" w:space="0" w:color="auto"/>
              <w:right w:val="single" w:sz="4" w:space="0" w:color="auto"/>
            </w:tcBorders>
            <w:vAlign w:val="center"/>
          </w:tcPr>
          <w:p w14:paraId="0038B9CD"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8.189.531,48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CA67F"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191.329</w:t>
            </w:r>
          </w:p>
        </w:tc>
      </w:tr>
      <w:tr w:rsidR="00C420E7" w:rsidRPr="005A15DF" w14:paraId="20B3D4C2" w14:textId="77777777" w:rsidTr="000A4588">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9FCF7"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b/>
                <w:color w:val="000000"/>
                <w:sz w:val="18"/>
                <w:szCs w:val="18"/>
                <w:lang w:eastAsia="es-EC"/>
              </w:rPr>
              <w:t>TOTAL</w:t>
            </w:r>
          </w:p>
        </w:tc>
        <w:tc>
          <w:tcPr>
            <w:tcW w:w="1735" w:type="dxa"/>
            <w:tcBorders>
              <w:top w:val="single" w:sz="4" w:space="0" w:color="auto"/>
              <w:left w:val="single" w:sz="4" w:space="0" w:color="auto"/>
              <w:bottom w:val="single" w:sz="4" w:space="0" w:color="auto"/>
              <w:right w:val="single" w:sz="4" w:space="0" w:color="auto"/>
            </w:tcBorders>
            <w:vAlign w:val="center"/>
          </w:tcPr>
          <w:p w14:paraId="3E9A4E86"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p>
        </w:tc>
        <w:tc>
          <w:tcPr>
            <w:tcW w:w="1193" w:type="dxa"/>
            <w:tcBorders>
              <w:top w:val="single" w:sz="4" w:space="0" w:color="auto"/>
              <w:left w:val="single" w:sz="4" w:space="0" w:color="auto"/>
              <w:bottom w:val="single" w:sz="4" w:space="0" w:color="auto"/>
              <w:right w:val="single" w:sz="4" w:space="0" w:color="auto"/>
            </w:tcBorders>
            <w:vAlign w:val="center"/>
          </w:tcPr>
          <w:p w14:paraId="40C331E6"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hAnsiTheme="majorHAnsi" w:cstheme="majorHAnsi"/>
                <w:color w:val="000000"/>
                <w:sz w:val="18"/>
                <w:szCs w:val="18"/>
              </w:rPr>
              <w:t>129</w:t>
            </w:r>
          </w:p>
        </w:tc>
        <w:tc>
          <w:tcPr>
            <w:tcW w:w="1422" w:type="dxa"/>
            <w:tcBorders>
              <w:top w:val="single" w:sz="4" w:space="0" w:color="auto"/>
              <w:left w:val="single" w:sz="4" w:space="0" w:color="auto"/>
              <w:bottom w:val="single" w:sz="4" w:space="0" w:color="auto"/>
              <w:right w:val="single" w:sz="4" w:space="0" w:color="auto"/>
            </w:tcBorders>
            <w:vAlign w:val="center"/>
          </w:tcPr>
          <w:p w14:paraId="1B5E242A"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hAnsiTheme="majorHAnsi" w:cstheme="majorHAnsi"/>
                <w:color w:val="000000"/>
                <w:sz w:val="18"/>
                <w:szCs w:val="18"/>
              </w:rPr>
              <w:t>25.261.430,96</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E3069" w14:textId="77777777" w:rsidR="00C420E7" w:rsidRPr="00B62CFA" w:rsidRDefault="00C420E7" w:rsidP="000A4588">
            <w:pPr>
              <w:jc w:val="center"/>
              <w:rPr>
                <w:rFonts w:asciiTheme="majorHAnsi" w:eastAsia="Times New Roman" w:hAnsiTheme="majorHAnsi" w:cstheme="majorHAnsi"/>
                <w:color w:val="000000"/>
                <w:sz w:val="18"/>
                <w:szCs w:val="18"/>
                <w:lang w:eastAsia="es-EC"/>
              </w:rPr>
            </w:pPr>
            <w:r w:rsidRPr="00B62CFA">
              <w:rPr>
                <w:rFonts w:asciiTheme="majorHAnsi" w:hAnsiTheme="majorHAnsi" w:cstheme="majorHAnsi"/>
                <w:color w:val="000000"/>
                <w:sz w:val="18"/>
                <w:szCs w:val="18"/>
              </w:rPr>
              <w:t>234.314</w:t>
            </w:r>
          </w:p>
        </w:tc>
      </w:tr>
    </w:tbl>
    <w:p w14:paraId="16F69EBF" w14:textId="3B82AC6D" w:rsidR="00415726" w:rsidRPr="008C1613" w:rsidRDefault="00C420E7" w:rsidP="008C1613">
      <w:pPr>
        <w:spacing w:after="240"/>
        <w:rPr>
          <w:rFonts w:asciiTheme="majorHAnsi" w:hAnsiTheme="majorHAnsi" w:cstheme="majorHAnsi"/>
          <w:i/>
          <w:color w:val="7F7F7F" w:themeColor="text1" w:themeTint="80"/>
          <w:sz w:val="18"/>
          <w:szCs w:val="18"/>
        </w:rPr>
      </w:pPr>
      <w:r w:rsidRPr="00B62CFA">
        <w:rPr>
          <w:rFonts w:asciiTheme="majorHAnsi" w:hAnsiTheme="majorHAnsi" w:cstheme="majorHAnsi"/>
          <w:i/>
          <w:color w:val="7F7F7F" w:themeColor="text1" w:themeTint="80"/>
          <w:sz w:val="18"/>
          <w:szCs w:val="18"/>
        </w:rPr>
        <w:t>Fuente: Dirección Expansión y de la Gestión Técnica y Operativa de la Distribución de Energía Eléctrica año 202</w:t>
      </w:r>
      <w:r w:rsidR="008C1613">
        <w:rPr>
          <w:rFonts w:asciiTheme="majorHAnsi" w:hAnsiTheme="majorHAnsi" w:cstheme="majorHAnsi"/>
          <w:i/>
          <w:color w:val="7F7F7F" w:themeColor="text1" w:themeTint="80"/>
          <w:sz w:val="18"/>
          <w:szCs w:val="18"/>
        </w:rPr>
        <w:t>4</w:t>
      </w:r>
    </w:p>
    <w:p w14:paraId="4BE68991" w14:textId="216ABD8D" w:rsidR="00C420E7" w:rsidRDefault="00C420E7" w:rsidP="00C420E7">
      <w:pPr>
        <w:spacing w:after="240"/>
        <w:jc w:val="both"/>
        <w:rPr>
          <w:rFonts w:asciiTheme="majorHAnsi" w:hAnsiTheme="majorHAnsi" w:cstheme="majorHAnsi"/>
          <w:b/>
          <w:sz w:val="22"/>
        </w:rPr>
      </w:pPr>
      <w:r w:rsidRPr="00D72897">
        <w:rPr>
          <w:rFonts w:asciiTheme="majorHAnsi" w:hAnsiTheme="majorHAnsi" w:cstheme="majorHAnsi"/>
          <w:b/>
          <w:sz w:val="22"/>
        </w:rPr>
        <w:t xml:space="preserve">Capacidad Instalada </w:t>
      </w:r>
      <w:r>
        <w:rPr>
          <w:rFonts w:asciiTheme="majorHAnsi" w:hAnsiTheme="majorHAnsi" w:cstheme="majorHAnsi"/>
          <w:b/>
          <w:sz w:val="22"/>
        </w:rPr>
        <w:t xml:space="preserve">en </w:t>
      </w:r>
      <w:r w:rsidRPr="00D72897">
        <w:rPr>
          <w:rFonts w:asciiTheme="majorHAnsi" w:hAnsiTheme="majorHAnsi" w:cstheme="majorHAnsi"/>
          <w:b/>
          <w:sz w:val="22"/>
        </w:rPr>
        <w:t xml:space="preserve">Subestaciones </w:t>
      </w:r>
      <w:r>
        <w:rPr>
          <w:rFonts w:asciiTheme="majorHAnsi" w:hAnsiTheme="majorHAnsi" w:cstheme="majorHAnsi"/>
          <w:b/>
          <w:sz w:val="22"/>
        </w:rPr>
        <w:t>d</w:t>
      </w:r>
      <w:r w:rsidRPr="00D72897">
        <w:rPr>
          <w:rFonts w:asciiTheme="majorHAnsi" w:hAnsiTheme="majorHAnsi" w:cstheme="majorHAnsi"/>
          <w:b/>
          <w:sz w:val="22"/>
        </w:rPr>
        <w:t xml:space="preserve">e Empresas Eléctricas </w:t>
      </w:r>
      <w:r>
        <w:rPr>
          <w:rFonts w:asciiTheme="majorHAnsi" w:hAnsiTheme="majorHAnsi" w:cstheme="majorHAnsi"/>
          <w:b/>
          <w:sz w:val="22"/>
        </w:rPr>
        <w:t>d</w:t>
      </w:r>
      <w:r w:rsidRPr="00D72897">
        <w:rPr>
          <w:rFonts w:asciiTheme="majorHAnsi" w:hAnsiTheme="majorHAnsi" w:cstheme="majorHAnsi"/>
          <w:b/>
          <w:sz w:val="22"/>
        </w:rPr>
        <w:t>e Distribución</w:t>
      </w:r>
    </w:p>
    <w:p w14:paraId="22572919" w14:textId="73D664E5" w:rsidR="008C1613" w:rsidRPr="00B53A85" w:rsidRDefault="00C420E7" w:rsidP="00C420E7">
      <w:pPr>
        <w:spacing w:after="240"/>
        <w:jc w:val="both"/>
        <w:rPr>
          <w:rFonts w:asciiTheme="majorHAnsi" w:hAnsiTheme="majorHAnsi" w:cstheme="majorHAnsi"/>
          <w:sz w:val="22"/>
        </w:rPr>
      </w:pPr>
      <w:r w:rsidRPr="00D2135E">
        <w:rPr>
          <w:rFonts w:asciiTheme="majorHAnsi" w:hAnsiTheme="majorHAnsi" w:cstheme="majorHAnsi"/>
          <w:sz w:val="22"/>
        </w:rPr>
        <w:t xml:space="preserve">Mediante el oficio Nro. MERNNR-SDCEE-2022-0347-OF, la SDCEE del Ministerio de Energía y Minas solicitó a ARCONEL un informe semestral sobre la potencia instalada en subestaciones de distribución, en el marco del indicador 12.3.4. En cumplimiento, la Dirección Técnica de ARCONEL presentó un reporte con corte a diciembre de 2024, donde se destaca que la capacidad OA nacional instalada en transformadores de subestaciones de elevación y reducción de las </w:t>
      </w:r>
      <w:r w:rsidRPr="00D2135E">
        <w:rPr>
          <w:rFonts w:asciiTheme="majorHAnsi" w:hAnsiTheme="majorHAnsi" w:cstheme="majorHAnsi"/>
          <w:sz w:val="22"/>
        </w:rPr>
        <w:lastRenderedPageBreak/>
        <w:t>empresas de distribución alcanzó los 6.721,72 MVA, mientras que la capacidad máxima llegó a 8.992,52 MVA. Asimismo, se registraron 65 subestaciones de seccionamiento, y transformadores de conexión con generación con una capacidad OA de 367,45 MVA. Por otro lado, las subestaciones privadas sumaron una capacidad OA de 950,00 MVA y una capacidad máxima de 1.185,82 MVA</w:t>
      </w:r>
      <w:r>
        <w:rPr>
          <w:rFonts w:asciiTheme="majorHAnsi" w:hAnsiTheme="majorHAnsi" w:cstheme="majorHAnsi"/>
          <w:sz w:val="22"/>
        </w:rPr>
        <w:t>, e</w:t>
      </w:r>
      <w:r w:rsidRPr="0014147C">
        <w:rPr>
          <w:rFonts w:asciiTheme="majorHAnsi" w:hAnsiTheme="majorHAnsi" w:cstheme="majorHAnsi"/>
          <w:sz w:val="22"/>
        </w:rPr>
        <w:t xml:space="preserve">n la Tabla Nro. </w:t>
      </w:r>
      <w:r>
        <w:rPr>
          <w:rFonts w:asciiTheme="majorHAnsi" w:hAnsiTheme="majorHAnsi" w:cstheme="majorHAnsi"/>
          <w:sz w:val="22"/>
        </w:rPr>
        <w:t>33</w:t>
      </w:r>
      <w:r w:rsidRPr="0014147C">
        <w:rPr>
          <w:rFonts w:asciiTheme="majorHAnsi" w:hAnsiTheme="majorHAnsi" w:cstheme="majorHAnsi"/>
          <w:sz w:val="22"/>
        </w:rPr>
        <w:t>, se presenta una síntesis de lo expuesto</w:t>
      </w:r>
    </w:p>
    <w:p w14:paraId="1C6CDC01" w14:textId="36D489C2" w:rsidR="00C420E7" w:rsidRPr="00B62CFA" w:rsidRDefault="00C420E7" w:rsidP="00C420E7">
      <w:pPr>
        <w:pStyle w:val="Descripcin"/>
        <w:rPr>
          <w:rFonts w:asciiTheme="majorHAnsi" w:hAnsiTheme="majorHAnsi" w:cstheme="majorHAnsi"/>
        </w:rPr>
      </w:pPr>
      <w:bookmarkStart w:id="431" w:name="_Toc198110394"/>
      <w:bookmarkStart w:id="432" w:name="_Toc199759704"/>
      <w:r w:rsidRPr="00B62CFA">
        <w:rPr>
          <w:rFonts w:asciiTheme="majorHAnsi" w:hAnsiTheme="majorHAnsi" w:cstheme="majorHAnsi"/>
        </w:rPr>
        <w:t xml:space="preserve">Tabla </w:t>
      </w:r>
      <w:r w:rsidR="003A269C" w:rsidRPr="00B62CFA">
        <w:rPr>
          <w:rFonts w:asciiTheme="majorHAnsi" w:hAnsiTheme="majorHAnsi" w:cstheme="majorHAnsi"/>
        </w:rPr>
        <w:fldChar w:fldCharType="begin"/>
      </w:r>
      <w:r w:rsidR="003A269C" w:rsidRPr="00B62CFA">
        <w:rPr>
          <w:rFonts w:asciiTheme="majorHAnsi" w:hAnsiTheme="majorHAnsi" w:cstheme="majorHAnsi"/>
        </w:rPr>
        <w:instrText xml:space="preserve"> SEQ Tabla \* ARABIC </w:instrText>
      </w:r>
      <w:r w:rsidR="003A269C" w:rsidRPr="00B62CFA">
        <w:rPr>
          <w:rFonts w:asciiTheme="majorHAnsi" w:hAnsiTheme="majorHAnsi" w:cstheme="majorHAnsi"/>
        </w:rPr>
        <w:fldChar w:fldCharType="separate"/>
      </w:r>
      <w:r w:rsidR="00CF0AD2">
        <w:rPr>
          <w:rFonts w:asciiTheme="majorHAnsi" w:hAnsiTheme="majorHAnsi" w:cstheme="majorHAnsi"/>
          <w:noProof/>
        </w:rPr>
        <w:t>34</w:t>
      </w:r>
      <w:r w:rsidR="003A269C" w:rsidRPr="00B62CFA">
        <w:rPr>
          <w:rFonts w:asciiTheme="majorHAnsi" w:hAnsiTheme="majorHAnsi" w:cstheme="majorHAnsi"/>
          <w:noProof/>
        </w:rPr>
        <w:fldChar w:fldCharType="end"/>
      </w:r>
      <w:r w:rsidR="00192E54">
        <w:rPr>
          <w:rFonts w:asciiTheme="majorHAnsi" w:hAnsiTheme="majorHAnsi" w:cstheme="majorHAnsi"/>
        </w:rPr>
        <w:t>:</w:t>
      </w:r>
      <w:r w:rsidRPr="00B62CFA">
        <w:rPr>
          <w:rFonts w:asciiTheme="majorHAnsi" w:hAnsiTheme="majorHAnsi" w:cstheme="majorHAnsi"/>
        </w:rPr>
        <w:t xml:space="preserve"> Resumen de capacidad OA y capacidad máxima instalada en subestaciones eléctricas conectadas en sistemas de distribución, con corte a diciembre de 2024</w:t>
      </w:r>
      <w:bookmarkEnd w:id="431"/>
      <w:bookmarkEnd w:id="432"/>
    </w:p>
    <w:tbl>
      <w:tblPr>
        <w:tblW w:w="6320" w:type="dxa"/>
        <w:jc w:val="center"/>
        <w:tblCellMar>
          <w:left w:w="70" w:type="dxa"/>
          <w:right w:w="70" w:type="dxa"/>
        </w:tblCellMar>
        <w:tblLook w:val="04A0" w:firstRow="1" w:lastRow="0" w:firstColumn="1" w:lastColumn="0" w:noHBand="0" w:noVBand="1"/>
      </w:tblPr>
      <w:tblGrid>
        <w:gridCol w:w="1960"/>
        <w:gridCol w:w="1960"/>
        <w:gridCol w:w="1200"/>
        <w:gridCol w:w="1200"/>
      </w:tblGrid>
      <w:tr w:rsidR="00C420E7" w:rsidRPr="0014147C" w14:paraId="5D4F1C60" w14:textId="77777777" w:rsidTr="000A4588">
        <w:trPr>
          <w:trHeight w:val="450"/>
          <w:jc w:val="center"/>
        </w:trPr>
        <w:tc>
          <w:tcPr>
            <w:tcW w:w="1960" w:type="dxa"/>
            <w:vMerge w:val="restart"/>
            <w:tcBorders>
              <w:top w:val="single" w:sz="8" w:space="0" w:color="auto"/>
              <w:left w:val="single" w:sz="8" w:space="0" w:color="auto"/>
              <w:bottom w:val="single" w:sz="8" w:space="0" w:color="000000"/>
              <w:right w:val="single" w:sz="8" w:space="0" w:color="auto"/>
            </w:tcBorders>
            <w:shd w:val="clear" w:color="auto" w:fill="5B9BD5" w:themeFill="accent5"/>
            <w:vAlign w:val="center"/>
            <w:hideMark/>
          </w:tcPr>
          <w:p w14:paraId="1740D9C6" w14:textId="77777777" w:rsidR="00C420E7" w:rsidRPr="0014147C" w:rsidRDefault="00C420E7" w:rsidP="000A4588">
            <w:pPr>
              <w:jc w:val="center"/>
              <w:rPr>
                <w:rFonts w:ascii="Calibri Light" w:eastAsia="Times New Roman" w:hAnsi="Calibri Light" w:cs="Calibri Light"/>
                <w:b/>
                <w:bCs/>
                <w:color w:val="FFFFFF"/>
                <w:sz w:val="18"/>
                <w:szCs w:val="18"/>
                <w:lang w:eastAsia="es-EC"/>
              </w:rPr>
            </w:pPr>
            <w:r w:rsidRPr="0014147C">
              <w:rPr>
                <w:rFonts w:ascii="Calibri Light" w:eastAsia="Times New Roman" w:hAnsi="Calibri Light" w:cs="Calibri Light"/>
                <w:b/>
                <w:bCs/>
                <w:color w:val="FFFFFF"/>
                <w:sz w:val="18"/>
                <w:szCs w:val="18"/>
                <w:lang w:eastAsia="es-EC"/>
              </w:rPr>
              <w:t>Empresas</w:t>
            </w:r>
          </w:p>
        </w:tc>
        <w:tc>
          <w:tcPr>
            <w:tcW w:w="1960" w:type="dxa"/>
            <w:vMerge w:val="restart"/>
            <w:tcBorders>
              <w:top w:val="single" w:sz="8" w:space="0" w:color="auto"/>
              <w:left w:val="single" w:sz="8" w:space="0" w:color="auto"/>
              <w:bottom w:val="single" w:sz="8" w:space="0" w:color="000000"/>
              <w:right w:val="single" w:sz="8" w:space="0" w:color="auto"/>
            </w:tcBorders>
            <w:shd w:val="clear" w:color="auto" w:fill="5B9BD5" w:themeFill="accent5"/>
            <w:vAlign w:val="center"/>
            <w:hideMark/>
          </w:tcPr>
          <w:p w14:paraId="2DEF3861" w14:textId="77777777" w:rsidR="00C420E7" w:rsidRPr="0014147C" w:rsidRDefault="00C420E7" w:rsidP="000A4588">
            <w:pPr>
              <w:jc w:val="center"/>
              <w:rPr>
                <w:rFonts w:ascii="Calibri Light" w:eastAsia="Times New Roman" w:hAnsi="Calibri Light" w:cs="Calibri Light"/>
                <w:b/>
                <w:bCs/>
                <w:color w:val="FFFFFF"/>
                <w:sz w:val="18"/>
                <w:szCs w:val="18"/>
                <w:lang w:eastAsia="es-EC"/>
              </w:rPr>
            </w:pPr>
            <w:r w:rsidRPr="0014147C">
              <w:rPr>
                <w:rFonts w:ascii="Calibri Light" w:eastAsia="Times New Roman" w:hAnsi="Calibri Light" w:cs="Calibri Light"/>
                <w:b/>
                <w:bCs/>
                <w:color w:val="FFFFFF"/>
                <w:sz w:val="18"/>
                <w:szCs w:val="18"/>
                <w:lang w:eastAsia="es-EC"/>
              </w:rPr>
              <w:t xml:space="preserve">Tipo de </w:t>
            </w:r>
            <w:r>
              <w:rPr>
                <w:rFonts w:ascii="Calibri Light" w:eastAsia="Times New Roman" w:hAnsi="Calibri Light" w:cs="Calibri Light"/>
                <w:b/>
                <w:bCs/>
                <w:color w:val="FFFFFF"/>
                <w:sz w:val="18"/>
                <w:szCs w:val="18"/>
                <w:lang w:eastAsia="es-EC"/>
              </w:rPr>
              <w:t>S</w:t>
            </w:r>
            <w:r w:rsidRPr="0014147C">
              <w:rPr>
                <w:rFonts w:ascii="Calibri Light" w:eastAsia="Times New Roman" w:hAnsi="Calibri Light" w:cs="Calibri Light"/>
                <w:b/>
                <w:bCs/>
                <w:color w:val="FFFFFF"/>
                <w:sz w:val="18"/>
                <w:szCs w:val="18"/>
                <w:lang w:eastAsia="es-EC"/>
              </w:rPr>
              <w:t>ubestaciones</w:t>
            </w:r>
          </w:p>
        </w:tc>
        <w:tc>
          <w:tcPr>
            <w:tcW w:w="1200" w:type="dxa"/>
            <w:tcBorders>
              <w:top w:val="single" w:sz="8" w:space="0" w:color="auto"/>
              <w:left w:val="nil"/>
              <w:bottom w:val="nil"/>
              <w:right w:val="nil"/>
            </w:tcBorders>
            <w:shd w:val="clear" w:color="auto" w:fill="5B9BD5" w:themeFill="accent5"/>
            <w:vAlign w:val="center"/>
            <w:hideMark/>
          </w:tcPr>
          <w:p w14:paraId="4D52A499" w14:textId="77777777" w:rsidR="00C420E7" w:rsidRPr="0014147C" w:rsidRDefault="00C420E7" w:rsidP="000A4588">
            <w:pPr>
              <w:jc w:val="center"/>
              <w:rPr>
                <w:rFonts w:ascii="Calibri Light" w:eastAsia="Times New Roman" w:hAnsi="Calibri Light" w:cs="Calibri Light"/>
                <w:b/>
                <w:bCs/>
                <w:color w:val="FFFFFF"/>
                <w:sz w:val="18"/>
                <w:szCs w:val="18"/>
                <w:lang w:eastAsia="es-EC"/>
              </w:rPr>
            </w:pPr>
            <w:r w:rsidRPr="0014147C">
              <w:rPr>
                <w:rFonts w:ascii="Calibri Light" w:eastAsia="Times New Roman" w:hAnsi="Calibri Light" w:cs="Calibri Light"/>
                <w:b/>
                <w:bCs/>
                <w:color w:val="FFFFFF"/>
                <w:sz w:val="18"/>
                <w:szCs w:val="18"/>
                <w:lang w:eastAsia="es-EC"/>
              </w:rPr>
              <w:t>Capacidad OA</w:t>
            </w:r>
          </w:p>
        </w:tc>
        <w:tc>
          <w:tcPr>
            <w:tcW w:w="1200" w:type="dxa"/>
            <w:tcBorders>
              <w:top w:val="single" w:sz="8" w:space="0" w:color="auto"/>
              <w:left w:val="single" w:sz="8" w:space="0" w:color="auto"/>
              <w:bottom w:val="nil"/>
              <w:right w:val="single" w:sz="8" w:space="0" w:color="auto"/>
            </w:tcBorders>
            <w:shd w:val="clear" w:color="auto" w:fill="5B9BD5" w:themeFill="accent5"/>
            <w:vAlign w:val="center"/>
            <w:hideMark/>
          </w:tcPr>
          <w:p w14:paraId="768166BB" w14:textId="77777777" w:rsidR="00C420E7" w:rsidRPr="0014147C" w:rsidRDefault="00C420E7" w:rsidP="000A4588">
            <w:pPr>
              <w:jc w:val="center"/>
              <w:rPr>
                <w:rFonts w:ascii="Calibri Light" w:eastAsia="Times New Roman" w:hAnsi="Calibri Light" w:cs="Calibri Light"/>
                <w:b/>
                <w:bCs/>
                <w:color w:val="FFFFFF"/>
                <w:sz w:val="18"/>
                <w:szCs w:val="18"/>
                <w:lang w:eastAsia="es-EC"/>
              </w:rPr>
            </w:pPr>
            <w:r w:rsidRPr="0014147C">
              <w:rPr>
                <w:rFonts w:ascii="Calibri Light" w:eastAsia="Times New Roman" w:hAnsi="Calibri Light" w:cs="Calibri Light"/>
                <w:b/>
                <w:bCs/>
                <w:color w:val="FFFFFF"/>
                <w:sz w:val="18"/>
                <w:szCs w:val="18"/>
                <w:lang w:eastAsia="es-EC"/>
              </w:rPr>
              <w:t>Capacidad Máxima</w:t>
            </w:r>
          </w:p>
        </w:tc>
      </w:tr>
      <w:tr w:rsidR="00C420E7" w:rsidRPr="0014147C" w14:paraId="07B6E47D" w14:textId="77777777" w:rsidTr="000A4588">
        <w:trPr>
          <w:trHeight w:val="144"/>
          <w:jc w:val="center"/>
        </w:trPr>
        <w:tc>
          <w:tcPr>
            <w:tcW w:w="1960" w:type="dxa"/>
            <w:vMerge/>
            <w:tcBorders>
              <w:top w:val="single" w:sz="8" w:space="0" w:color="auto"/>
              <w:left w:val="single" w:sz="8" w:space="0" w:color="auto"/>
              <w:bottom w:val="single" w:sz="4" w:space="0" w:color="auto"/>
              <w:right w:val="single" w:sz="8" w:space="0" w:color="auto"/>
            </w:tcBorders>
            <w:shd w:val="clear" w:color="auto" w:fill="5B9BD5" w:themeFill="accent5"/>
            <w:vAlign w:val="center"/>
            <w:hideMark/>
          </w:tcPr>
          <w:p w14:paraId="3F00863C" w14:textId="77777777" w:rsidR="00C420E7" w:rsidRPr="0014147C" w:rsidRDefault="00C420E7" w:rsidP="000A4588">
            <w:pPr>
              <w:jc w:val="center"/>
              <w:rPr>
                <w:rFonts w:ascii="Calibri Light" w:eastAsia="Times New Roman" w:hAnsi="Calibri Light" w:cs="Calibri Light"/>
                <w:b/>
                <w:bCs/>
                <w:color w:val="FFFFFF"/>
                <w:sz w:val="18"/>
                <w:szCs w:val="18"/>
                <w:lang w:eastAsia="es-EC"/>
              </w:rPr>
            </w:pPr>
          </w:p>
        </w:tc>
        <w:tc>
          <w:tcPr>
            <w:tcW w:w="1960" w:type="dxa"/>
            <w:vMerge/>
            <w:tcBorders>
              <w:top w:val="single" w:sz="8" w:space="0" w:color="auto"/>
              <w:left w:val="single" w:sz="8" w:space="0" w:color="auto"/>
              <w:bottom w:val="single" w:sz="4" w:space="0" w:color="auto"/>
              <w:right w:val="single" w:sz="8" w:space="0" w:color="auto"/>
            </w:tcBorders>
            <w:shd w:val="clear" w:color="auto" w:fill="5B9BD5" w:themeFill="accent5"/>
            <w:vAlign w:val="center"/>
            <w:hideMark/>
          </w:tcPr>
          <w:p w14:paraId="122A9333" w14:textId="77777777" w:rsidR="00C420E7" w:rsidRPr="0014147C" w:rsidRDefault="00C420E7" w:rsidP="000A4588">
            <w:pPr>
              <w:jc w:val="center"/>
              <w:rPr>
                <w:rFonts w:ascii="Calibri Light" w:eastAsia="Times New Roman" w:hAnsi="Calibri Light" w:cs="Calibri Light"/>
                <w:b/>
                <w:bCs/>
                <w:color w:val="FFFFFF"/>
                <w:sz w:val="18"/>
                <w:szCs w:val="18"/>
                <w:lang w:eastAsia="es-EC"/>
              </w:rPr>
            </w:pPr>
          </w:p>
        </w:tc>
        <w:tc>
          <w:tcPr>
            <w:tcW w:w="1200" w:type="dxa"/>
            <w:tcBorders>
              <w:top w:val="nil"/>
              <w:left w:val="nil"/>
              <w:bottom w:val="single" w:sz="4" w:space="0" w:color="auto"/>
              <w:right w:val="nil"/>
            </w:tcBorders>
            <w:shd w:val="clear" w:color="auto" w:fill="5B9BD5" w:themeFill="accent5"/>
            <w:vAlign w:val="center"/>
            <w:hideMark/>
          </w:tcPr>
          <w:p w14:paraId="065DD87C" w14:textId="77777777" w:rsidR="00C420E7" w:rsidRPr="0014147C" w:rsidRDefault="00C420E7" w:rsidP="000A4588">
            <w:pPr>
              <w:jc w:val="center"/>
              <w:rPr>
                <w:rFonts w:ascii="Calibri Light" w:eastAsia="Times New Roman" w:hAnsi="Calibri Light" w:cs="Calibri Light"/>
                <w:b/>
                <w:bCs/>
                <w:color w:val="FFFFFF"/>
                <w:sz w:val="18"/>
                <w:szCs w:val="18"/>
                <w:lang w:eastAsia="es-EC"/>
              </w:rPr>
            </w:pPr>
            <w:r w:rsidRPr="0014147C">
              <w:rPr>
                <w:rFonts w:ascii="Calibri Light" w:eastAsia="Times New Roman" w:hAnsi="Calibri Light" w:cs="Calibri Light"/>
                <w:b/>
                <w:bCs/>
                <w:color w:val="FFFFFF"/>
                <w:sz w:val="18"/>
                <w:szCs w:val="18"/>
                <w:lang w:eastAsia="es-EC"/>
              </w:rPr>
              <w:t>(MVA)</w:t>
            </w:r>
          </w:p>
        </w:tc>
        <w:tc>
          <w:tcPr>
            <w:tcW w:w="1200" w:type="dxa"/>
            <w:tcBorders>
              <w:top w:val="nil"/>
              <w:left w:val="single" w:sz="8" w:space="0" w:color="auto"/>
              <w:bottom w:val="single" w:sz="4" w:space="0" w:color="auto"/>
              <w:right w:val="single" w:sz="8" w:space="0" w:color="auto"/>
            </w:tcBorders>
            <w:shd w:val="clear" w:color="auto" w:fill="5B9BD5" w:themeFill="accent5"/>
            <w:vAlign w:val="center"/>
            <w:hideMark/>
          </w:tcPr>
          <w:p w14:paraId="5946AF10" w14:textId="77777777" w:rsidR="00C420E7" w:rsidRPr="0014147C" w:rsidRDefault="00C420E7" w:rsidP="000A4588">
            <w:pPr>
              <w:jc w:val="center"/>
              <w:rPr>
                <w:rFonts w:ascii="Calibri Light" w:eastAsia="Times New Roman" w:hAnsi="Calibri Light" w:cs="Calibri Light"/>
                <w:b/>
                <w:bCs/>
                <w:color w:val="FFFFFF"/>
                <w:sz w:val="18"/>
                <w:szCs w:val="18"/>
                <w:lang w:eastAsia="es-EC"/>
              </w:rPr>
            </w:pPr>
            <w:r w:rsidRPr="0014147C">
              <w:rPr>
                <w:rFonts w:ascii="Calibri Light" w:eastAsia="Times New Roman" w:hAnsi="Calibri Light" w:cs="Calibri Light"/>
                <w:b/>
                <w:bCs/>
                <w:color w:val="FFFFFF"/>
                <w:sz w:val="18"/>
                <w:szCs w:val="18"/>
                <w:lang w:eastAsia="es-EC"/>
              </w:rPr>
              <w:t>(MVA)</w:t>
            </w:r>
          </w:p>
        </w:tc>
      </w:tr>
      <w:tr w:rsidR="00C420E7" w:rsidRPr="0014147C" w14:paraId="27E3D158" w14:textId="77777777" w:rsidTr="000A4588">
        <w:trPr>
          <w:trHeight w:val="300"/>
          <w:jc w:val="center"/>
        </w:trPr>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684390" w14:textId="77777777" w:rsidR="00C420E7" w:rsidRPr="0014147C" w:rsidRDefault="00C420E7" w:rsidP="000A4588">
            <w:pPr>
              <w:jc w:val="center"/>
              <w:rPr>
                <w:rFonts w:ascii="Calibri Light" w:eastAsia="Times New Roman" w:hAnsi="Calibri Light" w:cs="Calibri Light"/>
                <w:color w:val="000000"/>
                <w:sz w:val="18"/>
                <w:szCs w:val="18"/>
                <w:lang w:eastAsia="es-EC"/>
              </w:rPr>
            </w:pPr>
            <w:r w:rsidRPr="0014147C">
              <w:rPr>
                <w:rFonts w:ascii="Calibri Light" w:eastAsia="Times New Roman" w:hAnsi="Calibri Light" w:cs="Calibri Light"/>
                <w:color w:val="000000"/>
                <w:sz w:val="18"/>
                <w:szCs w:val="18"/>
                <w:lang w:eastAsia="es-EC"/>
              </w:rPr>
              <w:t xml:space="preserve">Empresas </w:t>
            </w:r>
            <w:r>
              <w:rPr>
                <w:rFonts w:ascii="Calibri Light" w:eastAsia="Times New Roman" w:hAnsi="Calibri Light" w:cs="Calibri Light"/>
                <w:color w:val="000000"/>
                <w:sz w:val="18"/>
                <w:szCs w:val="18"/>
                <w:lang w:eastAsia="es-EC"/>
              </w:rPr>
              <w:t>E</w:t>
            </w:r>
            <w:r w:rsidRPr="0014147C">
              <w:rPr>
                <w:rFonts w:ascii="Calibri Light" w:eastAsia="Times New Roman" w:hAnsi="Calibri Light" w:cs="Calibri Light"/>
                <w:color w:val="000000"/>
                <w:sz w:val="18"/>
                <w:szCs w:val="18"/>
                <w:lang w:eastAsia="es-EC"/>
              </w:rPr>
              <w:t xml:space="preserve">léctricas de </w:t>
            </w:r>
            <w:r>
              <w:rPr>
                <w:rFonts w:ascii="Calibri Light" w:eastAsia="Times New Roman" w:hAnsi="Calibri Light" w:cs="Calibri Light"/>
                <w:color w:val="000000"/>
                <w:sz w:val="18"/>
                <w:szCs w:val="18"/>
                <w:lang w:eastAsia="es-EC"/>
              </w:rPr>
              <w:t>D</w:t>
            </w:r>
            <w:r w:rsidRPr="0014147C">
              <w:rPr>
                <w:rFonts w:ascii="Calibri Light" w:eastAsia="Times New Roman" w:hAnsi="Calibri Light" w:cs="Calibri Light"/>
                <w:color w:val="000000"/>
                <w:sz w:val="18"/>
                <w:szCs w:val="18"/>
                <w:lang w:eastAsia="es-EC"/>
              </w:rPr>
              <w:t>istribución</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AEF9" w14:textId="77777777" w:rsidR="00C420E7" w:rsidRPr="0014147C" w:rsidRDefault="00C420E7" w:rsidP="000A4588">
            <w:pPr>
              <w:jc w:val="center"/>
              <w:rPr>
                <w:rFonts w:ascii="Calibri Light" w:eastAsia="Times New Roman" w:hAnsi="Calibri Light" w:cs="Calibri Light"/>
                <w:color w:val="000000"/>
                <w:sz w:val="18"/>
                <w:szCs w:val="18"/>
                <w:lang w:eastAsia="es-EC"/>
              </w:rPr>
            </w:pPr>
            <w:r w:rsidRPr="0014147C">
              <w:rPr>
                <w:rFonts w:ascii="Calibri Light" w:eastAsia="Times New Roman" w:hAnsi="Calibri Light" w:cs="Calibri Light"/>
                <w:color w:val="000000"/>
                <w:sz w:val="18"/>
                <w:szCs w:val="18"/>
                <w:lang w:eastAsia="es-EC"/>
              </w:rPr>
              <w:t>Elevación y reducción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9611F" w14:textId="77777777" w:rsidR="00C420E7" w:rsidRPr="0014147C" w:rsidRDefault="00C420E7" w:rsidP="000A4588">
            <w:pPr>
              <w:jc w:val="center"/>
              <w:rPr>
                <w:rFonts w:ascii="Calibri Light" w:eastAsia="Times New Roman" w:hAnsi="Calibri Light" w:cs="Calibri Light"/>
                <w:color w:val="000000"/>
                <w:sz w:val="18"/>
                <w:szCs w:val="18"/>
                <w:lang w:eastAsia="es-EC"/>
              </w:rPr>
            </w:pPr>
            <w:r w:rsidRPr="0014147C">
              <w:rPr>
                <w:rFonts w:ascii="Calibri Light" w:eastAsia="Times New Roman" w:hAnsi="Calibri Light" w:cs="Calibri Light"/>
                <w:color w:val="000000"/>
                <w:sz w:val="18"/>
                <w:szCs w:val="18"/>
                <w:lang w:eastAsia="es-EC"/>
              </w:rPr>
              <w:t>6.721,72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FB3DB" w14:textId="77777777" w:rsidR="00C420E7" w:rsidRPr="0014147C" w:rsidRDefault="00C420E7" w:rsidP="000A4588">
            <w:pPr>
              <w:jc w:val="center"/>
              <w:rPr>
                <w:rFonts w:ascii="Calibri Light" w:eastAsia="Times New Roman" w:hAnsi="Calibri Light" w:cs="Calibri Light"/>
                <w:color w:val="000000"/>
                <w:sz w:val="18"/>
                <w:szCs w:val="18"/>
                <w:lang w:eastAsia="es-EC"/>
              </w:rPr>
            </w:pPr>
            <w:r w:rsidRPr="0014147C">
              <w:rPr>
                <w:rFonts w:ascii="Calibri Light" w:eastAsia="Times New Roman" w:hAnsi="Calibri Light" w:cs="Calibri Light"/>
                <w:color w:val="000000"/>
                <w:sz w:val="18"/>
                <w:szCs w:val="18"/>
                <w:lang w:eastAsia="es-EC"/>
              </w:rPr>
              <w:t>8.992,52</w:t>
            </w:r>
          </w:p>
        </w:tc>
      </w:tr>
      <w:tr w:rsidR="00C420E7" w:rsidRPr="0014147C" w14:paraId="7678F5CB" w14:textId="77777777" w:rsidTr="000A4588">
        <w:trPr>
          <w:trHeight w:val="300"/>
          <w:jc w:val="center"/>
        </w:trPr>
        <w:tc>
          <w:tcPr>
            <w:tcW w:w="1960" w:type="dxa"/>
            <w:vMerge/>
            <w:tcBorders>
              <w:top w:val="single" w:sz="4" w:space="0" w:color="auto"/>
              <w:left w:val="single" w:sz="4" w:space="0" w:color="auto"/>
              <w:bottom w:val="single" w:sz="4" w:space="0" w:color="auto"/>
              <w:right w:val="single" w:sz="4" w:space="0" w:color="auto"/>
            </w:tcBorders>
            <w:vAlign w:val="center"/>
            <w:hideMark/>
          </w:tcPr>
          <w:p w14:paraId="69E2EF50" w14:textId="77777777" w:rsidR="00C420E7" w:rsidRPr="0014147C" w:rsidRDefault="00C420E7" w:rsidP="000A4588">
            <w:pPr>
              <w:jc w:val="center"/>
              <w:rPr>
                <w:rFonts w:ascii="Calibri Light" w:eastAsia="Times New Roman" w:hAnsi="Calibri Light" w:cs="Calibri Light"/>
                <w:color w:val="000000"/>
                <w:sz w:val="18"/>
                <w:szCs w:val="18"/>
                <w:lang w:eastAsia="es-EC"/>
              </w:rPr>
            </w:pP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3C1CE" w14:textId="77777777" w:rsidR="00C420E7" w:rsidRPr="0014147C" w:rsidRDefault="00C420E7" w:rsidP="000A4588">
            <w:pPr>
              <w:jc w:val="center"/>
              <w:rPr>
                <w:rFonts w:ascii="Calibri Light" w:eastAsia="Times New Roman" w:hAnsi="Calibri Light" w:cs="Calibri Light"/>
                <w:color w:val="000000"/>
                <w:sz w:val="18"/>
                <w:szCs w:val="18"/>
                <w:lang w:eastAsia="es-EC"/>
              </w:rPr>
            </w:pPr>
            <w:r w:rsidRPr="0014147C">
              <w:rPr>
                <w:rFonts w:ascii="Calibri Light" w:eastAsia="Times New Roman" w:hAnsi="Calibri Light" w:cs="Calibri Light"/>
                <w:color w:val="000000"/>
                <w:sz w:val="18"/>
                <w:szCs w:val="18"/>
                <w:lang w:eastAsia="es-EC"/>
              </w:rPr>
              <w:t>Puntos de transformación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ECB56" w14:textId="77777777" w:rsidR="00C420E7" w:rsidRPr="0014147C" w:rsidRDefault="00C420E7" w:rsidP="000A4588">
            <w:pPr>
              <w:jc w:val="center"/>
              <w:rPr>
                <w:rFonts w:ascii="Calibri Light" w:eastAsia="Times New Roman" w:hAnsi="Calibri Light" w:cs="Calibri Light"/>
                <w:color w:val="000000"/>
                <w:sz w:val="18"/>
                <w:szCs w:val="18"/>
                <w:lang w:eastAsia="es-EC"/>
              </w:rPr>
            </w:pPr>
            <w:r w:rsidRPr="0014147C">
              <w:rPr>
                <w:rFonts w:ascii="Calibri Light" w:eastAsia="Times New Roman" w:hAnsi="Calibri Light" w:cs="Calibri Light"/>
                <w:color w:val="000000"/>
                <w:sz w:val="18"/>
                <w:szCs w:val="18"/>
                <w:lang w:eastAsia="es-EC"/>
              </w:rPr>
              <w:t>367,45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B715F" w14:textId="77777777" w:rsidR="00C420E7" w:rsidRPr="0014147C" w:rsidRDefault="00C420E7" w:rsidP="000A4588">
            <w:pPr>
              <w:jc w:val="center"/>
              <w:rPr>
                <w:rFonts w:ascii="Calibri Light" w:eastAsia="Times New Roman" w:hAnsi="Calibri Light" w:cs="Calibri Light"/>
                <w:color w:val="000000"/>
                <w:sz w:val="18"/>
                <w:szCs w:val="18"/>
                <w:lang w:eastAsia="es-EC"/>
              </w:rPr>
            </w:pPr>
            <w:r w:rsidRPr="0014147C">
              <w:rPr>
                <w:rFonts w:ascii="Calibri Light" w:eastAsia="Times New Roman" w:hAnsi="Calibri Light" w:cs="Calibri Light"/>
                <w:color w:val="000000"/>
                <w:sz w:val="18"/>
                <w:szCs w:val="18"/>
                <w:lang w:eastAsia="es-EC"/>
              </w:rPr>
              <w:t>508,93</w:t>
            </w:r>
          </w:p>
        </w:tc>
      </w:tr>
      <w:tr w:rsidR="00C420E7" w:rsidRPr="0014147C" w14:paraId="3D40B49B" w14:textId="77777777" w:rsidTr="000A4588">
        <w:trPr>
          <w:trHeight w:val="315"/>
          <w:jc w:val="center"/>
        </w:trPr>
        <w:tc>
          <w:tcPr>
            <w:tcW w:w="3920" w:type="dxa"/>
            <w:gridSpan w:val="2"/>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197A5400" w14:textId="77777777" w:rsidR="00C420E7" w:rsidRPr="0014147C" w:rsidRDefault="00C420E7" w:rsidP="000A4588">
            <w:pPr>
              <w:jc w:val="center"/>
              <w:rPr>
                <w:rFonts w:ascii="Calibri Light" w:eastAsia="Times New Roman" w:hAnsi="Calibri Light" w:cs="Calibri Light"/>
                <w:b/>
                <w:bCs/>
                <w:color w:val="FFFFFF"/>
                <w:sz w:val="18"/>
                <w:szCs w:val="18"/>
                <w:lang w:eastAsia="es-EC"/>
              </w:rPr>
            </w:pPr>
            <w:proofErr w:type="gramStart"/>
            <w:r w:rsidRPr="0014147C">
              <w:rPr>
                <w:rFonts w:ascii="Calibri Light" w:eastAsia="Times New Roman" w:hAnsi="Calibri Light" w:cs="Calibri Light"/>
                <w:b/>
                <w:bCs/>
                <w:color w:val="FFFFFF"/>
                <w:sz w:val="18"/>
                <w:szCs w:val="18"/>
                <w:lang w:eastAsia="es-EC"/>
              </w:rPr>
              <w:t>Total</w:t>
            </w:r>
            <w:proofErr w:type="gramEnd"/>
            <w:r w:rsidRPr="0014147C">
              <w:rPr>
                <w:rFonts w:ascii="Calibri Light" w:eastAsia="Times New Roman" w:hAnsi="Calibri Light" w:cs="Calibri Light"/>
                <w:b/>
                <w:bCs/>
                <w:color w:val="FFFFFF"/>
                <w:sz w:val="18"/>
                <w:szCs w:val="18"/>
                <w:lang w:eastAsia="es-EC"/>
              </w:rPr>
              <w:t xml:space="preserve"> </w:t>
            </w:r>
            <w:r>
              <w:rPr>
                <w:rFonts w:ascii="Calibri Light" w:eastAsia="Times New Roman" w:hAnsi="Calibri Light" w:cs="Calibri Light"/>
                <w:b/>
                <w:bCs/>
                <w:color w:val="FFFFFF"/>
                <w:sz w:val="18"/>
                <w:szCs w:val="18"/>
                <w:lang w:eastAsia="es-EC"/>
              </w:rPr>
              <w:t>S</w:t>
            </w:r>
            <w:r w:rsidRPr="0014147C">
              <w:rPr>
                <w:rFonts w:ascii="Calibri Light" w:eastAsia="Times New Roman" w:hAnsi="Calibri Light" w:cs="Calibri Light"/>
                <w:b/>
                <w:bCs/>
                <w:color w:val="FFFFFF"/>
                <w:sz w:val="18"/>
                <w:szCs w:val="18"/>
                <w:lang w:eastAsia="es-EC"/>
              </w:rPr>
              <w:t xml:space="preserve">ubestaciones </w:t>
            </w:r>
            <w:r>
              <w:rPr>
                <w:rFonts w:ascii="Calibri Light" w:eastAsia="Times New Roman" w:hAnsi="Calibri Light" w:cs="Calibri Light"/>
                <w:b/>
                <w:bCs/>
                <w:color w:val="FFFFFF"/>
                <w:sz w:val="18"/>
                <w:szCs w:val="18"/>
                <w:lang w:eastAsia="es-EC"/>
              </w:rPr>
              <w:t>E</w:t>
            </w:r>
            <w:r w:rsidRPr="0014147C">
              <w:rPr>
                <w:rFonts w:ascii="Calibri Light" w:eastAsia="Times New Roman" w:hAnsi="Calibri Light" w:cs="Calibri Light"/>
                <w:b/>
                <w:bCs/>
                <w:color w:val="FFFFFF"/>
                <w:sz w:val="18"/>
                <w:szCs w:val="18"/>
                <w:lang w:eastAsia="es-EC"/>
              </w:rPr>
              <w:t xml:space="preserve">mpresas de </w:t>
            </w:r>
            <w:r>
              <w:rPr>
                <w:rFonts w:ascii="Calibri Light" w:eastAsia="Times New Roman" w:hAnsi="Calibri Light" w:cs="Calibri Light"/>
                <w:b/>
                <w:bCs/>
                <w:color w:val="FFFFFF"/>
                <w:sz w:val="18"/>
                <w:szCs w:val="18"/>
                <w:lang w:eastAsia="es-EC"/>
              </w:rPr>
              <w:t>D</w:t>
            </w:r>
            <w:r w:rsidRPr="0014147C">
              <w:rPr>
                <w:rFonts w:ascii="Calibri Light" w:eastAsia="Times New Roman" w:hAnsi="Calibri Light" w:cs="Calibri Light"/>
                <w:b/>
                <w:bCs/>
                <w:color w:val="FFFFFF"/>
                <w:sz w:val="18"/>
                <w:szCs w:val="18"/>
                <w:lang w:eastAsia="es-EC"/>
              </w:rPr>
              <w:t>istribución</w:t>
            </w:r>
          </w:p>
        </w:tc>
        <w:tc>
          <w:tcPr>
            <w:tcW w:w="1200" w:type="dxa"/>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04F5432B" w14:textId="77777777" w:rsidR="00C420E7" w:rsidRPr="0014147C" w:rsidRDefault="00C420E7" w:rsidP="000A4588">
            <w:pPr>
              <w:jc w:val="center"/>
              <w:rPr>
                <w:rFonts w:ascii="Calibri Light" w:eastAsia="Times New Roman" w:hAnsi="Calibri Light" w:cs="Calibri Light"/>
                <w:b/>
                <w:bCs/>
                <w:color w:val="FFFFFF"/>
                <w:sz w:val="18"/>
                <w:szCs w:val="18"/>
                <w:lang w:eastAsia="es-EC"/>
              </w:rPr>
            </w:pPr>
            <w:r w:rsidRPr="0014147C">
              <w:rPr>
                <w:rFonts w:ascii="Calibri Light" w:eastAsia="Times New Roman" w:hAnsi="Calibri Light" w:cs="Calibri Light"/>
                <w:b/>
                <w:bCs/>
                <w:color w:val="FFFFFF"/>
                <w:sz w:val="18"/>
                <w:szCs w:val="18"/>
                <w:lang w:eastAsia="es-EC"/>
              </w:rPr>
              <w:t>7.089,17</w:t>
            </w:r>
          </w:p>
        </w:tc>
        <w:tc>
          <w:tcPr>
            <w:tcW w:w="1200" w:type="dxa"/>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501E80D1" w14:textId="77777777" w:rsidR="00C420E7" w:rsidRPr="0014147C" w:rsidRDefault="00C420E7" w:rsidP="000A4588">
            <w:pPr>
              <w:jc w:val="center"/>
              <w:rPr>
                <w:rFonts w:ascii="Calibri Light" w:eastAsia="Times New Roman" w:hAnsi="Calibri Light" w:cs="Calibri Light"/>
                <w:b/>
                <w:bCs/>
                <w:color w:val="FFFFFF"/>
                <w:sz w:val="18"/>
                <w:szCs w:val="18"/>
                <w:lang w:eastAsia="es-EC"/>
              </w:rPr>
            </w:pPr>
            <w:r w:rsidRPr="0014147C">
              <w:rPr>
                <w:rFonts w:ascii="Calibri Light" w:eastAsia="Times New Roman" w:hAnsi="Calibri Light" w:cs="Calibri Light"/>
                <w:b/>
                <w:bCs/>
                <w:color w:val="FFFFFF"/>
                <w:sz w:val="18"/>
                <w:szCs w:val="18"/>
                <w:lang w:eastAsia="es-EC"/>
              </w:rPr>
              <w:t>9.501,45</w:t>
            </w:r>
          </w:p>
        </w:tc>
      </w:tr>
      <w:tr w:rsidR="00C420E7" w:rsidRPr="0014147C" w14:paraId="61030A2D" w14:textId="77777777" w:rsidTr="000A4588">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D809D" w14:textId="77777777" w:rsidR="00C420E7" w:rsidRPr="0014147C" w:rsidRDefault="00C420E7" w:rsidP="000A4588">
            <w:pPr>
              <w:jc w:val="center"/>
              <w:rPr>
                <w:rFonts w:ascii="Calibri Light" w:eastAsia="Times New Roman" w:hAnsi="Calibri Light" w:cs="Calibri Light"/>
                <w:color w:val="000000"/>
                <w:sz w:val="18"/>
                <w:szCs w:val="18"/>
                <w:lang w:eastAsia="es-EC"/>
              </w:rPr>
            </w:pPr>
            <w:r w:rsidRPr="0014147C">
              <w:rPr>
                <w:rFonts w:ascii="Calibri Light" w:eastAsia="Times New Roman" w:hAnsi="Calibri Light" w:cs="Calibri Light"/>
                <w:color w:val="000000"/>
                <w:sz w:val="18"/>
                <w:szCs w:val="18"/>
                <w:lang w:eastAsia="es-EC"/>
              </w:rPr>
              <w:t>Privadas</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BECDC" w14:textId="77777777" w:rsidR="00C420E7" w:rsidRPr="0014147C" w:rsidRDefault="00C420E7" w:rsidP="000A4588">
            <w:pPr>
              <w:jc w:val="center"/>
              <w:rPr>
                <w:rFonts w:ascii="Calibri Light" w:eastAsia="Times New Roman" w:hAnsi="Calibri Light" w:cs="Calibri Light"/>
                <w:color w:val="000000"/>
                <w:sz w:val="18"/>
                <w:szCs w:val="18"/>
                <w:lang w:eastAsia="es-EC"/>
              </w:rPr>
            </w:pPr>
            <w:r w:rsidRPr="0014147C">
              <w:rPr>
                <w:rFonts w:ascii="Calibri Light" w:eastAsia="Times New Roman" w:hAnsi="Calibri Light" w:cs="Calibri Light"/>
                <w:color w:val="000000"/>
                <w:sz w:val="18"/>
                <w:szCs w:val="18"/>
                <w:lang w:eastAsia="es-EC"/>
              </w:rPr>
              <w:t>Elevación y reducción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AAE6E" w14:textId="77777777" w:rsidR="00C420E7" w:rsidRPr="0014147C" w:rsidRDefault="00C420E7" w:rsidP="000A4588">
            <w:pPr>
              <w:jc w:val="center"/>
              <w:rPr>
                <w:rFonts w:ascii="Calibri Light" w:eastAsia="Times New Roman" w:hAnsi="Calibri Light" w:cs="Calibri Light"/>
                <w:color w:val="000000"/>
                <w:sz w:val="18"/>
                <w:szCs w:val="18"/>
                <w:lang w:eastAsia="es-EC"/>
              </w:rPr>
            </w:pPr>
            <w:r w:rsidRPr="0014147C">
              <w:rPr>
                <w:rFonts w:ascii="Calibri Light" w:eastAsia="Times New Roman" w:hAnsi="Calibri Light" w:cs="Calibri Light"/>
                <w:color w:val="000000"/>
                <w:sz w:val="18"/>
                <w:szCs w:val="18"/>
                <w:lang w:eastAsia="es-EC"/>
              </w:rPr>
              <w:t>950,00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28B33" w14:textId="77777777" w:rsidR="00C420E7" w:rsidRPr="0014147C" w:rsidRDefault="00C420E7" w:rsidP="000A4588">
            <w:pPr>
              <w:jc w:val="center"/>
              <w:rPr>
                <w:rFonts w:ascii="Calibri Light" w:eastAsia="Times New Roman" w:hAnsi="Calibri Light" w:cs="Calibri Light"/>
                <w:color w:val="000000"/>
                <w:sz w:val="18"/>
                <w:szCs w:val="18"/>
                <w:lang w:eastAsia="es-EC"/>
              </w:rPr>
            </w:pPr>
            <w:r w:rsidRPr="0014147C">
              <w:rPr>
                <w:rFonts w:ascii="Calibri Light" w:eastAsia="Times New Roman" w:hAnsi="Calibri Light" w:cs="Calibri Light"/>
                <w:color w:val="000000"/>
                <w:sz w:val="18"/>
                <w:szCs w:val="18"/>
                <w:lang w:eastAsia="es-EC"/>
              </w:rPr>
              <w:t>1.185,82</w:t>
            </w:r>
          </w:p>
        </w:tc>
      </w:tr>
      <w:tr w:rsidR="00C420E7" w:rsidRPr="0014147C" w14:paraId="267E76F2" w14:textId="77777777" w:rsidTr="000A4588">
        <w:trPr>
          <w:trHeight w:val="315"/>
          <w:jc w:val="center"/>
        </w:trPr>
        <w:tc>
          <w:tcPr>
            <w:tcW w:w="3920" w:type="dxa"/>
            <w:gridSpan w:val="2"/>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4CAA5ADB" w14:textId="77777777" w:rsidR="00C420E7" w:rsidRPr="0014147C" w:rsidRDefault="00C420E7" w:rsidP="000A4588">
            <w:pPr>
              <w:jc w:val="center"/>
              <w:rPr>
                <w:rFonts w:ascii="Calibri Light" w:eastAsia="Times New Roman" w:hAnsi="Calibri Light" w:cs="Calibri Light"/>
                <w:b/>
                <w:bCs/>
                <w:color w:val="FFFFFF"/>
                <w:sz w:val="18"/>
                <w:szCs w:val="18"/>
                <w:lang w:eastAsia="es-EC"/>
              </w:rPr>
            </w:pPr>
            <w:proofErr w:type="gramStart"/>
            <w:r w:rsidRPr="0014147C">
              <w:rPr>
                <w:rFonts w:ascii="Calibri Light" w:eastAsia="Times New Roman" w:hAnsi="Calibri Light" w:cs="Calibri Light"/>
                <w:b/>
                <w:bCs/>
                <w:color w:val="FFFFFF"/>
                <w:sz w:val="18"/>
                <w:szCs w:val="18"/>
                <w:lang w:eastAsia="es-EC"/>
              </w:rPr>
              <w:t>Total</w:t>
            </w:r>
            <w:proofErr w:type="gramEnd"/>
            <w:r w:rsidRPr="0014147C">
              <w:rPr>
                <w:rFonts w:ascii="Calibri Light" w:eastAsia="Times New Roman" w:hAnsi="Calibri Light" w:cs="Calibri Light"/>
                <w:b/>
                <w:bCs/>
                <w:color w:val="FFFFFF"/>
                <w:sz w:val="18"/>
                <w:szCs w:val="18"/>
                <w:lang w:eastAsia="es-EC"/>
              </w:rPr>
              <w:t xml:space="preserve"> </w:t>
            </w:r>
            <w:r>
              <w:rPr>
                <w:rFonts w:ascii="Calibri Light" w:eastAsia="Times New Roman" w:hAnsi="Calibri Light" w:cs="Calibri Light"/>
                <w:b/>
                <w:bCs/>
                <w:color w:val="FFFFFF"/>
                <w:sz w:val="18"/>
                <w:szCs w:val="18"/>
                <w:lang w:eastAsia="es-EC"/>
              </w:rPr>
              <w:t>G</w:t>
            </w:r>
            <w:r w:rsidRPr="0014147C">
              <w:rPr>
                <w:rFonts w:ascii="Calibri Light" w:eastAsia="Times New Roman" w:hAnsi="Calibri Light" w:cs="Calibri Light"/>
                <w:b/>
                <w:bCs/>
                <w:color w:val="FFFFFF"/>
                <w:sz w:val="18"/>
                <w:szCs w:val="18"/>
                <w:lang w:eastAsia="es-EC"/>
              </w:rPr>
              <w:t>eneral</w:t>
            </w:r>
          </w:p>
        </w:tc>
        <w:tc>
          <w:tcPr>
            <w:tcW w:w="1200" w:type="dxa"/>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3E6C5CB9" w14:textId="77777777" w:rsidR="00C420E7" w:rsidRPr="0014147C" w:rsidRDefault="00C420E7" w:rsidP="000A4588">
            <w:pPr>
              <w:jc w:val="center"/>
              <w:rPr>
                <w:rFonts w:ascii="Calibri Light" w:eastAsia="Times New Roman" w:hAnsi="Calibri Light" w:cs="Calibri Light"/>
                <w:b/>
                <w:bCs/>
                <w:color w:val="FFFFFF"/>
                <w:sz w:val="18"/>
                <w:szCs w:val="18"/>
                <w:lang w:eastAsia="es-EC"/>
              </w:rPr>
            </w:pPr>
            <w:r w:rsidRPr="0014147C">
              <w:rPr>
                <w:rFonts w:ascii="Calibri Light" w:eastAsia="Times New Roman" w:hAnsi="Calibri Light" w:cs="Calibri Light"/>
                <w:b/>
                <w:bCs/>
                <w:color w:val="FFFFFF"/>
                <w:sz w:val="18"/>
                <w:szCs w:val="18"/>
                <w:lang w:eastAsia="es-EC"/>
              </w:rPr>
              <w:t>8.039,17</w:t>
            </w:r>
          </w:p>
        </w:tc>
        <w:tc>
          <w:tcPr>
            <w:tcW w:w="1200" w:type="dxa"/>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5E2E04E4" w14:textId="77777777" w:rsidR="00C420E7" w:rsidRPr="0014147C" w:rsidRDefault="00C420E7" w:rsidP="000A4588">
            <w:pPr>
              <w:jc w:val="center"/>
              <w:rPr>
                <w:rFonts w:ascii="Calibri Light" w:eastAsia="Times New Roman" w:hAnsi="Calibri Light" w:cs="Calibri Light"/>
                <w:b/>
                <w:bCs/>
                <w:color w:val="FFFFFF"/>
                <w:sz w:val="18"/>
                <w:szCs w:val="18"/>
                <w:lang w:eastAsia="es-EC"/>
              </w:rPr>
            </w:pPr>
            <w:r w:rsidRPr="0014147C">
              <w:rPr>
                <w:rFonts w:ascii="Calibri Light" w:eastAsia="Times New Roman" w:hAnsi="Calibri Light" w:cs="Calibri Light"/>
                <w:b/>
                <w:bCs/>
                <w:color w:val="FFFFFF"/>
                <w:sz w:val="18"/>
                <w:szCs w:val="18"/>
                <w:lang w:eastAsia="es-EC"/>
              </w:rPr>
              <w:t>10.687,27</w:t>
            </w:r>
          </w:p>
        </w:tc>
      </w:tr>
    </w:tbl>
    <w:p w14:paraId="55EB82EC" w14:textId="639A15C7" w:rsidR="00213F2B" w:rsidRPr="00190089" w:rsidRDefault="00C420E7" w:rsidP="00190089">
      <w:pPr>
        <w:spacing w:after="240"/>
        <w:jc w:val="center"/>
        <w:rPr>
          <w:rFonts w:asciiTheme="majorHAnsi" w:hAnsiTheme="majorHAnsi" w:cstheme="majorHAnsi"/>
          <w:i/>
          <w:color w:val="7F7F7F" w:themeColor="text1" w:themeTint="80"/>
          <w:sz w:val="18"/>
          <w:szCs w:val="18"/>
        </w:rPr>
      </w:pPr>
      <w:r w:rsidRPr="00B62CFA">
        <w:rPr>
          <w:rFonts w:asciiTheme="majorHAnsi" w:hAnsiTheme="majorHAnsi" w:cstheme="majorHAnsi"/>
          <w:i/>
          <w:color w:val="7F7F7F" w:themeColor="text1" w:themeTint="80"/>
          <w:sz w:val="18"/>
          <w:szCs w:val="18"/>
        </w:rPr>
        <w:t>Fuente: DTEII, 2025</w:t>
      </w:r>
    </w:p>
    <w:p w14:paraId="647906A6" w14:textId="02E99450" w:rsidR="00C420E7" w:rsidRPr="00D72897" w:rsidRDefault="00C420E7" w:rsidP="00C420E7">
      <w:pPr>
        <w:spacing w:after="240"/>
        <w:jc w:val="both"/>
        <w:rPr>
          <w:rFonts w:asciiTheme="majorHAnsi" w:hAnsiTheme="majorHAnsi" w:cstheme="majorHAnsi"/>
          <w:b/>
          <w:sz w:val="22"/>
        </w:rPr>
      </w:pPr>
      <w:r w:rsidRPr="00D72897">
        <w:rPr>
          <w:rFonts w:asciiTheme="majorHAnsi" w:hAnsiTheme="majorHAnsi" w:cstheme="majorHAnsi"/>
          <w:b/>
          <w:sz w:val="22"/>
        </w:rPr>
        <w:t>Calidad del Servicio de Distribución de Energía Eléctrica</w:t>
      </w:r>
    </w:p>
    <w:p w14:paraId="1200FA48" w14:textId="77777777" w:rsidR="00C420E7" w:rsidRDefault="00C420E7" w:rsidP="00C420E7">
      <w:pPr>
        <w:spacing w:after="240"/>
        <w:jc w:val="both"/>
        <w:rPr>
          <w:rFonts w:asciiTheme="majorHAnsi" w:hAnsiTheme="majorHAnsi" w:cstheme="majorHAnsi"/>
          <w:sz w:val="22"/>
        </w:rPr>
      </w:pPr>
      <w:r w:rsidRPr="00D72897">
        <w:rPr>
          <w:rFonts w:asciiTheme="majorHAnsi" w:hAnsiTheme="majorHAnsi" w:cstheme="majorHAnsi"/>
          <w:sz w:val="22"/>
        </w:rPr>
        <w:t xml:space="preserve">Objetivo Operativo N4: </w:t>
      </w:r>
      <w:r>
        <w:rPr>
          <w:rFonts w:asciiTheme="majorHAnsi" w:hAnsiTheme="majorHAnsi" w:cstheme="majorHAnsi"/>
          <w:sz w:val="22"/>
        </w:rPr>
        <w:t>“</w:t>
      </w:r>
      <w:r w:rsidRPr="00D72897">
        <w:rPr>
          <w:rFonts w:asciiTheme="majorHAnsi" w:hAnsiTheme="majorHAnsi" w:cstheme="majorHAnsi"/>
          <w:i/>
          <w:iCs/>
          <w:sz w:val="22"/>
        </w:rPr>
        <w:t>Incrementar la calidad del servicio técnico de todas las empresas eléctricas de distribución a nivel nacional, en el marco de la regulación 002/20 emitida por la ARCERNNR, mediante un seguimiento técnico riguroso y continuo que garantice el cumplimiento efectivo de la normativa vigente</w:t>
      </w:r>
      <w:r>
        <w:rPr>
          <w:rFonts w:asciiTheme="majorHAnsi" w:hAnsiTheme="majorHAnsi" w:cstheme="majorHAnsi"/>
          <w:i/>
          <w:iCs/>
          <w:sz w:val="22"/>
        </w:rPr>
        <w:t>”</w:t>
      </w:r>
      <w:r w:rsidRPr="00D72897">
        <w:rPr>
          <w:rFonts w:asciiTheme="majorHAnsi" w:hAnsiTheme="majorHAnsi" w:cstheme="majorHAnsi"/>
          <w:sz w:val="22"/>
        </w:rPr>
        <w:t>. Este objetivo busca asegurar que los parámetros establecidos para la calidad del servicio eléctrico sean alcanzados y mantenidos por las empresas distribuidoras, promoviendo una mejora sostenida en la prestación del servicio a los usuarios finales.</w:t>
      </w:r>
    </w:p>
    <w:p w14:paraId="4A8E45D1" w14:textId="77777777" w:rsidR="00C420E7" w:rsidRDefault="00C420E7" w:rsidP="00C420E7">
      <w:pPr>
        <w:spacing w:after="240"/>
        <w:jc w:val="both"/>
        <w:rPr>
          <w:rFonts w:asciiTheme="majorHAnsi" w:hAnsiTheme="majorHAnsi" w:cstheme="majorHAnsi"/>
          <w:sz w:val="22"/>
        </w:rPr>
      </w:pPr>
      <w:r w:rsidRPr="005D2AB5">
        <w:rPr>
          <w:rFonts w:asciiTheme="majorHAnsi" w:hAnsiTheme="majorHAnsi" w:cstheme="majorHAnsi"/>
          <w:sz w:val="22"/>
        </w:rPr>
        <w:t>La calidad del servicio técnico evalúa el cumplimiento de indicadores globales, los cuales son:</w:t>
      </w:r>
    </w:p>
    <w:p w14:paraId="4F193C77" w14:textId="77777777" w:rsidR="00C420E7" w:rsidRPr="005D2AB5" w:rsidRDefault="00C420E7" w:rsidP="00C420E7">
      <w:pPr>
        <w:pStyle w:val="Prrafodelista"/>
        <w:numPr>
          <w:ilvl w:val="0"/>
          <w:numId w:val="205"/>
        </w:numPr>
        <w:spacing w:after="240"/>
        <w:jc w:val="both"/>
        <w:rPr>
          <w:rFonts w:asciiTheme="majorHAnsi" w:hAnsiTheme="majorHAnsi" w:cstheme="majorHAnsi"/>
          <w:sz w:val="22"/>
        </w:rPr>
      </w:pPr>
      <w:r w:rsidRPr="005D2AB5">
        <w:rPr>
          <w:rFonts w:asciiTheme="majorHAnsi" w:hAnsiTheme="majorHAnsi" w:cstheme="majorHAnsi"/>
          <w:sz w:val="22"/>
        </w:rPr>
        <w:t xml:space="preserve">Frecuencia media de interrupción (FMIK), el cual representa el promedio de veces que cada </w:t>
      </w:r>
      <w:proofErr w:type="spellStart"/>
      <w:r w:rsidRPr="005D2AB5">
        <w:rPr>
          <w:rFonts w:asciiTheme="majorHAnsi" w:hAnsiTheme="majorHAnsi" w:cstheme="majorHAnsi"/>
          <w:sz w:val="22"/>
        </w:rPr>
        <w:t>kVA</w:t>
      </w:r>
      <w:proofErr w:type="spellEnd"/>
      <w:r w:rsidRPr="005D2AB5">
        <w:rPr>
          <w:rFonts w:asciiTheme="majorHAnsi" w:hAnsiTheme="majorHAnsi" w:cstheme="majorHAnsi"/>
          <w:sz w:val="22"/>
        </w:rPr>
        <w:t xml:space="preserve"> nominal instalado presentó una interrupción de servicio, durante el período de control (mensual o anual).</w:t>
      </w:r>
    </w:p>
    <w:p w14:paraId="16317D65" w14:textId="77777777" w:rsidR="00C420E7" w:rsidRPr="005D2AB5" w:rsidRDefault="00C420E7" w:rsidP="00C420E7">
      <w:pPr>
        <w:pStyle w:val="Prrafodelista"/>
        <w:numPr>
          <w:ilvl w:val="0"/>
          <w:numId w:val="205"/>
        </w:numPr>
        <w:spacing w:after="240"/>
        <w:jc w:val="both"/>
        <w:rPr>
          <w:rFonts w:asciiTheme="majorHAnsi" w:hAnsiTheme="majorHAnsi" w:cstheme="majorHAnsi"/>
          <w:sz w:val="22"/>
        </w:rPr>
      </w:pPr>
      <w:r w:rsidRPr="005D2AB5">
        <w:rPr>
          <w:rFonts w:asciiTheme="majorHAnsi" w:hAnsiTheme="majorHAnsi" w:cstheme="majorHAnsi"/>
          <w:sz w:val="22"/>
        </w:rPr>
        <w:t xml:space="preserve">Tiempo total de interrupción (TTIK), el cual representa el tiempo promedio, expresado en horas, en que cada </w:t>
      </w:r>
      <w:proofErr w:type="spellStart"/>
      <w:r w:rsidRPr="005D2AB5">
        <w:rPr>
          <w:rFonts w:asciiTheme="majorHAnsi" w:hAnsiTheme="majorHAnsi" w:cstheme="majorHAnsi"/>
          <w:sz w:val="22"/>
        </w:rPr>
        <w:t>kVA</w:t>
      </w:r>
      <w:proofErr w:type="spellEnd"/>
      <w:r w:rsidRPr="005D2AB5">
        <w:rPr>
          <w:rFonts w:asciiTheme="majorHAnsi" w:hAnsiTheme="majorHAnsi" w:cstheme="majorHAnsi"/>
          <w:sz w:val="22"/>
        </w:rPr>
        <w:t xml:space="preserve"> nominal instalado estuvo fuera de servicio, durante el período de control (mensual o anual).</w:t>
      </w:r>
    </w:p>
    <w:p w14:paraId="316D429F" w14:textId="77777777" w:rsidR="00C420E7" w:rsidRPr="00213F2B" w:rsidRDefault="00C420E7" w:rsidP="00213F2B">
      <w:pPr>
        <w:pStyle w:val="Ttulo4"/>
        <w:rPr>
          <w:i w:val="0"/>
        </w:rPr>
      </w:pPr>
      <w:bookmarkStart w:id="433" w:name="_Toc198110348"/>
      <w:r w:rsidRPr="00213F2B">
        <w:rPr>
          <w:i w:val="0"/>
        </w:rPr>
        <w:t>Regulaciones Técnicas</w:t>
      </w:r>
      <w:bookmarkEnd w:id="433"/>
      <w:r w:rsidRPr="00213F2B">
        <w:rPr>
          <w:i w:val="0"/>
        </w:rPr>
        <w:t xml:space="preserve"> </w:t>
      </w:r>
    </w:p>
    <w:p w14:paraId="47A18AFA" w14:textId="77777777" w:rsidR="00C420E7" w:rsidRPr="000C678E" w:rsidRDefault="00C420E7" w:rsidP="00C420E7"/>
    <w:p w14:paraId="1B5D8206" w14:textId="77777777" w:rsidR="00C420E7" w:rsidRDefault="00C420E7" w:rsidP="00C420E7">
      <w:pPr>
        <w:pStyle w:val="Prrafodelista"/>
        <w:ind w:left="360"/>
        <w:jc w:val="both"/>
        <w:rPr>
          <w:rFonts w:asciiTheme="majorHAnsi" w:hAnsiTheme="majorHAnsi" w:cstheme="majorHAnsi"/>
          <w:b/>
          <w:bCs/>
          <w:sz w:val="22"/>
        </w:rPr>
      </w:pPr>
      <w:r>
        <w:rPr>
          <w:rFonts w:asciiTheme="majorHAnsi" w:hAnsiTheme="majorHAnsi" w:cstheme="majorHAnsi"/>
          <w:b/>
          <w:bCs/>
          <w:sz w:val="22"/>
        </w:rPr>
        <w:t>Regulación Nro. ARCONEL 003/24 “Operación Técnica – Comercial de Grupos Electrógenos de Emergencia en condiciones de Déficit de Generación y Racionamientos de Energía Eléctrica en el S.N.I”</w:t>
      </w:r>
    </w:p>
    <w:p w14:paraId="77542426" w14:textId="48CB7D38" w:rsidR="00C420E7" w:rsidRPr="00213F2B" w:rsidRDefault="00C420E7" w:rsidP="00213F2B">
      <w:pPr>
        <w:pStyle w:val="Prrafodelista"/>
        <w:ind w:left="360"/>
        <w:jc w:val="both"/>
        <w:rPr>
          <w:rFonts w:asciiTheme="majorHAnsi" w:hAnsiTheme="majorHAnsi" w:cstheme="majorHAnsi"/>
          <w:sz w:val="22"/>
        </w:rPr>
      </w:pPr>
      <w:r w:rsidRPr="00175AA4">
        <w:rPr>
          <w:rFonts w:asciiTheme="majorHAnsi" w:hAnsiTheme="majorHAnsi" w:cstheme="majorHAnsi"/>
          <w:sz w:val="22"/>
        </w:rPr>
        <w:t xml:space="preserve">Establece las disposiciones técnicas y comerciales para la operación de grupos electrógenos de emergencia en el Sistema Nacional Interconectado (SNI) durante situaciones de déficit de generación o racionamientos de energía eléctrica. Esta normativa busca asegurar que, durante estos momentos críticos, se priorice el suministro eléctrico a hospitales, centros educativos, servicios básicos y otras áreas sensibles, utilizando generadores previamente registrados y autorizados. </w:t>
      </w:r>
    </w:p>
    <w:p w14:paraId="71FBBA9D" w14:textId="77777777" w:rsidR="00C420E7" w:rsidRDefault="00C420E7" w:rsidP="00C420E7">
      <w:pPr>
        <w:pStyle w:val="Descripcin"/>
      </w:pPr>
    </w:p>
    <w:p w14:paraId="61332021" w14:textId="51F5F55A" w:rsidR="00C420E7" w:rsidRPr="00B62CFA" w:rsidRDefault="00C420E7" w:rsidP="00C420E7">
      <w:pPr>
        <w:pStyle w:val="Descripcin"/>
        <w:rPr>
          <w:rFonts w:asciiTheme="majorHAnsi" w:hAnsiTheme="majorHAnsi" w:cstheme="majorHAnsi"/>
        </w:rPr>
      </w:pPr>
      <w:bookmarkStart w:id="434" w:name="_Toc198110396"/>
      <w:bookmarkStart w:id="435" w:name="_Toc199759705"/>
      <w:r w:rsidRPr="00B62CFA">
        <w:rPr>
          <w:rFonts w:asciiTheme="majorHAnsi" w:hAnsiTheme="majorHAnsi" w:cstheme="majorHAnsi"/>
        </w:rPr>
        <w:t xml:space="preserve">Tabla </w:t>
      </w:r>
      <w:r w:rsidR="003A269C" w:rsidRPr="00B62CFA">
        <w:rPr>
          <w:rFonts w:asciiTheme="majorHAnsi" w:hAnsiTheme="majorHAnsi" w:cstheme="majorHAnsi"/>
        </w:rPr>
        <w:fldChar w:fldCharType="begin"/>
      </w:r>
      <w:r w:rsidR="003A269C" w:rsidRPr="00B62CFA">
        <w:rPr>
          <w:rFonts w:asciiTheme="majorHAnsi" w:hAnsiTheme="majorHAnsi" w:cstheme="majorHAnsi"/>
        </w:rPr>
        <w:instrText xml:space="preserve"> SEQ Tabla \* ARABIC </w:instrText>
      </w:r>
      <w:r w:rsidR="003A269C" w:rsidRPr="00B62CFA">
        <w:rPr>
          <w:rFonts w:asciiTheme="majorHAnsi" w:hAnsiTheme="majorHAnsi" w:cstheme="majorHAnsi"/>
        </w:rPr>
        <w:fldChar w:fldCharType="separate"/>
      </w:r>
      <w:r w:rsidR="00CF0AD2">
        <w:rPr>
          <w:rFonts w:asciiTheme="majorHAnsi" w:hAnsiTheme="majorHAnsi" w:cstheme="majorHAnsi"/>
          <w:noProof/>
        </w:rPr>
        <w:t>35</w:t>
      </w:r>
      <w:r w:rsidR="003A269C" w:rsidRPr="00B62CFA">
        <w:rPr>
          <w:rFonts w:asciiTheme="majorHAnsi" w:hAnsiTheme="majorHAnsi" w:cstheme="majorHAnsi"/>
          <w:noProof/>
        </w:rPr>
        <w:fldChar w:fldCharType="end"/>
      </w:r>
      <w:r w:rsidR="00192E54">
        <w:rPr>
          <w:rFonts w:asciiTheme="majorHAnsi" w:hAnsiTheme="majorHAnsi" w:cstheme="majorHAnsi"/>
        </w:rPr>
        <w:t>:</w:t>
      </w:r>
      <w:r w:rsidRPr="00B62CFA">
        <w:rPr>
          <w:rFonts w:asciiTheme="majorHAnsi" w:hAnsiTheme="majorHAnsi" w:cstheme="majorHAnsi"/>
        </w:rPr>
        <w:t xml:space="preserve"> Cantidad de solicitudes ingresadas por Empresa Eléctrica de Distribución</w:t>
      </w:r>
      <w:bookmarkEnd w:id="434"/>
      <w:bookmarkEnd w:id="435"/>
    </w:p>
    <w:tbl>
      <w:tblPr>
        <w:tblW w:w="9073" w:type="dxa"/>
        <w:tblInd w:w="-294"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firstRow="1" w:lastRow="0" w:firstColumn="1" w:lastColumn="0" w:noHBand="0" w:noVBand="1"/>
      </w:tblPr>
      <w:tblGrid>
        <w:gridCol w:w="1425"/>
        <w:gridCol w:w="1134"/>
        <w:gridCol w:w="993"/>
        <w:gridCol w:w="1134"/>
        <w:gridCol w:w="992"/>
        <w:gridCol w:w="1276"/>
        <w:gridCol w:w="992"/>
        <w:gridCol w:w="1127"/>
      </w:tblGrid>
      <w:tr w:rsidR="00C420E7" w:rsidRPr="00C63D02" w14:paraId="7EB51B05" w14:textId="77777777" w:rsidTr="000A4588">
        <w:trPr>
          <w:trHeight w:val="1084"/>
          <w:tblHeader/>
        </w:trPr>
        <w:tc>
          <w:tcPr>
            <w:tcW w:w="1425" w:type="dxa"/>
            <w:shd w:val="clear" w:color="000000" w:fill="5B9BD5"/>
            <w:noWrap/>
            <w:vAlign w:val="center"/>
            <w:hideMark/>
          </w:tcPr>
          <w:p w14:paraId="01647F03" w14:textId="77777777" w:rsidR="00C420E7" w:rsidRPr="00B62CFA" w:rsidRDefault="00C420E7" w:rsidP="00B62CFA">
            <w:pPr>
              <w:jc w:val="center"/>
              <w:rPr>
                <w:rFonts w:asciiTheme="majorHAnsi" w:eastAsia="Times New Roman" w:hAnsiTheme="majorHAnsi" w:cstheme="majorHAnsi"/>
                <w:b/>
                <w:bCs/>
                <w:color w:val="FFFFFF"/>
                <w:sz w:val="18"/>
                <w:szCs w:val="18"/>
                <w:lang w:eastAsia="es-EC"/>
              </w:rPr>
            </w:pPr>
            <w:r w:rsidRPr="00B62CFA">
              <w:rPr>
                <w:rFonts w:asciiTheme="majorHAnsi" w:eastAsia="Times New Roman" w:hAnsiTheme="majorHAnsi" w:cstheme="majorHAnsi"/>
                <w:b/>
                <w:bCs/>
                <w:color w:val="FFFFFF"/>
                <w:sz w:val="18"/>
                <w:szCs w:val="18"/>
                <w:lang w:eastAsia="es-EC"/>
              </w:rPr>
              <w:t>EED</w:t>
            </w:r>
          </w:p>
        </w:tc>
        <w:tc>
          <w:tcPr>
            <w:tcW w:w="1134" w:type="dxa"/>
            <w:shd w:val="clear" w:color="000000" w:fill="5B9BD5"/>
            <w:vAlign w:val="center"/>
            <w:hideMark/>
          </w:tcPr>
          <w:p w14:paraId="07695495" w14:textId="77777777" w:rsidR="00C420E7" w:rsidRPr="00B62CFA" w:rsidRDefault="00C420E7" w:rsidP="00B62CFA">
            <w:pPr>
              <w:jc w:val="center"/>
              <w:rPr>
                <w:rFonts w:asciiTheme="majorHAnsi" w:eastAsia="Times New Roman" w:hAnsiTheme="majorHAnsi" w:cstheme="majorHAnsi"/>
                <w:b/>
                <w:bCs/>
                <w:color w:val="FFFFFF"/>
                <w:sz w:val="18"/>
                <w:szCs w:val="18"/>
                <w:lang w:eastAsia="es-EC"/>
              </w:rPr>
            </w:pPr>
            <w:proofErr w:type="gramStart"/>
            <w:r w:rsidRPr="00B62CFA">
              <w:rPr>
                <w:rFonts w:asciiTheme="majorHAnsi" w:eastAsia="Times New Roman" w:hAnsiTheme="majorHAnsi" w:cstheme="majorHAnsi"/>
                <w:b/>
                <w:bCs/>
                <w:color w:val="FFFFFF"/>
                <w:sz w:val="18"/>
                <w:szCs w:val="18"/>
                <w:lang w:eastAsia="es-EC"/>
              </w:rPr>
              <w:t>Total</w:t>
            </w:r>
            <w:proofErr w:type="gramEnd"/>
            <w:r w:rsidRPr="00B62CFA">
              <w:rPr>
                <w:rFonts w:asciiTheme="majorHAnsi" w:eastAsia="Times New Roman" w:hAnsiTheme="majorHAnsi" w:cstheme="majorHAnsi"/>
                <w:b/>
                <w:bCs/>
                <w:color w:val="FFFFFF"/>
                <w:sz w:val="18"/>
                <w:szCs w:val="18"/>
                <w:lang w:eastAsia="es-EC"/>
              </w:rPr>
              <w:t xml:space="preserve"> Trámites Ingresados</w:t>
            </w:r>
          </w:p>
        </w:tc>
        <w:tc>
          <w:tcPr>
            <w:tcW w:w="993" w:type="dxa"/>
            <w:shd w:val="clear" w:color="000000" w:fill="5B9BD5"/>
            <w:vAlign w:val="center"/>
            <w:hideMark/>
          </w:tcPr>
          <w:p w14:paraId="6EDE9E56" w14:textId="77777777" w:rsidR="00C420E7" w:rsidRPr="00B62CFA" w:rsidRDefault="00C420E7" w:rsidP="00B62CFA">
            <w:pPr>
              <w:jc w:val="center"/>
              <w:rPr>
                <w:rFonts w:asciiTheme="majorHAnsi" w:eastAsia="Times New Roman" w:hAnsiTheme="majorHAnsi" w:cstheme="majorHAnsi"/>
                <w:b/>
                <w:bCs/>
                <w:color w:val="FFFFFF"/>
                <w:sz w:val="18"/>
                <w:szCs w:val="18"/>
                <w:lang w:eastAsia="es-EC"/>
              </w:rPr>
            </w:pPr>
            <w:r w:rsidRPr="00B62CFA">
              <w:rPr>
                <w:rFonts w:asciiTheme="majorHAnsi" w:eastAsia="Times New Roman" w:hAnsiTheme="majorHAnsi" w:cstheme="majorHAnsi"/>
                <w:b/>
                <w:bCs/>
                <w:color w:val="FFFFFF"/>
                <w:sz w:val="18"/>
                <w:szCs w:val="18"/>
                <w:lang w:eastAsia="es-EC"/>
              </w:rPr>
              <w:t>Trámites en Proceso</w:t>
            </w:r>
          </w:p>
        </w:tc>
        <w:tc>
          <w:tcPr>
            <w:tcW w:w="1134" w:type="dxa"/>
            <w:shd w:val="clear" w:color="000000" w:fill="5B9BD5"/>
            <w:vAlign w:val="center"/>
            <w:hideMark/>
          </w:tcPr>
          <w:p w14:paraId="6D6D3626" w14:textId="77777777" w:rsidR="00C420E7" w:rsidRPr="00B62CFA" w:rsidRDefault="00C420E7" w:rsidP="00B62CFA">
            <w:pPr>
              <w:jc w:val="center"/>
              <w:rPr>
                <w:rFonts w:asciiTheme="majorHAnsi" w:eastAsia="Times New Roman" w:hAnsiTheme="majorHAnsi" w:cstheme="majorHAnsi"/>
                <w:b/>
                <w:bCs/>
                <w:color w:val="FFFFFF"/>
                <w:sz w:val="18"/>
                <w:szCs w:val="18"/>
                <w:lang w:eastAsia="es-EC"/>
              </w:rPr>
            </w:pPr>
            <w:r w:rsidRPr="00B62CFA">
              <w:rPr>
                <w:rFonts w:asciiTheme="majorHAnsi" w:eastAsia="Times New Roman" w:hAnsiTheme="majorHAnsi" w:cstheme="majorHAnsi"/>
                <w:b/>
                <w:bCs/>
                <w:color w:val="FFFFFF"/>
                <w:sz w:val="18"/>
                <w:szCs w:val="18"/>
                <w:lang w:eastAsia="es-EC"/>
              </w:rPr>
              <w:t>Potencia Grupo Electrógeno (</w:t>
            </w:r>
            <w:proofErr w:type="spellStart"/>
            <w:r w:rsidRPr="00B62CFA">
              <w:rPr>
                <w:rFonts w:asciiTheme="majorHAnsi" w:eastAsia="Times New Roman" w:hAnsiTheme="majorHAnsi" w:cstheme="majorHAnsi"/>
                <w:b/>
                <w:bCs/>
                <w:color w:val="FFFFFF"/>
                <w:sz w:val="18"/>
                <w:szCs w:val="18"/>
                <w:lang w:eastAsia="es-EC"/>
              </w:rPr>
              <w:t>kw</w:t>
            </w:r>
            <w:proofErr w:type="spellEnd"/>
            <w:r w:rsidRPr="00B62CFA">
              <w:rPr>
                <w:rFonts w:asciiTheme="majorHAnsi" w:eastAsia="Times New Roman" w:hAnsiTheme="majorHAnsi" w:cstheme="majorHAnsi"/>
                <w:b/>
                <w:bCs/>
                <w:color w:val="FFFFFF"/>
                <w:sz w:val="18"/>
                <w:szCs w:val="18"/>
                <w:lang w:eastAsia="es-EC"/>
              </w:rPr>
              <w:t>) en Trámite</w:t>
            </w:r>
          </w:p>
        </w:tc>
        <w:tc>
          <w:tcPr>
            <w:tcW w:w="992" w:type="dxa"/>
            <w:shd w:val="clear" w:color="000000" w:fill="5B9BD5"/>
            <w:noWrap/>
            <w:vAlign w:val="center"/>
            <w:hideMark/>
          </w:tcPr>
          <w:p w14:paraId="11C33D6E" w14:textId="77777777" w:rsidR="00C420E7" w:rsidRPr="00B62CFA" w:rsidRDefault="00C420E7" w:rsidP="00B62CFA">
            <w:pPr>
              <w:jc w:val="center"/>
              <w:rPr>
                <w:rFonts w:asciiTheme="majorHAnsi" w:eastAsia="Times New Roman" w:hAnsiTheme="majorHAnsi" w:cstheme="majorHAnsi"/>
                <w:b/>
                <w:bCs/>
                <w:color w:val="FFFFFF"/>
                <w:sz w:val="18"/>
                <w:szCs w:val="18"/>
                <w:lang w:eastAsia="es-EC"/>
              </w:rPr>
            </w:pPr>
            <w:r w:rsidRPr="00B62CFA">
              <w:rPr>
                <w:rFonts w:asciiTheme="majorHAnsi" w:eastAsia="Times New Roman" w:hAnsiTheme="majorHAnsi" w:cstheme="majorHAnsi"/>
                <w:b/>
                <w:bCs/>
                <w:color w:val="FFFFFF"/>
                <w:sz w:val="18"/>
                <w:szCs w:val="18"/>
                <w:lang w:eastAsia="es-EC"/>
              </w:rPr>
              <w:t>Trámites Aprobados</w:t>
            </w:r>
          </w:p>
        </w:tc>
        <w:tc>
          <w:tcPr>
            <w:tcW w:w="1276" w:type="dxa"/>
            <w:shd w:val="clear" w:color="000000" w:fill="5B9BD5"/>
            <w:noWrap/>
            <w:vAlign w:val="center"/>
            <w:hideMark/>
          </w:tcPr>
          <w:p w14:paraId="0A184E8D" w14:textId="77777777" w:rsidR="00C420E7" w:rsidRPr="00B62CFA" w:rsidRDefault="00C420E7" w:rsidP="00B62CFA">
            <w:pPr>
              <w:jc w:val="center"/>
              <w:rPr>
                <w:rFonts w:asciiTheme="majorHAnsi" w:eastAsia="Times New Roman" w:hAnsiTheme="majorHAnsi" w:cstheme="majorHAnsi"/>
                <w:b/>
                <w:bCs/>
                <w:color w:val="FFFFFF"/>
                <w:sz w:val="18"/>
                <w:szCs w:val="18"/>
                <w:lang w:eastAsia="es-EC"/>
              </w:rPr>
            </w:pPr>
            <w:r w:rsidRPr="00B62CFA">
              <w:rPr>
                <w:rFonts w:asciiTheme="majorHAnsi" w:eastAsia="Times New Roman" w:hAnsiTheme="majorHAnsi" w:cstheme="majorHAnsi"/>
                <w:b/>
                <w:bCs/>
                <w:color w:val="FFFFFF"/>
                <w:sz w:val="18"/>
                <w:szCs w:val="18"/>
                <w:lang w:eastAsia="es-EC"/>
              </w:rPr>
              <w:t>Potencia Grupo Electrógeno (kW) Aprobada</w:t>
            </w:r>
          </w:p>
        </w:tc>
        <w:tc>
          <w:tcPr>
            <w:tcW w:w="992" w:type="dxa"/>
            <w:shd w:val="clear" w:color="000000" w:fill="5B9BD5"/>
            <w:vAlign w:val="center"/>
            <w:hideMark/>
          </w:tcPr>
          <w:p w14:paraId="618A236E" w14:textId="77777777" w:rsidR="00C420E7" w:rsidRPr="00B62CFA" w:rsidRDefault="00C420E7" w:rsidP="00B62CFA">
            <w:pPr>
              <w:jc w:val="center"/>
              <w:rPr>
                <w:rFonts w:asciiTheme="majorHAnsi" w:eastAsia="Times New Roman" w:hAnsiTheme="majorHAnsi" w:cstheme="majorHAnsi"/>
                <w:b/>
                <w:bCs/>
                <w:color w:val="FFFFFF"/>
                <w:sz w:val="18"/>
                <w:szCs w:val="18"/>
                <w:lang w:eastAsia="es-EC"/>
              </w:rPr>
            </w:pPr>
            <w:r w:rsidRPr="00B62CFA">
              <w:rPr>
                <w:rFonts w:asciiTheme="majorHAnsi" w:eastAsia="Times New Roman" w:hAnsiTheme="majorHAnsi" w:cstheme="majorHAnsi"/>
                <w:b/>
                <w:bCs/>
                <w:color w:val="FFFFFF"/>
                <w:sz w:val="18"/>
                <w:szCs w:val="18"/>
                <w:lang w:eastAsia="es-EC"/>
              </w:rPr>
              <w:t>Trámites Finalizados</w:t>
            </w:r>
          </w:p>
        </w:tc>
        <w:tc>
          <w:tcPr>
            <w:tcW w:w="1127" w:type="dxa"/>
            <w:shd w:val="clear" w:color="000000" w:fill="5B9BD5"/>
            <w:vAlign w:val="center"/>
            <w:hideMark/>
          </w:tcPr>
          <w:p w14:paraId="0B7E133F" w14:textId="77777777" w:rsidR="00C420E7" w:rsidRPr="00B62CFA" w:rsidRDefault="00C420E7" w:rsidP="00B62CFA">
            <w:pPr>
              <w:jc w:val="center"/>
              <w:rPr>
                <w:rFonts w:asciiTheme="majorHAnsi" w:eastAsia="Times New Roman" w:hAnsiTheme="majorHAnsi" w:cstheme="majorHAnsi"/>
                <w:b/>
                <w:bCs/>
                <w:color w:val="FFFFFF"/>
                <w:sz w:val="18"/>
                <w:szCs w:val="18"/>
                <w:lang w:eastAsia="es-EC"/>
              </w:rPr>
            </w:pPr>
            <w:r w:rsidRPr="00B62CFA">
              <w:rPr>
                <w:rFonts w:asciiTheme="majorHAnsi" w:eastAsia="Times New Roman" w:hAnsiTheme="majorHAnsi" w:cstheme="majorHAnsi"/>
                <w:b/>
                <w:bCs/>
                <w:color w:val="FFFFFF"/>
                <w:sz w:val="18"/>
                <w:szCs w:val="18"/>
                <w:lang w:eastAsia="es-EC"/>
              </w:rPr>
              <w:t>Potencia Grupo Electrógeno (kW) Finalizados</w:t>
            </w:r>
          </w:p>
        </w:tc>
      </w:tr>
      <w:tr w:rsidR="00C420E7" w:rsidRPr="00C63D02" w14:paraId="5484B55E" w14:textId="77777777" w:rsidTr="000A4588">
        <w:trPr>
          <w:trHeight w:val="315"/>
        </w:trPr>
        <w:tc>
          <w:tcPr>
            <w:tcW w:w="1425" w:type="dxa"/>
            <w:shd w:val="clear" w:color="auto" w:fill="auto"/>
            <w:noWrap/>
            <w:vAlign w:val="center"/>
            <w:hideMark/>
          </w:tcPr>
          <w:p w14:paraId="04DA856F"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E.E. Ambato</w:t>
            </w:r>
          </w:p>
        </w:tc>
        <w:tc>
          <w:tcPr>
            <w:tcW w:w="1134" w:type="dxa"/>
            <w:shd w:val="clear" w:color="auto" w:fill="auto"/>
            <w:noWrap/>
            <w:vAlign w:val="center"/>
            <w:hideMark/>
          </w:tcPr>
          <w:p w14:paraId="4E3D951E"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12</w:t>
            </w:r>
          </w:p>
        </w:tc>
        <w:tc>
          <w:tcPr>
            <w:tcW w:w="993" w:type="dxa"/>
            <w:shd w:val="clear" w:color="auto" w:fill="auto"/>
            <w:noWrap/>
            <w:vAlign w:val="center"/>
            <w:hideMark/>
          </w:tcPr>
          <w:p w14:paraId="2B8E76AB"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3</w:t>
            </w:r>
          </w:p>
        </w:tc>
        <w:tc>
          <w:tcPr>
            <w:tcW w:w="1134" w:type="dxa"/>
            <w:shd w:val="clear" w:color="auto" w:fill="auto"/>
            <w:noWrap/>
            <w:vAlign w:val="center"/>
            <w:hideMark/>
          </w:tcPr>
          <w:p w14:paraId="136B3EA3"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2.700,00</w:t>
            </w:r>
          </w:p>
        </w:tc>
        <w:tc>
          <w:tcPr>
            <w:tcW w:w="992" w:type="dxa"/>
            <w:shd w:val="clear" w:color="auto" w:fill="auto"/>
            <w:noWrap/>
            <w:vAlign w:val="center"/>
            <w:hideMark/>
          </w:tcPr>
          <w:p w14:paraId="144EB5C1"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9</w:t>
            </w:r>
          </w:p>
        </w:tc>
        <w:tc>
          <w:tcPr>
            <w:tcW w:w="1276" w:type="dxa"/>
            <w:shd w:val="clear" w:color="auto" w:fill="auto"/>
            <w:noWrap/>
            <w:vAlign w:val="center"/>
            <w:hideMark/>
          </w:tcPr>
          <w:p w14:paraId="2A9F6BFB"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3.906,00</w:t>
            </w:r>
          </w:p>
        </w:tc>
        <w:tc>
          <w:tcPr>
            <w:tcW w:w="992" w:type="dxa"/>
            <w:shd w:val="clear" w:color="auto" w:fill="auto"/>
            <w:noWrap/>
            <w:vAlign w:val="center"/>
            <w:hideMark/>
          </w:tcPr>
          <w:p w14:paraId="40FE3EDF" w14:textId="194BB3A8"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c>
          <w:tcPr>
            <w:tcW w:w="1127" w:type="dxa"/>
            <w:shd w:val="clear" w:color="auto" w:fill="auto"/>
            <w:noWrap/>
            <w:vAlign w:val="center"/>
            <w:hideMark/>
          </w:tcPr>
          <w:p w14:paraId="74BEBDCF" w14:textId="645D1086"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r>
      <w:tr w:rsidR="00C420E7" w:rsidRPr="00C63D02" w14:paraId="4E9D2975" w14:textId="77777777" w:rsidTr="000A4588">
        <w:trPr>
          <w:trHeight w:val="315"/>
        </w:trPr>
        <w:tc>
          <w:tcPr>
            <w:tcW w:w="1425" w:type="dxa"/>
            <w:shd w:val="clear" w:color="auto" w:fill="auto"/>
            <w:noWrap/>
            <w:vAlign w:val="center"/>
            <w:hideMark/>
          </w:tcPr>
          <w:p w14:paraId="022ECB11"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E.E. Azogues</w:t>
            </w:r>
          </w:p>
        </w:tc>
        <w:tc>
          <w:tcPr>
            <w:tcW w:w="1134" w:type="dxa"/>
            <w:shd w:val="clear" w:color="auto" w:fill="auto"/>
            <w:noWrap/>
            <w:vAlign w:val="center"/>
            <w:hideMark/>
          </w:tcPr>
          <w:p w14:paraId="5830FE93"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w:t>
            </w:r>
          </w:p>
        </w:tc>
        <w:tc>
          <w:tcPr>
            <w:tcW w:w="993" w:type="dxa"/>
            <w:shd w:val="clear" w:color="auto" w:fill="auto"/>
            <w:noWrap/>
            <w:vAlign w:val="center"/>
            <w:hideMark/>
          </w:tcPr>
          <w:p w14:paraId="6AA33E78" w14:textId="50462CB2"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c>
          <w:tcPr>
            <w:tcW w:w="1134" w:type="dxa"/>
            <w:shd w:val="clear" w:color="auto" w:fill="auto"/>
            <w:noWrap/>
            <w:vAlign w:val="center"/>
            <w:hideMark/>
          </w:tcPr>
          <w:p w14:paraId="13A0761C" w14:textId="0241A60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c>
          <w:tcPr>
            <w:tcW w:w="992" w:type="dxa"/>
            <w:shd w:val="clear" w:color="auto" w:fill="auto"/>
            <w:noWrap/>
            <w:vAlign w:val="center"/>
            <w:hideMark/>
          </w:tcPr>
          <w:p w14:paraId="0DDFD4F6"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w:t>
            </w:r>
          </w:p>
        </w:tc>
        <w:tc>
          <w:tcPr>
            <w:tcW w:w="1276" w:type="dxa"/>
            <w:shd w:val="clear" w:color="auto" w:fill="auto"/>
            <w:noWrap/>
            <w:vAlign w:val="center"/>
            <w:hideMark/>
          </w:tcPr>
          <w:p w14:paraId="5EF98B1A"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80</w:t>
            </w:r>
          </w:p>
        </w:tc>
        <w:tc>
          <w:tcPr>
            <w:tcW w:w="992" w:type="dxa"/>
            <w:shd w:val="clear" w:color="auto" w:fill="auto"/>
            <w:noWrap/>
            <w:vAlign w:val="center"/>
            <w:hideMark/>
          </w:tcPr>
          <w:p w14:paraId="265A44F4" w14:textId="1074C9B1"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c>
          <w:tcPr>
            <w:tcW w:w="1127" w:type="dxa"/>
            <w:shd w:val="clear" w:color="auto" w:fill="auto"/>
            <w:noWrap/>
            <w:vAlign w:val="center"/>
            <w:hideMark/>
          </w:tcPr>
          <w:p w14:paraId="70141CAE" w14:textId="68588E8C"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r>
      <w:tr w:rsidR="00C420E7" w:rsidRPr="00C63D02" w14:paraId="6DED800A" w14:textId="77777777" w:rsidTr="000A4588">
        <w:trPr>
          <w:trHeight w:val="315"/>
        </w:trPr>
        <w:tc>
          <w:tcPr>
            <w:tcW w:w="1425" w:type="dxa"/>
            <w:shd w:val="clear" w:color="auto" w:fill="auto"/>
            <w:noWrap/>
            <w:vAlign w:val="center"/>
            <w:hideMark/>
          </w:tcPr>
          <w:p w14:paraId="7E4C5D38"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 xml:space="preserve">E.E. </w:t>
            </w:r>
            <w:proofErr w:type="spellStart"/>
            <w:r w:rsidRPr="00B62CFA">
              <w:rPr>
                <w:rFonts w:asciiTheme="majorHAnsi" w:eastAsia="Times New Roman" w:hAnsiTheme="majorHAnsi" w:cstheme="majorHAnsi"/>
                <w:color w:val="000000"/>
                <w:sz w:val="18"/>
                <w:szCs w:val="18"/>
                <w:lang w:eastAsia="es-EC"/>
              </w:rPr>
              <w:t>CentroSur</w:t>
            </w:r>
            <w:proofErr w:type="spellEnd"/>
          </w:p>
        </w:tc>
        <w:tc>
          <w:tcPr>
            <w:tcW w:w="1134" w:type="dxa"/>
            <w:shd w:val="clear" w:color="auto" w:fill="auto"/>
            <w:noWrap/>
            <w:vAlign w:val="center"/>
            <w:hideMark/>
          </w:tcPr>
          <w:p w14:paraId="52A126E0"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20</w:t>
            </w:r>
          </w:p>
        </w:tc>
        <w:tc>
          <w:tcPr>
            <w:tcW w:w="993" w:type="dxa"/>
            <w:shd w:val="clear" w:color="auto" w:fill="auto"/>
            <w:noWrap/>
            <w:vAlign w:val="center"/>
            <w:hideMark/>
          </w:tcPr>
          <w:p w14:paraId="0B5D5132" w14:textId="3D89183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c>
          <w:tcPr>
            <w:tcW w:w="1134" w:type="dxa"/>
            <w:shd w:val="clear" w:color="auto" w:fill="auto"/>
            <w:noWrap/>
            <w:vAlign w:val="center"/>
            <w:hideMark/>
          </w:tcPr>
          <w:p w14:paraId="16009B45" w14:textId="025C3FCF"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c>
          <w:tcPr>
            <w:tcW w:w="992" w:type="dxa"/>
            <w:shd w:val="clear" w:color="auto" w:fill="auto"/>
            <w:noWrap/>
            <w:vAlign w:val="center"/>
            <w:hideMark/>
          </w:tcPr>
          <w:p w14:paraId="30517112"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18</w:t>
            </w:r>
          </w:p>
        </w:tc>
        <w:tc>
          <w:tcPr>
            <w:tcW w:w="1276" w:type="dxa"/>
            <w:shd w:val="clear" w:color="auto" w:fill="auto"/>
            <w:noWrap/>
            <w:vAlign w:val="center"/>
            <w:hideMark/>
          </w:tcPr>
          <w:p w14:paraId="3F6B928F"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10.222,40</w:t>
            </w:r>
          </w:p>
        </w:tc>
        <w:tc>
          <w:tcPr>
            <w:tcW w:w="992" w:type="dxa"/>
            <w:shd w:val="clear" w:color="auto" w:fill="auto"/>
            <w:noWrap/>
            <w:vAlign w:val="center"/>
            <w:hideMark/>
          </w:tcPr>
          <w:p w14:paraId="1CE25BAE"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2</w:t>
            </w:r>
          </w:p>
        </w:tc>
        <w:tc>
          <w:tcPr>
            <w:tcW w:w="1127" w:type="dxa"/>
            <w:shd w:val="clear" w:color="auto" w:fill="auto"/>
            <w:noWrap/>
            <w:vAlign w:val="center"/>
            <w:hideMark/>
          </w:tcPr>
          <w:p w14:paraId="32E3F2FC"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572</w:t>
            </w:r>
          </w:p>
        </w:tc>
      </w:tr>
      <w:tr w:rsidR="00C420E7" w:rsidRPr="00C63D02" w14:paraId="134B3BDF" w14:textId="77777777" w:rsidTr="000A4588">
        <w:trPr>
          <w:trHeight w:val="315"/>
        </w:trPr>
        <w:tc>
          <w:tcPr>
            <w:tcW w:w="1425" w:type="dxa"/>
            <w:shd w:val="clear" w:color="auto" w:fill="auto"/>
            <w:noWrap/>
            <w:vAlign w:val="center"/>
            <w:hideMark/>
          </w:tcPr>
          <w:p w14:paraId="4B55FF4F"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E.E. Cotopaxi</w:t>
            </w:r>
          </w:p>
        </w:tc>
        <w:tc>
          <w:tcPr>
            <w:tcW w:w="1134" w:type="dxa"/>
            <w:shd w:val="clear" w:color="auto" w:fill="auto"/>
            <w:noWrap/>
            <w:vAlign w:val="center"/>
            <w:hideMark/>
          </w:tcPr>
          <w:p w14:paraId="3D306752"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8</w:t>
            </w:r>
          </w:p>
        </w:tc>
        <w:tc>
          <w:tcPr>
            <w:tcW w:w="993" w:type="dxa"/>
            <w:shd w:val="clear" w:color="auto" w:fill="auto"/>
            <w:noWrap/>
            <w:vAlign w:val="center"/>
            <w:hideMark/>
          </w:tcPr>
          <w:p w14:paraId="04F884AB"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3</w:t>
            </w:r>
          </w:p>
        </w:tc>
        <w:tc>
          <w:tcPr>
            <w:tcW w:w="1134" w:type="dxa"/>
            <w:shd w:val="clear" w:color="auto" w:fill="auto"/>
            <w:noWrap/>
            <w:vAlign w:val="center"/>
            <w:hideMark/>
          </w:tcPr>
          <w:p w14:paraId="4D06395C"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1.506,00</w:t>
            </w:r>
          </w:p>
        </w:tc>
        <w:tc>
          <w:tcPr>
            <w:tcW w:w="992" w:type="dxa"/>
            <w:shd w:val="clear" w:color="auto" w:fill="auto"/>
            <w:noWrap/>
            <w:vAlign w:val="center"/>
            <w:hideMark/>
          </w:tcPr>
          <w:p w14:paraId="02D362D4"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5</w:t>
            </w:r>
          </w:p>
        </w:tc>
        <w:tc>
          <w:tcPr>
            <w:tcW w:w="1276" w:type="dxa"/>
            <w:shd w:val="clear" w:color="auto" w:fill="auto"/>
            <w:noWrap/>
            <w:vAlign w:val="center"/>
            <w:hideMark/>
          </w:tcPr>
          <w:p w14:paraId="028321C8"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8.515,00</w:t>
            </w:r>
          </w:p>
        </w:tc>
        <w:tc>
          <w:tcPr>
            <w:tcW w:w="992" w:type="dxa"/>
            <w:shd w:val="clear" w:color="auto" w:fill="auto"/>
            <w:noWrap/>
            <w:vAlign w:val="center"/>
            <w:hideMark/>
          </w:tcPr>
          <w:p w14:paraId="7BB3A310" w14:textId="6F4E763E"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c>
          <w:tcPr>
            <w:tcW w:w="1127" w:type="dxa"/>
            <w:shd w:val="clear" w:color="auto" w:fill="auto"/>
            <w:noWrap/>
            <w:vAlign w:val="center"/>
            <w:hideMark/>
          </w:tcPr>
          <w:p w14:paraId="35839080" w14:textId="18A94AC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r>
      <w:tr w:rsidR="00C420E7" w:rsidRPr="00C63D02" w14:paraId="08159A81" w14:textId="77777777" w:rsidTr="000A4588">
        <w:trPr>
          <w:trHeight w:val="315"/>
        </w:trPr>
        <w:tc>
          <w:tcPr>
            <w:tcW w:w="1425" w:type="dxa"/>
            <w:shd w:val="clear" w:color="auto" w:fill="auto"/>
            <w:noWrap/>
            <w:vAlign w:val="center"/>
            <w:hideMark/>
          </w:tcPr>
          <w:p w14:paraId="4844846C"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E.E. Norte</w:t>
            </w:r>
          </w:p>
        </w:tc>
        <w:tc>
          <w:tcPr>
            <w:tcW w:w="1134" w:type="dxa"/>
            <w:shd w:val="clear" w:color="auto" w:fill="auto"/>
            <w:noWrap/>
            <w:vAlign w:val="center"/>
            <w:hideMark/>
          </w:tcPr>
          <w:p w14:paraId="0798F5BC"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25</w:t>
            </w:r>
          </w:p>
        </w:tc>
        <w:tc>
          <w:tcPr>
            <w:tcW w:w="993" w:type="dxa"/>
            <w:shd w:val="clear" w:color="auto" w:fill="auto"/>
            <w:noWrap/>
            <w:vAlign w:val="center"/>
            <w:hideMark/>
          </w:tcPr>
          <w:p w14:paraId="1217E040"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9</w:t>
            </w:r>
          </w:p>
        </w:tc>
        <w:tc>
          <w:tcPr>
            <w:tcW w:w="1134" w:type="dxa"/>
            <w:shd w:val="clear" w:color="auto" w:fill="auto"/>
            <w:noWrap/>
            <w:vAlign w:val="center"/>
            <w:hideMark/>
          </w:tcPr>
          <w:p w14:paraId="3902BE82"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1.848,00</w:t>
            </w:r>
          </w:p>
        </w:tc>
        <w:tc>
          <w:tcPr>
            <w:tcW w:w="992" w:type="dxa"/>
            <w:shd w:val="clear" w:color="auto" w:fill="auto"/>
            <w:noWrap/>
            <w:vAlign w:val="center"/>
            <w:hideMark/>
          </w:tcPr>
          <w:p w14:paraId="3953511A"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16</w:t>
            </w:r>
          </w:p>
        </w:tc>
        <w:tc>
          <w:tcPr>
            <w:tcW w:w="1276" w:type="dxa"/>
            <w:shd w:val="clear" w:color="auto" w:fill="auto"/>
            <w:noWrap/>
            <w:vAlign w:val="center"/>
            <w:hideMark/>
          </w:tcPr>
          <w:p w14:paraId="4C5B1E0C"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6.490,40</w:t>
            </w:r>
          </w:p>
        </w:tc>
        <w:tc>
          <w:tcPr>
            <w:tcW w:w="992" w:type="dxa"/>
            <w:shd w:val="clear" w:color="auto" w:fill="auto"/>
            <w:noWrap/>
            <w:vAlign w:val="center"/>
            <w:hideMark/>
          </w:tcPr>
          <w:p w14:paraId="5E9C96C3" w14:textId="58A85992"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c>
          <w:tcPr>
            <w:tcW w:w="1127" w:type="dxa"/>
            <w:shd w:val="clear" w:color="auto" w:fill="auto"/>
            <w:noWrap/>
            <w:vAlign w:val="center"/>
            <w:hideMark/>
          </w:tcPr>
          <w:p w14:paraId="38509FF7" w14:textId="6FD72808"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r>
      <w:tr w:rsidR="00C420E7" w:rsidRPr="00C63D02" w14:paraId="753EB974" w14:textId="77777777" w:rsidTr="000A4588">
        <w:trPr>
          <w:trHeight w:val="315"/>
        </w:trPr>
        <w:tc>
          <w:tcPr>
            <w:tcW w:w="1425" w:type="dxa"/>
            <w:shd w:val="clear" w:color="auto" w:fill="auto"/>
            <w:noWrap/>
            <w:vAlign w:val="center"/>
            <w:hideMark/>
          </w:tcPr>
          <w:p w14:paraId="3FD4FD30"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E.E. Quito</w:t>
            </w:r>
          </w:p>
        </w:tc>
        <w:tc>
          <w:tcPr>
            <w:tcW w:w="1134" w:type="dxa"/>
            <w:shd w:val="clear" w:color="auto" w:fill="auto"/>
            <w:noWrap/>
            <w:vAlign w:val="center"/>
            <w:hideMark/>
          </w:tcPr>
          <w:p w14:paraId="6901E85C"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213</w:t>
            </w:r>
          </w:p>
        </w:tc>
        <w:tc>
          <w:tcPr>
            <w:tcW w:w="993" w:type="dxa"/>
            <w:shd w:val="clear" w:color="auto" w:fill="auto"/>
            <w:noWrap/>
            <w:vAlign w:val="center"/>
            <w:hideMark/>
          </w:tcPr>
          <w:p w14:paraId="093C0E08"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69</w:t>
            </w:r>
          </w:p>
        </w:tc>
        <w:tc>
          <w:tcPr>
            <w:tcW w:w="1134" w:type="dxa"/>
            <w:shd w:val="clear" w:color="auto" w:fill="auto"/>
            <w:noWrap/>
            <w:vAlign w:val="center"/>
            <w:hideMark/>
          </w:tcPr>
          <w:p w14:paraId="5FF2FF01"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14.233,40</w:t>
            </w:r>
          </w:p>
        </w:tc>
        <w:tc>
          <w:tcPr>
            <w:tcW w:w="992" w:type="dxa"/>
            <w:shd w:val="clear" w:color="auto" w:fill="auto"/>
            <w:noWrap/>
            <w:vAlign w:val="center"/>
            <w:hideMark/>
          </w:tcPr>
          <w:p w14:paraId="082DA8C0"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144</w:t>
            </w:r>
          </w:p>
        </w:tc>
        <w:tc>
          <w:tcPr>
            <w:tcW w:w="1276" w:type="dxa"/>
            <w:shd w:val="clear" w:color="auto" w:fill="auto"/>
            <w:noWrap/>
            <w:vAlign w:val="center"/>
            <w:hideMark/>
          </w:tcPr>
          <w:p w14:paraId="5AAF89FE"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89.269,66</w:t>
            </w:r>
          </w:p>
        </w:tc>
        <w:tc>
          <w:tcPr>
            <w:tcW w:w="992" w:type="dxa"/>
            <w:shd w:val="clear" w:color="auto" w:fill="auto"/>
            <w:noWrap/>
            <w:vAlign w:val="center"/>
            <w:hideMark/>
          </w:tcPr>
          <w:p w14:paraId="1B4DB09D" w14:textId="08483545"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c>
          <w:tcPr>
            <w:tcW w:w="1127" w:type="dxa"/>
            <w:shd w:val="clear" w:color="auto" w:fill="auto"/>
            <w:noWrap/>
            <w:vAlign w:val="center"/>
            <w:hideMark/>
          </w:tcPr>
          <w:p w14:paraId="0E7D3AA0" w14:textId="37C39132"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r>
      <w:tr w:rsidR="00C420E7" w:rsidRPr="00C63D02" w14:paraId="3EDE102A" w14:textId="77777777" w:rsidTr="000A4588">
        <w:trPr>
          <w:trHeight w:val="315"/>
        </w:trPr>
        <w:tc>
          <w:tcPr>
            <w:tcW w:w="1425" w:type="dxa"/>
            <w:shd w:val="clear" w:color="auto" w:fill="auto"/>
            <w:noWrap/>
            <w:vAlign w:val="center"/>
            <w:hideMark/>
          </w:tcPr>
          <w:p w14:paraId="025D933A"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E.E. Riobamba</w:t>
            </w:r>
          </w:p>
        </w:tc>
        <w:tc>
          <w:tcPr>
            <w:tcW w:w="1134" w:type="dxa"/>
            <w:shd w:val="clear" w:color="auto" w:fill="auto"/>
            <w:noWrap/>
            <w:vAlign w:val="center"/>
            <w:hideMark/>
          </w:tcPr>
          <w:p w14:paraId="5AE5C3C1"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2</w:t>
            </w:r>
          </w:p>
        </w:tc>
        <w:tc>
          <w:tcPr>
            <w:tcW w:w="993" w:type="dxa"/>
            <w:shd w:val="clear" w:color="auto" w:fill="auto"/>
            <w:noWrap/>
            <w:vAlign w:val="center"/>
            <w:hideMark/>
          </w:tcPr>
          <w:p w14:paraId="3B9398FC"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w:t>
            </w:r>
          </w:p>
        </w:tc>
        <w:tc>
          <w:tcPr>
            <w:tcW w:w="1134" w:type="dxa"/>
            <w:shd w:val="clear" w:color="auto" w:fill="auto"/>
            <w:noWrap/>
            <w:vAlign w:val="center"/>
            <w:hideMark/>
          </w:tcPr>
          <w:p w14:paraId="2860CC2C"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2.690,00</w:t>
            </w:r>
          </w:p>
        </w:tc>
        <w:tc>
          <w:tcPr>
            <w:tcW w:w="992" w:type="dxa"/>
            <w:shd w:val="clear" w:color="auto" w:fill="auto"/>
            <w:noWrap/>
            <w:vAlign w:val="center"/>
            <w:hideMark/>
          </w:tcPr>
          <w:p w14:paraId="2485788C"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w:t>
            </w:r>
          </w:p>
        </w:tc>
        <w:tc>
          <w:tcPr>
            <w:tcW w:w="1276" w:type="dxa"/>
            <w:shd w:val="clear" w:color="auto" w:fill="auto"/>
            <w:noWrap/>
            <w:vAlign w:val="center"/>
            <w:hideMark/>
          </w:tcPr>
          <w:p w14:paraId="2F6E4E0E"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1.250,00</w:t>
            </w:r>
          </w:p>
        </w:tc>
        <w:tc>
          <w:tcPr>
            <w:tcW w:w="992" w:type="dxa"/>
            <w:shd w:val="clear" w:color="auto" w:fill="auto"/>
            <w:noWrap/>
            <w:vAlign w:val="center"/>
            <w:hideMark/>
          </w:tcPr>
          <w:p w14:paraId="35B53598" w14:textId="4FFB2A75"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c>
          <w:tcPr>
            <w:tcW w:w="1127" w:type="dxa"/>
            <w:shd w:val="clear" w:color="auto" w:fill="auto"/>
            <w:noWrap/>
            <w:vAlign w:val="center"/>
            <w:hideMark/>
          </w:tcPr>
          <w:p w14:paraId="03D5DF24" w14:textId="08DFAA65"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r>
      <w:tr w:rsidR="00C420E7" w:rsidRPr="00C63D02" w14:paraId="51345C0C" w14:textId="77777777" w:rsidTr="000A4588">
        <w:trPr>
          <w:trHeight w:val="315"/>
        </w:trPr>
        <w:tc>
          <w:tcPr>
            <w:tcW w:w="1425" w:type="dxa"/>
            <w:shd w:val="clear" w:color="auto" w:fill="auto"/>
            <w:noWrap/>
            <w:vAlign w:val="center"/>
            <w:hideMark/>
          </w:tcPr>
          <w:p w14:paraId="681EFBEA"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E.E. Sur</w:t>
            </w:r>
          </w:p>
        </w:tc>
        <w:tc>
          <w:tcPr>
            <w:tcW w:w="1134" w:type="dxa"/>
            <w:shd w:val="clear" w:color="auto" w:fill="auto"/>
            <w:noWrap/>
            <w:vAlign w:val="center"/>
            <w:hideMark/>
          </w:tcPr>
          <w:p w14:paraId="07B325FD"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w:t>
            </w:r>
          </w:p>
        </w:tc>
        <w:tc>
          <w:tcPr>
            <w:tcW w:w="993" w:type="dxa"/>
            <w:shd w:val="clear" w:color="auto" w:fill="auto"/>
            <w:noWrap/>
            <w:vAlign w:val="center"/>
            <w:hideMark/>
          </w:tcPr>
          <w:p w14:paraId="7EC5168D" w14:textId="020752D6"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c>
          <w:tcPr>
            <w:tcW w:w="1134" w:type="dxa"/>
            <w:shd w:val="clear" w:color="auto" w:fill="auto"/>
            <w:noWrap/>
            <w:vAlign w:val="center"/>
            <w:hideMark/>
          </w:tcPr>
          <w:p w14:paraId="69FF0F8A" w14:textId="4A39C78A"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c>
          <w:tcPr>
            <w:tcW w:w="992" w:type="dxa"/>
            <w:shd w:val="clear" w:color="auto" w:fill="auto"/>
            <w:noWrap/>
            <w:vAlign w:val="center"/>
            <w:hideMark/>
          </w:tcPr>
          <w:p w14:paraId="790405C2"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w:t>
            </w:r>
          </w:p>
        </w:tc>
        <w:tc>
          <w:tcPr>
            <w:tcW w:w="1276" w:type="dxa"/>
            <w:shd w:val="clear" w:color="auto" w:fill="auto"/>
            <w:noWrap/>
            <w:vAlign w:val="center"/>
            <w:hideMark/>
          </w:tcPr>
          <w:p w14:paraId="2A5DE182"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200</w:t>
            </w:r>
          </w:p>
        </w:tc>
        <w:tc>
          <w:tcPr>
            <w:tcW w:w="992" w:type="dxa"/>
            <w:shd w:val="clear" w:color="auto" w:fill="auto"/>
            <w:noWrap/>
            <w:vAlign w:val="center"/>
            <w:hideMark/>
          </w:tcPr>
          <w:p w14:paraId="6EA0FFC8" w14:textId="585C3002"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c>
          <w:tcPr>
            <w:tcW w:w="1127" w:type="dxa"/>
            <w:shd w:val="clear" w:color="auto" w:fill="auto"/>
            <w:noWrap/>
            <w:vAlign w:val="center"/>
            <w:hideMark/>
          </w:tcPr>
          <w:p w14:paraId="31818768" w14:textId="23957C62"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r>
      <w:tr w:rsidR="00C420E7" w:rsidRPr="00C63D02" w14:paraId="7A53BA58" w14:textId="77777777" w:rsidTr="000A4588">
        <w:trPr>
          <w:trHeight w:val="315"/>
        </w:trPr>
        <w:tc>
          <w:tcPr>
            <w:tcW w:w="1425" w:type="dxa"/>
            <w:shd w:val="clear" w:color="auto" w:fill="auto"/>
            <w:noWrap/>
            <w:vAlign w:val="center"/>
            <w:hideMark/>
          </w:tcPr>
          <w:p w14:paraId="60BC2C32"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UN El Oro</w:t>
            </w:r>
          </w:p>
        </w:tc>
        <w:tc>
          <w:tcPr>
            <w:tcW w:w="1134" w:type="dxa"/>
            <w:shd w:val="clear" w:color="auto" w:fill="auto"/>
            <w:noWrap/>
            <w:vAlign w:val="center"/>
            <w:hideMark/>
          </w:tcPr>
          <w:p w14:paraId="2DF87353"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19</w:t>
            </w:r>
          </w:p>
        </w:tc>
        <w:tc>
          <w:tcPr>
            <w:tcW w:w="993" w:type="dxa"/>
            <w:shd w:val="clear" w:color="auto" w:fill="auto"/>
            <w:noWrap/>
            <w:vAlign w:val="center"/>
            <w:hideMark/>
          </w:tcPr>
          <w:p w14:paraId="2F6D05FA"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9</w:t>
            </w:r>
          </w:p>
        </w:tc>
        <w:tc>
          <w:tcPr>
            <w:tcW w:w="1134" w:type="dxa"/>
            <w:shd w:val="clear" w:color="auto" w:fill="auto"/>
            <w:noWrap/>
            <w:vAlign w:val="center"/>
            <w:hideMark/>
          </w:tcPr>
          <w:p w14:paraId="048B24F6"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3.886,00</w:t>
            </w:r>
          </w:p>
        </w:tc>
        <w:tc>
          <w:tcPr>
            <w:tcW w:w="992" w:type="dxa"/>
            <w:shd w:val="clear" w:color="auto" w:fill="auto"/>
            <w:noWrap/>
            <w:vAlign w:val="center"/>
            <w:hideMark/>
          </w:tcPr>
          <w:p w14:paraId="69159C60"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10</w:t>
            </w:r>
          </w:p>
        </w:tc>
        <w:tc>
          <w:tcPr>
            <w:tcW w:w="1276" w:type="dxa"/>
            <w:shd w:val="clear" w:color="auto" w:fill="auto"/>
            <w:noWrap/>
            <w:vAlign w:val="center"/>
            <w:hideMark/>
          </w:tcPr>
          <w:p w14:paraId="7D1CF2C0"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10.004,00</w:t>
            </w:r>
          </w:p>
        </w:tc>
        <w:tc>
          <w:tcPr>
            <w:tcW w:w="992" w:type="dxa"/>
            <w:shd w:val="clear" w:color="auto" w:fill="auto"/>
            <w:noWrap/>
            <w:vAlign w:val="center"/>
            <w:hideMark/>
          </w:tcPr>
          <w:p w14:paraId="5A99B4D2" w14:textId="57D84A54"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c>
          <w:tcPr>
            <w:tcW w:w="1127" w:type="dxa"/>
            <w:shd w:val="clear" w:color="auto" w:fill="auto"/>
            <w:noWrap/>
            <w:vAlign w:val="center"/>
            <w:hideMark/>
          </w:tcPr>
          <w:p w14:paraId="55BACCE8" w14:textId="1B8E0F24"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r>
      <w:tr w:rsidR="00C420E7" w:rsidRPr="00C63D02" w14:paraId="173B730B" w14:textId="77777777" w:rsidTr="000A4588">
        <w:trPr>
          <w:trHeight w:val="315"/>
        </w:trPr>
        <w:tc>
          <w:tcPr>
            <w:tcW w:w="1425" w:type="dxa"/>
            <w:shd w:val="clear" w:color="auto" w:fill="auto"/>
            <w:noWrap/>
            <w:vAlign w:val="center"/>
            <w:hideMark/>
          </w:tcPr>
          <w:p w14:paraId="7920A88B"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UN Esmeraldas</w:t>
            </w:r>
          </w:p>
        </w:tc>
        <w:tc>
          <w:tcPr>
            <w:tcW w:w="1134" w:type="dxa"/>
            <w:shd w:val="clear" w:color="auto" w:fill="auto"/>
            <w:noWrap/>
            <w:vAlign w:val="center"/>
            <w:hideMark/>
          </w:tcPr>
          <w:p w14:paraId="74EECFF5"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4</w:t>
            </w:r>
          </w:p>
        </w:tc>
        <w:tc>
          <w:tcPr>
            <w:tcW w:w="993" w:type="dxa"/>
            <w:shd w:val="clear" w:color="auto" w:fill="auto"/>
            <w:noWrap/>
            <w:vAlign w:val="center"/>
            <w:hideMark/>
          </w:tcPr>
          <w:p w14:paraId="08ACE6C3"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w:t>
            </w:r>
          </w:p>
        </w:tc>
        <w:tc>
          <w:tcPr>
            <w:tcW w:w="1134" w:type="dxa"/>
            <w:shd w:val="clear" w:color="auto" w:fill="auto"/>
            <w:noWrap/>
            <w:vAlign w:val="center"/>
            <w:hideMark/>
          </w:tcPr>
          <w:p w14:paraId="6C1D8AF3"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1.000,00</w:t>
            </w:r>
          </w:p>
        </w:tc>
        <w:tc>
          <w:tcPr>
            <w:tcW w:w="992" w:type="dxa"/>
            <w:shd w:val="clear" w:color="auto" w:fill="auto"/>
            <w:noWrap/>
            <w:vAlign w:val="center"/>
            <w:hideMark/>
          </w:tcPr>
          <w:p w14:paraId="44686A63"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3</w:t>
            </w:r>
          </w:p>
        </w:tc>
        <w:tc>
          <w:tcPr>
            <w:tcW w:w="1276" w:type="dxa"/>
            <w:shd w:val="clear" w:color="auto" w:fill="auto"/>
            <w:noWrap/>
            <w:vAlign w:val="center"/>
            <w:hideMark/>
          </w:tcPr>
          <w:p w14:paraId="74C63732"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7.174,80</w:t>
            </w:r>
          </w:p>
        </w:tc>
        <w:tc>
          <w:tcPr>
            <w:tcW w:w="992" w:type="dxa"/>
            <w:shd w:val="clear" w:color="auto" w:fill="auto"/>
            <w:noWrap/>
            <w:vAlign w:val="center"/>
            <w:hideMark/>
          </w:tcPr>
          <w:p w14:paraId="73407432" w14:textId="578239FF"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c>
          <w:tcPr>
            <w:tcW w:w="1127" w:type="dxa"/>
            <w:shd w:val="clear" w:color="auto" w:fill="auto"/>
            <w:noWrap/>
            <w:vAlign w:val="center"/>
            <w:hideMark/>
          </w:tcPr>
          <w:p w14:paraId="0AB685E6" w14:textId="708534D1"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r>
      <w:tr w:rsidR="00C420E7" w:rsidRPr="00C63D02" w14:paraId="1965356D" w14:textId="77777777" w:rsidTr="000A4588">
        <w:trPr>
          <w:trHeight w:val="315"/>
        </w:trPr>
        <w:tc>
          <w:tcPr>
            <w:tcW w:w="1425" w:type="dxa"/>
            <w:shd w:val="clear" w:color="auto" w:fill="auto"/>
            <w:noWrap/>
            <w:vAlign w:val="center"/>
            <w:hideMark/>
          </w:tcPr>
          <w:p w14:paraId="5EB92018"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UN Guayaquil</w:t>
            </w:r>
          </w:p>
        </w:tc>
        <w:tc>
          <w:tcPr>
            <w:tcW w:w="1134" w:type="dxa"/>
            <w:shd w:val="clear" w:color="auto" w:fill="auto"/>
            <w:noWrap/>
            <w:vAlign w:val="center"/>
            <w:hideMark/>
          </w:tcPr>
          <w:p w14:paraId="7F113446"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131</w:t>
            </w:r>
          </w:p>
        </w:tc>
        <w:tc>
          <w:tcPr>
            <w:tcW w:w="993" w:type="dxa"/>
            <w:shd w:val="clear" w:color="auto" w:fill="auto"/>
            <w:noWrap/>
            <w:vAlign w:val="center"/>
            <w:hideMark/>
          </w:tcPr>
          <w:p w14:paraId="520F4F6C"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74</w:t>
            </w:r>
          </w:p>
        </w:tc>
        <w:tc>
          <w:tcPr>
            <w:tcW w:w="1134" w:type="dxa"/>
            <w:shd w:val="clear" w:color="auto" w:fill="auto"/>
            <w:noWrap/>
            <w:vAlign w:val="center"/>
            <w:hideMark/>
          </w:tcPr>
          <w:p w14:paraId="3066D4F3"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59.868,00</w:t>
            </w:r>
          </w:p>
        </w:tc>
        <w:tc>
          <w:tcPr>
            <w:tcW w:w="992" w:type="dxa"/>
            <w:shd w:val="clear" w:color="auto" w:fill="auto"/>
            <w:noWrap/>
            <w:vAlign w:val="center"/>
            <w:hideMark/>
          </w:tcPr>
          <w:p w14:paraId="74044BA3"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57</w:t>
            </w:r>
          </w:p>
        </w:tc>
        <w:tc>
          <w:tcPr>
            <w:tcW w:w="1276" w:type="dxa"/>
            <w:shd w:val="clear" w:color="auto" w:fill="auto"/>
            <w:noWrap/>
            <w:vAlign w:val="center"/>
            <w:hideMark/>
          </w:tcPr>
          <w:p w14:paraId="63D6927D" w14:textId="7777777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112.649,50</w:t>
            </w:r>
          </w:p>
        </w:tc>
        <w:tc>
          <w:tcPr>
            <w:tcW w:w="992" w:type="dxa"/>
            <w:shd w:val="clear" w:color="auto" w:fill="auto"/>
            <w:noWrap/>
            <w:vAlign w:val="center"/>
            <w:hideMark/>
          </w:tcPr>
          <w:p w14:paraId="39BEC35E" w14:textId="0B3197A7"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c>
          <w:tcPr>
            <w:tcW w:w="1127" w:type="dxa"/>
            <w:shd w:val="clear" w:color="auto" w:fill="auto"/>
            <w:noWrap/>
            <w:vAlign w:val="center"/>
            <w:hideMark/>
          </w:tcPr>
          <w:p w14:paraId="6659AD96" w14:textId="1F99EBF4" w:rsidR="00C420E7" w:rsidRPr="00B62CFA" w:rsidRDefault="00C420E7" w:rsidP="00B62CFA">
            <w:pPr>
              <w:jc w:val="center"/>
              <w:rPr>
                <w:rFonts w:asciiTheme="majorHAnsi" w:eastAsia="Times New Roman" w:hAnsiTheme="majorHAnsi" w:cstheme="majorHAnsi"/>
                <w:color w:val="000000"/>
                <w:sz w:val="18"/>
                <w:szCs w:val="18"/>
                <w:lang w:eastAsia="es-EC"/>
              </w:rPr>
            </w:pPr>
            <w:r w:rsidRPr="00B62CFA">
              <w:rPr>
                <w:rFonts w:asciiTheme="majorHAnsi" w:eastAsia="Times New Roman" w:hAnsiTheme="majorHAnsi" w:cstheme="majorHAnsi"/>
                <w:color w:val="000000"/>
                <w:sz w:val="18"/>
                <w:szCs w:val="18"/>
                <w:lang w:eastAsia="es-EC"/>
              </w:rPr>
              <w:t>-</w:t>
            </w:r>
          </w:p>
        </w:tc>
      </w:tr>
      <w:tr w:rsidR="00C420E7" w:rsidRPr="00C63D02" w14:paraId="27913287" w14:textId="77777777" w:rsidTr="000A4588">
        <w:trPr>
          <w:trHeight w:val="315"/>
        </w:trPr>
        <w:tc>
          <w:tcPr>
            <w:tcW w:w="1425" w:type="dxa"/>
            <w:shd w:val="clear" w:color="auto" w:fill="auto"/>
            <w:noWrap/>
            <w:vAlign w:val="center"/>
            <w:hideMark/>
          </w:tcPr>
          <w:p w14:paraId="5ABF5995"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UN Guayas Los Ríos</w:t>
            </w:r>
          </w:p>
        </w:tc>
        <w:tc>
          <w:tcPr>
            <w:tcW w:w="1134" w:type="dxa"/>
            <w:shd w:val="clear" w:color="auto" w:fill="auto"/>
            <w:noWrap/>
            <w:vAlign w:val="center"/>
            <w:hideMark/>
          </w:tcPr>
          <w:p w14:paraId="79DC91CD"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278</w:t>
            </w:r>
          </w:p>
        </w:tc>
        <w:tc>
          <w:tcPr>
            <w:tcW w:w="993" w:type="dxa"/>
            <w:shd w:val="clear" w:color="auto" w:fill="auto"/>
            <w:noWrap/>
            <w:vAlign w:val="center"/>
            <w:hideMark/>
          </w:tcPr>
          <w:p w14:paraId="1DD25C29"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178</w:t>
            </w:r>
          </w:p>
        </w:tc>
        <w:tc>
          <w:tcPr>
            <w:tcW w:w="1134" w:type="dxa"/>
            <w:shd w:val="clear" w:color="auto" w:fill="auto"/>
            <w:noWrap/>
            <w:vAlign w:val="center"/>
            <w:hideMark/>
          </w:tcPr>
          <w:p w14:paraId="2A265FF2"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102.777,04</w:t>
            </w:r>
          </w:p>
        </w:tc>
        <w:tc>
          <w:tcPr>
            <w:tcW w:w="992" w:type="dxa"/>
            <w:shd w:val="clear" w:color="auto" w:fill="auto"/>
            <w:noWrap/>
            <w:vAlign w:val="center"/>
            <w:hideMark/>
          </w:tcPr>
          <w:p w14:paraId="1D3B9298"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100</w:t>
            </w:r>
          </w:p>
        </w:tc>
        <w:tc>
          <w:tcPr>
            <w:tcW w:w="1276" w:type="dxa"/>
            <w:shd w:val="clear" w:color="auto" w:fill="auto"/>
            <w:noWrap/>
            <w:vAlign w:val="center"/>
            <w:hideMark/>
          </w:tcPr>
          <w:p w14:paraId="1173963B"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94.573,70</w:t>
            </w:r>
          </w:p>
        </w:tc>
        <w:tc>
          <w:tcPr>
            <w:tcW w:w="992" w:type="dxa"/>
            <w:shd w:val="clear" w:color="auto" w:fill="auto"/>
            <w:noWrap/>
            <w:vAlign w:val="center"/>
            <w:hideMark/>
          </w:tcPr>
          <w:p w14:paraId="1A571414" w14:textId="162D87A1"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w:t>
            </w:r>
          </w:p>
        </w:tc>
        <w:tc>
          <w:tcPr>
            <w:tcW w:w="1127" w:type="dxa"/>
            <w:shd w:val="clear" w:color="auto" w:fill="auto"/>
            <w:noWrap/>
            <w:vAlign w:val="center"/>
            <w:hideMark/>
          </w:tcPr>
          <w:p w14:paraId="19A9F10D" w14:textId="30EF1D24"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w:t>
            </w:r>
          </w:p>
        </w:tc>
      </w:tr>
      <w:tr w:rsidR="00C420E7" w:rsidRPr="00C63D02" w14:paraId="3087AF35" w14:textId="77777777" w:rsidTr="000A4588">
        <w:trPr>
          <w:trHeight w:val="315"/>
        </w:trPr>
        <w:tc>
          <w:tcPr>
            <w:tcW w:w="1425" w:type="dxa"/>
            <w:shd w:val="clear" w:color="auto" w:fill="auto"/>
            <w:noWrap/>
            <w:vAlign w:val="center"/>
            <w:hideMark/>
          </w:tcPr>
          <w:p w14:paraId="084C1E5E"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UN Los Ríos</w:t>
            </w:r>
          </w:p>
        </w:tc>
        <w:tc>
          <w:tcPr>
            <w:tcW w:w="1134" w:type="dxa"/>
            <w:shd w:val="clear" w:color="auto" w:fill="auto"/>
            <w:noWrap/>
            <w:vAlign w:val="center"/>
            <w:hideMark/>
          </w:tcPr>
          <w:p w14:paraId="6B35ADE6"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16</w:t>
            </w:r>
          </w:p>
        </w:tc>
        <w:tc>
          <w:tcPr>
            <w:tcW w:w="993" w:type="dxa"/>
            <w:shd w:val="clear" w:color="auto" w:fill="auto"/>
            <w:noWrap/>
            <w:vAlign w:val="center"/>
            <w:hideMark/>
          </w:tcPr>
          <w:p w14:paraId="055D41C6"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10</w:t>
            </w:r>
          </w:p>
        </w:tc>
        <w:tc>
          <w:tcPr>
            <w:tcW w:w="1134" w:type="dxa"/>
            <w:shd w:val="clear" w:color="auto" w:fill="auto"/>
            <w:noWrap/>
            <w:vAlign w:val="center"/>
            <w:hideMark/>
          </w:tcPr>
          <w:p w14:paraId="65B10E16"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1.250,00</w:t>
            </w:r>
          </w:p>
        </w:tc>
        <w:tc>
          <w:tcPr>
            <w:tcW w:w="992" w:type="dxa"/>
            <w:shd w:val="clear" w:color="auto" w:fill="auto"/>
            <w:noWrap/>
            <w:vAlign w:val="center"/>
            <w:hideMark/>
          </w:tcPr>
          <w:p w14:paraId="547654EE"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6</w:t>
            </w:r>
          </w:p>
        </w:tc>
        <w:tc>
          <w:tcPr>
            <w:tcW w:w="1276" w:type="dxa"/>
            <w:shd w:val="clear" w:color="auto" w:fill="auto"/>
            <w:noWrap/>
            <w:vAlign w:val="center"/>
            <w:hideMark/>
          </w:tcPr>
          <w:p w14:paraId="5AA520BA"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3.320,00</w:t>
            </w:r>
          </w:p>
        </w:tc>
        <w:tc>
          <w:tcPr>
            <w:tcW w:w="992" w:type="dxa"/>
            <w:shd w:val="clear" w:color="auto" w:fill="auto"/>
            <w:noWrap/>
            <w:vAlign w:val="center"/>
            <w:hideMark/>
          </w:tcPr>
          <w:p w14:paraId="0BE5597D" w14:textId="3C50DDDF"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w:t>
            </w:r>
          </w:p>
        </w:tc>
        <w:tc>
          <w:tcPr>
            <w:tcW w:w="1127" w:type="dxa"/>
            <w:shd w:val="clear" w:color="auto" w:fill="auto"/>
            <w:noWrap/>
            <w:vAlign w:val="center"/>
            <w:hideMark/>
          </w:tcPr>
          <w:p w14:paraId="78A6C2AF" w14:textId="4B9AEBC8"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w:t>
            </w:r>
          </w:p>
        </w:tc>
      </w:tr>
      <w:tr w:rsidR="00C420E7" w:rsidRPr="00C63D02" w14:paraId="52D32B38" w14:textId="77777777" w:rsidTr="000A4588">
        <w:trPr>
          <w:trHeight w:val="315"/>
        </w:trPr>
        <w:tc>
          <w:tcPr>
            <w:tcW w:w="1425" w:type="dxa"/>
            <w:shd w:val="clear" w:color="auto" w:fill="auto"/>
            <w:noWrap/>
            <w:vAlign w:val="center"/>
            <w:hideMark/>
          </w:tcPr>
          <w:p w14:paraId="60595300"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UN Manabí</w:t>
            </w:r>
          </w:p>
        </w:tc>
        <w:tc>
          <w:tcPr>
            <w:tcW w:w="1134" w:type="dxa"/>
            <w:shd w:val="clear" w:color="auto" w:fill="auto"/>
            <w:noWrap/>
            <w:vAlign w:val="center"/>
            <w:hideMark/>
          </w:tcPr>
          <w:p w14:paraId="5DD22388"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36</w:t>
            </w:r>
          </w:p>
        </w:tc>
        <w:tc>
          <w:tcPr>
            <w:tcW w:w="993" w:type="dxa"/>
            <w:shd w:val="clear" w:color="auto" w:fill="auto"/>
            <w:noWrap/>
            <w:vAlign w:val="center"/>
            <w:hideMark/>
          </w:tcPr>
          <w:p w14:paraId="61A9EDE6"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w:t>
            </w:r>
          </w:p>
        </w:tc>
        <w:tc>
          <w:tcPr>
            <w:tcW w:w="1134" w:type="dxa"/>
            <w:shd w:val="clear" w:color="auto" w:fill="auto"/>
            <w:noWrap/>
            <w:vAlign w:val="center"/>
            <w:hideMark/>
          </w:tcPr>
          <w:p w14:paraId="4F18740F"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1.190,00</w:t>
            </w:r>
          </w:p>
        </w:tc>
        <w:tc>
          <w:tcPr>
            <w:tcW w:w="992" w:type="dxa"/>
            <w:shd w:val="clear" w:color="auto" w:fill="auto"/>
            <w:noWrap/>
            <w:vAlign w:val="center"/>
            <w:hideMark/>
          </w:tcPr>
          <w:p w14:paraId="782945AD"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22</w:t>
            </w:r>
          </w:p>
        </w:tc>
        <w:tc>
          <w:tcPr>
            <w:tcW w:w="1276" w:type="dxa"/>
            <w:shd w:val="clear" w:color="auto" w:fill="auto"/>
            <w:noWrap/>
            <w:vAlign w:val="center"/>
            <w:hideMark/>
          </w:tcPr>
          <w:p w14:paraId="62630312"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46.385,00</w:t>
            </w:r>
          </w:p>
        </w:tc>
        <w:tc>
          <w:tcPr>
            <w:tcW w:w="992" w:type="dxa"/>
            <w:shd w:val="clear" w:color="auto" w:fill="auto"/>
            <w:noWrap/>
            <w:vAlign w:val="center"/>
            <w:hideMark/>
          </w:tcPr>
          <w:p w14:paraId="0B79A1E2"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13</w:t>
            </w:r>
          </w:p>
        </w:tc>
        <w:tc>
          <w:tcPr>
            <w:tcW w:w="1127" w:type="dxa"/>
            <w:shd w:val="clear" w:color="auto" w:fill="auto"/>
            <w:noWrap/>
            <w:vAlign w:val="center"/>
            <w:hideMark/>
          </w:tcPr>
          <w:p w14:paraId="5444147F"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11.685,00</w:t>
            </w:r>
          </w:p>
        </w:tc>
      </w:tr>
      <w:tr w:rsidR="00C420E7" w:rsidRPr="00C63D02" w14:paraId="1321F8C5" w14:textId="77777777" w:rsidTr="000A4588">
        <w:trPr>
          <w:trHeight w:val="315"/>
        </w:trPr>
        <w:tc>
          <w:tcPr>
            <w:tcW w:w="1425" w:type="dxa"/>
            <w:shd w:val="clear" w:color="auto" w:fill="auto"/>
            <w:noWrap/>
            <w:vAlign w:val="center"/>
            <w:hideMark/>
          </w:tcPr>
          <w:p w14:paraId="0A2DF071"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UN Milagro</w:t>
            </w:r>
          </w:p>
        </w:tc>
        <w:tc>
          <w:tcPr>
            <w:tcW w:w="1134" w:type="dxa"/>
            <w:shd w:val="clear" w:color="auto" w:fill="auto"/>
            <w:noWrap/>
            <w:vAlign w:val="center"/>
            <w:hideMark/>
          </w:tcPr>
          <w:p w14:paraId="1F6DE483"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25</w:t>
            </w:r>
          </w:p>
        </w:tc>
        <w:tc>
          <w:tcPr>
            <w:tcW w:w="993" w:type="dxa"/>
            <w:shd w:val="clear" w:color="auto" w:fill="auto"/>
            <w:noWrap/>
            <w:vAlign w:val="center"/>
            <w:hideMark/>
          </w:tcPr>
          <w:p w14:paraId="55E437AD"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8</w:t>
            </w:r>
          </w:p>
        </w:tc>
        <w:tc>
          <w:tcPr>
            <w:tcW w:w="1134" w:type="dxa"/>
            <w:shd w:val="clear" w:color="auto" w:fill="auto"/>
            <w:noWrap/>
            <w:vAlign w:val="center"/>
            <w:hideMark/>
          </w:tcPr>
          <w:p w14:paraId="2F38C9A1"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6.103,00</w:t>
            </w:r>
          </w:p>
        </w:tc>
        <w:tc>
          <w:tcPr>
            <w:tcW w:w="992" w:type="dxa"/>
            <w:shd w:val="clear" w:color="auto" w:fill="auto"/>
            <w:noWrap/>
            <w:vAlign w:val="center"/>
            <w:hideMark/>
          </w:tcPr>
          <w:p w14:paraId="309C00E7"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17</w:t>
            </w:r>
          </w:p>
        </w:tc>
        <w:tc>
          <w:tcPr>
            <w:tcW w:w="1276" w:type="dxa"/>
            <w:shd w:val="clear" w:color="auto" w:fill="auto"/>
            <w:noWrap/>
            <w:vAlign w:val="center"/>
            <w:hideMark/>
          </w:tcPr>
          <w:p w14:paraId="6BDB6878" w14:textId="77777777"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36.875,00</w:t>
            </w:r>
          </w:p>
        </w:tc>
        <w:tc>
          <w:tcPr>
            <w:tcW w:w="992" w:type="dxa"/>
            <w:shd w:val="clear" w:color="auto" w:fill="auto"/>
            <w:noWrap/>
            <w:vAlign w:val="center"/>
            <w:hideMark/>
          </w:tcPr>
          <w:p w14:paraId="5B43B988" w14:textId="63BCC0AC"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w:t>
            </w:r>
          </w:p>
        </w:tc>
        <w:tc>
          <w:tcPr>
            <w:tcW w:w="1127" w:type="dxa"/>
            <w:shd w:val="clear" w:color="auto" w:fill="auto"/>
            <w:noWrap/>
            <w:vAlign w:val="center"/>
            <w:hideMark/>
          </w:tcPr>
          <w:p w14:paraId="50316CA6" w14:textId="1F8BC288" w:rsidR="00C420E7" w:rsidRPr="00C63D02" w:rsidRDefault="00C420E7" w:rsidP="00B62CFA">
            <w:pPr>
              <w:jc w:val="cente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w:t>
            </w:r>
          </w:p>
        </w:tc>
      </w:tr>
      <w:tr w:rsidR="00C420E7" w:rsidRPr="00C63D02" w14:paraId="033D7163" w14:textId="77777777" w:rsidTr="000A4588">
        <w:trPr>
          <w:trHeight w:val="315"/>
        </w:trPr>
        <w:tc>
          <w:tcPr>
            <w:tcW w:w="1425" w:type="dxa"/>
            <w:shd w:val="clear" w:color="auto" w:fill="auto"/>
            <w:noWrap/>
            <w:vAlign w:val="center"/>
            <w:hideMark/>
          </w:tcPr>
          <w:p w14:paraId="19515697" w14:textId="77777777" w:rsidR="00C420E7" w:rsidRPr="00C63D02" w:rsidRDefault="00C420E7" w:rsidP="000A4588">
            <w:pP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UN Santa Elena</w:t>
            </w:r>
          </w:p>
        </w:tc>
        <w:tc>
          <w:tcPr>
            <w:tcW w:w="1134" w:type="dxa"/>
            <w:shd w:val="clear" w:color="auto" w:fill="auto"/>
            <w:noWrap/>
            <w:vAlign w:val="center"/>
            <w:hideMark/>
          </w:tcPr>
          <w:p w14:paraId="60739B19"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14</w:t>
            </w:r>
          </w:p>
        </w:tc>
        <w:tc>
          <w:tcPr>
            <w:tcW w:w="993" w:type="dxa"/>
            <w:shd w:val="clear" w:color="auto" w:fill="auto"/>
            <w:noWrap/>
            <w:vAlign w:val="center"/>
            <w:hideMark/>
          </w:tcPr>
          <w:p w14:paraId="4E11E96B"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3</w:t>
            </w:r>
          </w:p>
        </w:tc>
        <w:tc>
          <w:tcPr>
            <w:tcW w:w="1134" w:type="dxa"/>
            <w:shd w:val="clear" w:color="auto" w:fill="auto"/>
            <w:noWrap/>
            <w:vAlign w:val="center"/>
            <w:hideMark/>
          </w:tcPr>
          <w:p w14:paraId="203497D2"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1.880,80</w:t>
            </w:r>
          </w:p>
        </w:tc>
        <w:tc>
          <w:tcPr>
            <w:tcW w:w="992" w:type="dxa"/>
            <w:shd w:val="clear" w:color="auto" w:fill="auto"/>
            <w:noWrap/>
            <w:vAlign w:val="center"/>
            <w:hideMark/>
          </w:tcPr>
          <w:p w14:paraId="1CB126FD"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7</w:t>
            </w:r>
          </w:p>
        </w:tc>
        <w:tc>
          <w:tcPr>
            <w:tcW w:w="1276" w:type="dxa"/>
            <w:shd w:val="clear" w:color="auto" w:fill="auto"/>
            <w:noWrap/>
            <w:vAlign w:val="center"/>
            <w:hideMark/>
          </w:tcPr>
          <w:p w14:paraId="53316744"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2.483,00</w:t>
            </w:r>
          </w:p>
        </w:tc>
        <w:tc>
          <w:tcPr>
            <w:tcW w:w="992" w:type="dxa"/>
            <w:shd w:val="clear" w:color="auto" w:fill="auto"/>
            <w:noWrap/>
            <w:vAlign w:val="center"/>
            <w:hideMark/>
          </w:tcPr>
          <w:p w14:paraId="29536DC0"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4</w:t>
            </w:r>
          </w:p>
        </w:tc>
        <w:tc>
          <w:tcPr>
            <w:tcW w:w="1127" w:type="dxa"/>
            <w:shd w:val="clear" w:color="auto" w:fill="auto"/>
            <w:noWrap/>
            <w:vAlign w:val="center"/>
            <w:hideMark/>
          </w:tcPr>
          <w:p w14:paraId="00A6349F"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847</w:t>
            </w:r>
          </w:p>
        </w:tc>
      </w:tr>
      <w:tr w:rsidR="00C420E7" w:rsidRPr="00C63D02" w14:paraId="3E68D914" w14:textId="77777777" w:rsidTr="000A4588">
        <w:trPr>
          <w:trHeight w:val="315"/>
        </w:trPr>
        <w:tc>
          <w:tcPr>
            <w:tcW w:w="1425" w:type="dxa"/>
            <w:shd w:val="clear" w:color="auto" w:fill="auto"/>
            <w:noWrap/>
            <w:vAlign w:val="center"/>
            <w:hideMark/>
          </w:tcPr>
          <w:p w14:paraId="67338A3A" w14:textId="77777777" w:rsidR="00C420E7" w:rsidRPr="00C63D02" w:rsidRDefault="00C420E7" w:rsidP="000A4588">
            <w:pP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UN Santo Domingo</w:t>
            </w:r>
          </w:p>
        </w:tc>
        <w:tc>
          <w:tcPr>
            <w:tcW w:w="1134" w:type="dxa"/>
            <w:shd w:val="clear" w:color="auto" w:fill="auto"/>
            <w:noWrap/>
            <w:vAlign w:val="center"/>
            <w:hideMark/>
          </w:tcPr>
          <w:p w14:paraId="3F4ABF4D"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31</w:t>
            </w:r>
          </w:p>
        </w:tc>
        <w:tc>
          <w:tcPr>
            <w:tcW w:w="993" w:type="dxa"/>
            <w:shd w:val="clear" w:color="auto" w:fill="auto"/>
            <w:noWrap/>
            <w:vAlign w:val="center"/>
            <w:hideMark/>
          </w:tcPr>
          <w:p w14:paraId="3199D19A"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11</w:t>
            </w:r>
          </w:p>
        </w:tc>
        <w:tc>
          <w:tcPr>
            <w:tcW w:w="1134" w:type="dxa"/>
            <w:shd w:val="clear" w:color="auto" w:fill="auto"/>
            <w:noWrap/>
            <w:vAlign w:val="center"/>
            <w:hideMark/>
          </w:tcPr>
          <w:p w14:paraId="750AD89C"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1.292,00</w:t>
            </w:r>
          </w:p>
        </w:tc>
        <w:tc>
          <w:tcPr>
            <w:tcW w:w="992" w:type="dxa"/>
            <w:shd w:val="clear" w:color="auto" w:fill="auto"/>
            <w:noWrap/>
            <w:vAlign w:val="center"/>
            <w:hideMark/>
          </w:tcPr>
          <w:p w14:paraId="3C24C671"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20</w:t>
            </w:r>
          </w:p>
        </w:tc>
        <w:tc>
          <w:tcPr>
            <w:tcW w:w="1276" w:type="dxa"/>
            <w:shd w:val="clear" w:color="auto" w:fill="auto"/>
            <w:noWrap/>
            <w:vAlign w:val="center"/>
            <w:hideMark/>
          </w:tcPr>
          <w:p w14:paraId="69DDBAEF"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19.539,00</w:t>
            </w:r>
          </w:p>
        </w:tc>
        <w:tc>
          <w:tcPr>
            <w:tcW w:w="992" w:type="dxa"/>
            <w:shd w:val="clear" w:color="auto" w:fill="auto"/>
            <w:noWrap/>
            <w:vAlign w:val="center"/>
            <w:hideMark/>
          </w:tcPr>
          <w:p w14:paraId="7A595383"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 xml:space="preserve">                                    -   </w:t>
            </w:r>
          </w:p>
        </w:tc>
        <w:tc>
          <w:tcPr>
            <w:tcW w:w="1127" w:type="dxa"/>
            <w:shd w:val="clear" w:color="auto" w:fill="auto"/>
            <w:noWrap/>
            <w:vAlign w:val="center"/>
            <w:hideMark/>
          </w:tcPr>
          <w:p w14:paraId="4FE5CFFC"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 xml:space="preserve">                                    -   </w:t>
            </w:r>
          </w:p>
        </w:tc>
      </w:tr>
      <w:tr w:rsidR="00C420E7" w:rsidRPr="00C63D02" w14:paraId="6C208429" w14:textId="77777777" w:rsidTr="000A4588">
        <w:trPr>
          <w:trHeight w:val="315"/>
        </w:trPr>
        <w:tc>
          <w:tcPr>
            <w:tcW w:w="1425" w:type="dxa"/>
            <w:shd w:val="clear" w:color="auto" w:fill="auto"/>
            <w:noWrap/>
            <w:vAlign w:val="center"/>
            <w:hideMark/>
          </w:tcPr>
          <w:p w14:paraId="575CA8A2" w14:textId="77777777" w:rsidR="00C420E7" w:rsidRPr="00C63D02" w:rsidRDefault="00C420E7" w:rsidP="000A4588">
            <w:pPr>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UN Sucumbíos</w:t>
            </w:r>
          </w:p>
        </w:tc>
        <w:tc>
          <w:tcPr>
            <w:tcW w:w="1134" w:type="dxa"/>
            <w:shd w:val="clear" w:color="auto" w:fill="auto"/>
            <w:noWrap/>
            <w:vAlign w:val="center"/>
            <w:hideMark/>
          </w:tcPr>
          <w:p w14:paraId="18BE3CED"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w:t>
            </w:r>
          </w:p>
        </w:tc>
        <w:tc>
          <w:tcPr>
            <w:tcW w:w="993" w:type="dxa"/>
            <w:shd w:val="clear" w:color="auto" w:fill="auto"/>
            <w:noWrap/>
            <w:vAlign w:val="center"/>
            <w:hideMark/>
          </w:tcPr>
          <w:p w14:paraId="5533FD0E"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1</w:t>
            </w:r>
          </w:p>
        </w:tc>
        <w:tc>
          <w:tcPr>
            <w:tcW w:w="1134" w:type="dxa"/>
            <w:shd w:val="clear" w:color="auto" w:fill="auto"/>
            <w:noWrap/>
            <w:vAlign w:val="center"/>
            <w:hideMark/>
          </w:tcPr>
          <w:p w14:paraId="467FDB53"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250</w:t>
            </w:r>
          </w:p>
        </w:tc>
        <w:tc>
          <w:tcPr>
            <w:tcW w:w="992" w:type="dxa"/>
            <w:shd w:val="clear" w:color="auto" w:fill="auto"/>
            <w:noWrap/>
            <w:vAlign w:val="center"/>
            <w:hideMark/>
          </w:tcPr>
          <w:p w14:paraId="320DE5CE"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 xml:space="preserve">                                    -   </w:t>
            </w:r>
          </w:p>
        </w:tc>
        <w:tc>
          <w:tcPr>
            <w:tcW w:w="1276" w:type="dxa"/>
            <w:shd w:val="clear" w:color="auto" w:fill="auto"/>
            <w:noWrap/>
            <w:vAlign w:val="center"/>
            <w:hideMark/>
          </w:tcPr>
          <w:p w14:paraId="5A35E3D4"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 xml:space="preserve">                                    -   </w:t>
            </w:r>
          </w:p>
        </w:tc>
        <w:tc>
          <w:tcPr>
            <w:tcW w:w="992" w:type="dxa"/>
            <w:shd w:val="clear" w:color="auto" w:fill="auto"/>
            <w:noWrap/>
            <w:vAlign w:val="center"/>
            <w:hideMark/>
          </w:tcPr>
          <w:p w14:paraId="60722D9B"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 xml:space="preserve">                                    -   </w:t>
            </w:r>
          </w:p>
        </w:tc>
        <w:tc>
          <w:tcPr>
            <w:tcW w:w="1127" w:type="dxa"/>
            <w:shd w:val="clear" w:color="auto" w:fill="auto"/>
            <w:noWrap/>
            <w:vAlign w:val="center"/>
            <w:hideMark/>
          </w:tcPr>
          <w:p w14:paraId="174C7B3D" w14:textId="77777777" w:rsidR="00C420E7" w:rsidRPr="00C63D02" w:rsidRDefault="00C420E7" w:rsidP="000A4588">
            <w:pPr>
              <w:jc w:val="right"/>
              <w:rPr>
                <w:rFonts w:ascii="Calibri Light" w:eastAsia="Times New Roman" w:hAnsi="Calibri Light" w:cs="Calibri Light"/>
                <w:color w:val="000000"/>
                <w:sz w:val="18"/>
                <w:szCs w:val="18"/>
                <w:lang w:eastAsia="es-EC"/>
              </w:rPr>
            </w:pPr>
            <w:r w:rsidRPr="00C63D02">
              <w:rPr>
                <w:rFonts w:ascii="Calibri Light" w:eastAsia="Times New Roman" w:hAnsi="Calibri Light" w:cs="Calibri Light"/>
                <w:color w:val="000000"/>
                <w:sz w:val="18"/>
                <w:szCs w:val="18"/>
                <w:lang w:eastAsia="es-EC"/>
              </w:rPr>
              <w:t xml:space="preserve">                                    -   </w:t>
            </w:r>
          </w:p>
        </w:tc>
      </w:tr>
      <w:tr w:rsidR="00C420E7" w:rsidRPr="00C63D02" w14:paraId="78CB35CB" w14:textId="77777777" w:rsidTr="000A4588">
        <w:trPr>
          <w:trHeight w:val="315"/>
        </w:trPr>
        <w:tc>
          <w:tcPr>
            <w:tcW w:w="1425" w:type="dxa"/>
            <w:shd w:val="clear" w:color="auto" w:fill="auto"/>
            <w:noWrap/>
            <w:vAlign w:val="center"/>
            <w:hideMark/>
          </w:tcPr>
          <w:p w14:paraId="367B1128" w14:textId="77777777" w:rsidR="00C420E7" w:rsidRPr="00C63D02" w:rsidRDefault="00C420E7" w:rsidP="000A4588">
            <w:pPr>
              <w:rPr>
                <w:rFonts w:ascii="Calibri Light" w:eastAsia="Times New Roman" w:hAnsi="Calibri Light" w:cs="Calibri Light"/>
                <w:b/>
                <w:bCs/>
                <w:color w:val="000000"/>
                <w:sz w:val="18"/>
                <w:szCs w:val="18"/>
                <w:lang w:eastAsia="es-EC"/>
              </w:rPr>
            </w:pPr>
            <w:r w:rsidRPr="00C63D02">
              <w:rPr>
                <w:rFonts w:ascii="Calibri Light" w:eastAsia="Times New Roman" w:hAnsi="Calibri Light" w:cs="Calibri Light"/>
                <w:b/>
                <w:bCs/>
                <w:color w:val="000000"/>
                <w:sz w:val="18"/>
                <w:szCs w:val="18"/>
                <w:lang w:eastAsia="es-EC"/>
              </w:rPr>
              <w:t>TOTAL</w:t>
            </w:r>
          </w:p>
        </w:tc>
        <w:tc>
          <w:tcPr>
            <w:tcW w:w="1134" w:type="dxa"/>
            <w:shd w:val="clear" w:color="auto" w:fill="auto"/>
            <w:noWrap/>
            <w:vAlign w:val="center"/>
            <w:hideMark/>
          </w:tcPr>
          <w:p w14:paraId="2A4DF38A" w14:textId="77777777" w:rsidR="00C420E7" w:rsidRPr="00C63D02" w:rsidRDefault="00C420E7" w:rsidP="000A4588">
            <w:pPr>
              <w:jc w:val="right"/>
              <w:rPr>
                <w:rFonts w:ascii="Calibri Light" w:eastAsia="Times New Roman" w:hAnsi="Calibri Light" w:cs="Calibri Light"/>
                <w:b/>
                <w:bCs/>
                <w:color w:val="000000"/>
                <w:sz w:val="18"/>
                <w:szCs w:val="18"/>
                <w:lang w:eastAsia="es-EC"/>
              </w:rPr>
            </w:pPr>
            <w:r w:rsidRPr="00C63D02">
              <w:rPr>
                <w:rFonts w:ascii="Calibri Light" w:eastAsia="Times New Roman" w:hAnsi="Calibri Light" w:cs="Calibri Light"/>
                <w:b/>
                <w:bCs/>
                <w:color w:val="000000"/>
                <w:sz w:val="18"/>
                <w:szCs w:val="18"/>
                <w:lang w:eastAsia="es-EC"/>
              </w:rPr>
              <w:t>837</w:t>
            </w:r>
          </w:p>
        </w:tc>
        <w:tc>
          <w:tcPr>
            <w:tcW w:w="993" w:type="dxa"/>
            <w:shd w:val="clear" w:color="auto" w:fill="auto"/>
            <w:noWrap/>
            <w:vAlign w:val="center"/>
            <w:hideMark/>
          </w:tcPr>
          <w:p w14:paraId="0B84BDF7" w14:textId="77777777" w:rsidR="00C420E7" w:rsidRPr="00C63D02" w:rsidRDefault="00C420E7" w:rsidP="000A4588">
            <w:pPr>
              <w:jc w:val="right"/>
              <w:rPr>
                <w:rFonts w:ascii="Calibri Light" w:eastAsia="Times New Roman" w:hAnsi="Calibri Light" w:cs="Calibri Light"/>
                <w:b/>
                <w:bCs/>
                <w:color w:val="000000"/>
                <w:sz w:val="18"/>
                <w:szCs w:val="18"/>
                <w:lang w:eastAsia="es-EC"/>
              </w:rPr>
            </w:pPr>
            <w:r w:rsidRPr="00C63D02">
              <w:rPr>
                <w:rFonts w:ascii="Calibri Light" w:eastAsia="Times New Roman" w:hAnsi="Calibri Light" w:cs="Calibri Light"/>
                <w:b/>
                <w:bCs/>
                <w:color w:val="000000"/>
                <w:sz w:val="18"/>
                <w:szCs w:val="18"/>
                <w:lang w:eastAsia="es-EC"/>
              </w:rPr>
              <w:t>381</w:t>
            </w:r>
          </w:p>
        </w:tc>
        <w:tc>
          <w:tcPr>
            <w:tcW w:w="1134" w:type="dxa"/>
            <w:shd w:val="clear" w:color="auto" w:fill="auto"/>
            <w:noWrap/>
            <w:vAlign w:val="center"/>
            <w:hideMark/>
          </w:tcPr>
          <w:p w14:paraId="7E78757B" w14:textId="77777777" w:rsidR="00C420E7" w:rsidRPr="00C63D02" w:rsidRDefault="00C420E7" w:rsidP="000A4588">
            <w:pPr>
              <w:jc w:val="right"/>
              <w:rPr>
                <w:rFonts w:ascii="Calibri Light" w:eastAsia="Times New Roman" w:hAnsi="Calibri Light" w:cs="Calibri Light"/>
                <w:b/>
                <w:bCs/>
                <w:color w:val="000000"/>
                <w:sz w:val="18"/>
                <w:szCs w:val="18"/>
                <w:lang w:eastAsia="es-EC"/>
              </w:rPr>
            </w:pPr>
            <w:r w:rsidRPr="00C63D02">
              <w:rPr>
                <w:rFonts w:ascii="Calibri Light" w:eastAsia="Times New Roman" w:hAnsi="Calibri Light" w:cs="Calibri Light"/>
                <w:b/>
                <w:bCs/>
                <w:color w:val="000000"/>
                <w:sz w:val="18"/>
                <w:szCs w:val="18"/>
                <w:lang w:eastAsia="es-EC"/>
              </w:rPr>
              <w:t>202.474,24</w:t>
            </w:r>
          </w:p>
        </w:tc>
        <w:tc>
          <w:tcPr>
            <w:tcW w:w="992" w:type="dxa"/>
            <w:shd w:val="clear" w:color="auto" w:fill="auto"/>
            <w:noWrap/>
            <w:vAlign w:val="center"/>
            <w:hideMark/>
          </w:tcPr>
          <w:p w14:paraId="6E3FFE32" w14:textId="77777777" w:rsidR="00C420E7" w:rsidRPr="00C63D02" w:rsidRDefault="00C420E7" w:rsidP="000A4588">
            <w:pPr>
              <w:jc w:val="right"/>
              <w:rPr>
                <w:rFonts w:ascii="Calibri Light" w:eastAsia="Times New Roman" w:hAnsi="Calibri Light" w:cs="Calibri Light"/>
                <w:b/>
                <w:bCs/>
                <w:color w:val="000000"/>
                <w:sz w:val="18"/>
                <w:szCs w:val="18"/>
                <w:lang w:eastAsia="es-EC"/>
              </w:rPr>
            </w:pPr>
            <w:r w:rsidRPr="00C63D02">
              <w:rPr>
                <w:rFonts w:ascii="Calibri Light" w:eastAsia="Times New Roman" w:hAnsi="Calibri Light" w:cs="Calibri Light"/>
                <w:b/>
                <w:bCs/>
                <w:color w:val="000000"/>
                <w:sz w:val="18"/>
                <w:szCs w:val="18"/>
                <w:lang w:eastAsia="es-EC"/>
              </w:rPr>
              <w:t>437</w:t>
            </w:r>
          </w:p>
        </w:tc>
        <w:tc>
          <w:tcPr>
            <w:tcW w:w="1276" w:type="dxa"/>
            <w:shd w:val="clear" w:color="auto" w:fill="auto"/>
            <w:noWrap/>
            <w:vAlign w:val="center"/>
            <w:hideMark/>
          </w:tcPr>
          <w:p w14:paraId="2807B096" w14:textId="77777777" w:rsidR="00C420E7" w:rsidRPr="00C63D02" w:rsidRDefault="00C420E7" w:rsidP="000A4588">
            <w:pPr>
              <w:jc w:val="right"/>
              <w:rPr>
                <w:rFonts w:ascii="Calibri Light" w:eastAsia="Times New Roman" w:hAnsi="Calibri Light" w:cs="Calibri Light"/>
                <w:b/>
                <w:bCs/>
                <w:color w:val="000000"/>
                <w:sz w:val="18"/>
                <w:szCs w:val="18"/>
                <w:lang w:eastAsia="es-EC"/>
              </w:rPr>
            </w:pPr>
            <w:r w:rsidRPr="00C63D02">
              <w:rPr>
                <w:rFonts w:ascii="Calibri Light" w:eastAsia="Times New Roman" w:hAnsi="Calibri Light" w:cs="Calibri Light"/>
                <w:b/>
                <w:bCs/>
                <w:color w:val="000000"/>
                <w:sz w:val="18"/>
                <w:szCs w:val="18"/>
                <w:lang w:eastAsia="es-EC"/>
              </w:rPr>
              <w:t>452.937,46</w:t>
            </w:r>
          </w:p>
        </w:tc>
        <w:tc>
          <w:tcPr>
            <w:tcW w:w="992" w:type="dxa"/>
            <w:shd w:val="clear" w:color="auto" w:fill="auto"/>
            <w:noWrap/>
            <w:vAlign w:val="center"/>
            <w:hideMark/>
          </w:tcPr>
          <w:p w14:paraId="4A0E3E09" w14:textId="77777777" w:rsidR="00C420E7" w:rsidRPr="00C63D02" w:rsidRDefault="00C420E7" w:rsidP="000A4588">
            <w:pPr>
              <w:jc w:val="right"/>
              <w:rPr>
                <w:rFonts w:ascii="Calibri Light" w:eastAsia="Times New Roman" w:hAnsi="Calibri Light" w:cs="Calibri Light"/>
                <w:b/>
                <w:bCs/>
                <w:color w:val="000000"/>
                <w:sz w:val="18"/>
                <w:szCs w:val="18"/>
                <w:lang w:eastAsia="es-EC"/>
              </w:rPr>
            </w:pPr>
            <w:r w:rsidRPr="00C63D02">
              <w:rPr>
                <w:rFonts w:ascii="Calibri Light" w:eastAsia="Times New Roman" w:hAnsi="Calibri Light" w:cs="Calibri Light"/>
                <w:b/>
                <w:bCs/>
                <w:color w:val="000000"/>
                <w:sz w:val="18"/>
                <w:szCs w:val="18"/>
                <w:lang w:eastAsia="es-EC"/>
              </w:rPr>
              <w:t>19</w:t>
            </w:r>
          </w:p>
        </w:tc>
        <w:tc>
          <w:tcPr>
            <w:tcW w:w="1127" w:type="dxa"/>
            <w:shd w:val="clear" w:color="auto" w:fill="auto"/>
            <w:noWrap/>
            <w:vAlign w:val="center"/>
            <w:hideMark/>
          </w:tcPr>
          <w:p w14:paraId="1F6ECD6B" w14:textId="77777777" w:rsidR="00C420E7" w:rsidRPr="00C63D02" w:rsidRDefault="00C420E7" w:rsidP="000A4588">
            <w:pPr>
              <w:jc w:val="right"/>
              <w:rPr>
                <w:rFonts w:ascii="Calibri Light" w:eastAsia="Times New Roman" w:hAnsi="Calibri Light" w:cs="Calibri Light"/>
                <w:b/>
                <w:bCs/>
                <w:color w:val="000000"/>
                <w:sz w:val="18"/>
                <w:szCs w:val="18"/>
                <w:lang w:eastAsia="es-EC"/>
              </w:rPr>
            </w:pPr>
            <w:r w:rsidRPr="00C63D02">
              <w:rPr>
                <w:rFonts w:ascii="Calibri Light" w:eastAsia="Times New Roman" w:hAnsi="Calibri Light" w:cs="Calibri Light"/>
                <w:b/>
                <w:bCs/>
                <w:color w:val="000000"/>
                <w:sz w:val="18"/>
                <w:szCs w:val="18"/>
                <w:lang w:eastAsia="es-EC"/>
              </w:rPr>
              <w:t>13.104,00</w:t>
            </w:r>
          </w:p>
        </w:tc>
      </w:tr>
    </w:tbl>
    <w:p w14:paraId="26DBA83B" w14:textId="77777777" w:rsidR="00C420E7" w:rsidRPr="00A96ECC" w:rsidRDefault="00C420E7" w:rsidP="00C420E7">
      <w:pPr>
        <w:rPr>
          <w:i/>
          <w:sz w:val="16"/>
          <w:szCs w:val="16"/>
        </w:rPr>
      </w:pPr>
      <w:r w:rsidRPr="00A96ECC">
        <w:rPr>
          <w:rFonts w:asciiTheme="majorHAnsi" w:hAnsiTheme="majorHAnsi" w:cstheme="majorHAnsi"/>
          <w:i/>
          <w:color w:val="7F7F7F" w:themeColor="text1" w:themeTint="80"/>
          <w:sz w:val="16"/>
          <w:szCs w:val="16"/>
        </w:rPr>
        <w:t>Fuente: Dirección Expansión y de la Gestión Técnica y Operativa de la Distribución de Energía Eléctrica año 2024</w:t>
      </w:r>
    </w:p>
    <w:p w14:paraId="2405F10F" w14:textId="77777777" w:rsidR="00C420E7" w:rsidRDefault="00C420E7" w:rsidP="00C420E7"/>
    <w:p w14:paraId="12FD9489" w14:textId="77777777" w:rsidR="00C420E7" w:rsidRPr="00190089" w:rsidRDefault="00C420E7" w:rsidP="00190089">
      <w:pPr>
        <w:pStyle w:val="Ttulo2"/>
        <w:rPr>
          <w:sz w:val="24"/>
          <w:szCs w:val="24"/>
        </w:rPr>
      </w:pPr>
      <w:bookmarkStart w:id="436" w:name="_Toc198110349"/>
      <w:bookmarkStart w:id="437" w:name="_Toc199759574"/>
      <w:r w:rsidRPr="00190089">
        <w:rPr>
          <w:sz w:val="24"/>
          <w:szCs w:val="24"/>
        </w:rPr>
        <w:t>Coordinación en la Emergencia del Sector Eléctrico - Distribución</w:t>
      </w:r>
      <w:bookmarkEnd w:id="436"/>
      <w:bookmarkEnd w:id="437"/>
      <w:r w:rsidRPr="00190089">
        <w:rPr>
          <w:sz w:val="24"/>
          <w:szCs w:val="24"/>
        </w:rPr>
        <w:t xml:space="preserve"> </w:t>
      </w:r>
    </w:p>
    <w:p w14:paraId="2537F535" w14:textId="77777777" w:rsidR="00C420E7" w:rsidRPr="000C678E" w:rsidRDefault="00C420E7" w:rsidP="00C420E7"/>
    <w:p w14:paraId="6EC6B6E3" w14:textId="77777777" w:rsidR="00C420E7" w:rsidRPr="00343FD9" w:rsidRDefault="00C420E7" w:rsidP="00C420E7">
      <w:pPr>
        <w:spacing w:after="240"/>
        <w:jc w:val="both"/>
        <w:rPr>
          <w:rFonts w:asciiTheme="majorHAnsi" w:hAnsiTheme="majorHAnsi" w:cstheme="majorHAnsi"/>
          <w:b/>
          <w:sz w:val="22"/>
        </w:rPr>
      </w:pPr>
      <w:r w:rsidRPr="00343FD9">
        <w:rPr>
          <w:rFonts w:asciiTheme="majorHAnsi" w:hAnsiTheme="majorHAnsi" w:cstheme="majorHAnsi"/>
          <w:b/>
          <w:sz w:val="22"/>
        </w:rPr>
        <w:t>Coordinación Técnica y Seguimiento de la Programación de Racionamientos Eléctricos</w:t>
      </w:r>
    </w:p>
    <w:p w14:paraId="58630AFD" w14:textId="77777777" w:rsidR="00C420E7" w:rsidRPr="00046655" w:rsidRDefault="00C420E7" w:rsidP="00C420E7">
      <w:pPr>
        <w:spacing w:after="240"/>
        <w:jc w:val="both"/>
        <w:rPr>
          <w:rFonts w:asciiTheme="majorHAnsi" w:hAnsiTheme="majorHAnsi" w:cstheme="majorHAnsi"/>
          <w:sz w:val="22"/>
        </w:rPr>
      </w:pPr>
      <w:r w:rsidRPr="00CE2310">
        <w:rPr>
          <w:rFonts w:asciiTheme="majorHAnsi" w:hAnsiTheme="majorHAnsi" w:cstheme="majorHAnsi"/>
          <w:sz w:val="22"/>
        </w:rPr>
        <w:t>Durante el período comprendido entre el 22 de septiembre y el 22 de diciembre de 2024, desde el Ministerio de Energía y Minas, a través de la Dirección de Gestión Técnica de Operación y Distribución de Energía Eléctrica (DEGTODEE), se llevó a cabo una gestión integral para asegurar el cumplimiento de la programación de racionamientos eléctricos a nivel nacional. Este proceso se articuló en conjunto con el CENACE, entidad encargada de la planificación de los racionamientos y de la entrega de las curvas correspondientes a las Empresas Eléctricas de Distribución (</w:t>
      </w:r>
      <w:proofErr w:type="spellStart"/>
      <w:r w:rsidRPr="00CE2310">
        <w:rPr>
          <w:rFonts w:asciiTheme="majorHAnsi" w:hAnsiTheme="majorHAnsi" w:cstheme="majorHAnsi"/>
          <w:sz w:val="22"/>
        </w:rPr>
        <w:t>EEDs</w:t>
      </w:r>
      <w:proofErr w:type="spellEnd"/>
      <w:r w:rsidRPr="00CE2310">
        <w:rPr>
          <w:rFonts w:asciiTheme="majorHAnsi" w:hAnsiTheme="majorHAnsi" w:cstheme="majorHAnsi"/>
          <w:sz w:val="22"/>
        </w:rPr>
        <w:t xml:space="preserve">), quienes desarrollaron la programación operativa de los cortes. Desde nuestra Dirección, se efectuó la verificación de las programaciones emitidas por las </w:t>
      </w:r>
      <w:proofErr w:type="spellStart"/>
      <w:r w:rsidRPr="00CE2310">
        <w:rPr>
          <w:rFonts w:asciiTheme="majorHAnsi" w:hAnsiTheme="majorHAnsi" w:cstheme="majorHAnsi"/>
          <w:sz w:val="22"/>
        </w:rPr>
        <w:t>EEDs</w:t>
      </w:r>
      <w:proofErr w:type="spellEnd"/>
      <w:r w:rsidRPr="00CE2310">
        <w:rPr>
          <w:rFonts w:asciiTheme="majorHAnsi" w:hAnsiTheme="majorHAnsi" w:cstheme="majorHAnsi"/>
          <w:sz w:val="22"/>
        </w:rPr>
        <w:t>, el seguimiento semanal del cumplimiento y la publicación oficial de los cronogramas, garantizando la transparencia y la oportuna información a la ciudadanía. Como resultado de esta coordinación técnica y operativa, se alcanzó un promedio de cumplimiento del 99,7%, reflejando el compromiso institucional y la eficiencia del trabajo conjunto frente a los desafíos energéticos del periodo.</w:t>
      </w:r>
    </w:p>
    <w:p w14:paraId="6AA974BC" w14:textId="700849EA" w:rsidR="00C420E7" w:rsidRPr="00F81B20" w:rsidRDefault="00C420E7" w:rsidP="00C420E7">
      <w:pPr>
        <w:pStyle w:val="Descripcin"/>
        <w:rPr>
          <w:rFonts w:asciiTheme="majorHAnsi" w:hAnsiTheme="majorHAnsi"/>
        </w:rPr>
      </w:pPr>
      <w:bookmarkStart w:id="438" w:name="_Toc198110409"/>
      <w:bookmarkStart w:id="439" w:name="_Toc199757572"/>
      <w:r w:rsidRPr="00F81B20">
        <w:rPr>
          <w:rFonts w:asciiTheme="majorHAnsi" w:hAnsiTheme="majorHAnsi"/>
        </w:rPr>
        <w:lastRenderedPageBreak/>
        <w:t xml:space="preserve">Figura </w:t>
      </w:r>
      <w:r w:rsidR="002026B0" w:rsidRPr="00F81B20">
        <w:rPr>
          <w:rFonts w:asciiTheme="majorHAnsi" w:hAnsiTheme="majorHAnsi"/>
        </w:rPr>
        <w:fldChar w:fldCharType="begin"/>
      </w:r>
      <w:r w:rsidR="002026B0" w:rsidRPr="00F81B20">
        <w:rPr>
          <w:rFonts w:asciiTheme="majorHAnsi" w:hAnsiTheme="majorHAnsi"/>
        </w:rPr>
        <w:instrText xml:space="preserve"> SEQ Figura \* ARABIC </w:instrText>
      </w:r>
      <w:r w:rsidR="002026B0" w:rsidRPr="00F81B20">
        <w:rPr>
          <w:rFonts w:asciiTheme="majorHAnsi" w:hAnsiTheme="majorHAnsi"/>
        </w:rPr>
        <w:fldChar w:fldCharType="separate"/>
      </w:r>
      <w:r w:rsidR="00C751F5">
        <w:rPr>
          <w:rFonts w:asciiTheme="majorHAnsi" w:hAnsiTheme="majorHAnsi"/>
          <w:noProof/>
        </w:rPr>
        <w:t>29</w:t>
      </w:r>
      <w:r w:rsidR="002026B0" w:rsidRPr="00F81B20">
        <w:rPr>
          <w:rFonts w:asciiTheme="majorHAnsi" w:hAnsiTheme="majorHAnsi"/>
        </w:rPr>
        <w:fldChar w:fldCharType="end"/>
      </w:r>
      <w:r w:rsidR="005241FC">
        <w:rPr>
          <w:rFonts w:asciiTheme="majorHAnsi" w:hAnsiTheme="majorHAnsi"/>
        </w:rPr>
        <w:t xml:space="preserve">: </w:t>
      </w:r>
      <w:r w:rsidRPr="00F81B20">
        <w:rPr>
          <w:rFonts w:asciiTheme="majorHAnsi" w:hAnsiTheme="majorHAnsi"/>
        </w:rPr>
        <w:t>Cumplimiento Programación Racionamientos CNEL-EP Periodo 22sep 2024 Al 22dic 2024</w:t>
      </w:r>
      <w:bookmarkEnd w:id="438"/>
      <w:bookmarkEnd w:id="439"/>
    </w:p>
    <w:p w14:paraId="7636EAC1" w14:textId="154B6106" w:rsidR="00C420E7" w:rsidRPr="00F81B20" w:rsidRDefault="00C420E7" w:rsidP="00FD1FAB">
      <w:pPr>
        <w:keepNext/>
        <w:spacing w:after="240"/>
        <w:jc w:val="center"/>
      </w:pPr>
      <w:r>
        <w:rPr>
          <w:noProof/>
        </w:rPr>
        <w:drawing>
          <wp:inline distT="0" distB="0" distL="0" distR="0" wp14:anchorId="1F24FE1E" wp14:editId="44CF30CD">
            <wp:extent cx="4785128" cy="1954530"/>
            <wp:effectExtent l="0" t="0" r="0" b="7620"/>
            <wp:docPr id="6563735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08159" cy="1963937"/>
                    </a:xfrm>
                    <a:prstGeom prst="rect">
                      <a:avLst/>
                    </a:prstGeom>
                    <a:noFill/>
                  </pic:spPr>
                </pic:pic>
              </a:graphicData>
            </a:graphic>
          </wp:inline>
        </w:drawing>
      </w:r>
      <w:r w:rsidRPr="00F81B20">
        <w:rPr>
          <w:rFonts w:asciiTheme="majorHAnsi" w:hAnsiTheme="majorHAnsi" w:cstheme="majorHAnsi"/>
          <w:i/>
          <w:color w:val="7F7F7F" w:themeColor="text1" w:themeTint="80"/>
          <w:sz w:val="18"/>
          <w:szCs w:val="18"/>
        </w:rPr>
        <w:t>Fuente: Dirección Expansión y de la Gestión Técnica y Operativa de la Distribución de Energía Eléctrica año 2024</w:t>
      </w:r>
    </w:p>
    <w:p w14:paraId="33D8E0E8" w14:textId="77777777" w:rsidR="00C420E7" w:rsidRPr="001A53DB" w:rsidRDefault="00C420E7" w:rsidP="00C420E7">
      <w:pPr>
        <w:rPr>
          <w:rFonts w:asciiTheme="majorHAnsi" w:hAnsiTheme="majorHAnsi" w:cstheme="majorHAnsi"/>
          <w:color w:val="7F7F7F" w:themeColor="text1" w:themeTint="80"/>
          <w:sz w:val="20"/>
        </w:rPr>
      </w:pPr>
    </w:p>
    <w:p w14:paraId="2238F954" w14:textId="1751B5D4" w:rsidR="00C420E7" w:rsidRPr="00F81B20" w:rsidRDefault="00C420E7" w:rsidP="00C420E7">
      <w:pPr>
        <w:pStyle w:val="Descripcin"/>
        <w:rPr>
          <w:rFonts w:asciiTheme="majorHAnsi" w:hAnsiTheme="majorHAnsi"/>
        </w:rPr>
      </w:pPr>
      <w:bookmarkStart w:id="440" w:name="_Toc198110410"/>
      <w:bookmarkStart w:id="441" w:name="_Toc199757573"/>
      <w:r w:rsidRPr="00F81B20">
        <w:rPr>
          <w:rFonts w:asciiTheme="majorHAnsi" w:hAnsiTheme="majorHAnsi"/>
        </w:rPr>
        <w:t xml:space="preserve">Figura </w:t>
      </w:r>
      <w:r w:rsidR="002026B0" w:rsidRPr="00F81B20">
        <w:rPr>
          <w:rFonts w:asciiTheme="majorHAnsi" w:hAnsiTheme="majorHAnsi"/>
        </w:rPr>
        <w:fldChar w:fldCharType="begin"/>
      </w:r>
      <w:r w:rsidR="002026B0" w:rsidRPr="00F81B20">
        <w:rPr>
          <w:rFonts w:asciiTheme="majorHAnsi" w:hAnsiTheme="majorHAnsi"/>
        </w:rPr>
        <w:instrText xml:space="preserve"> SEQ Figura \* ARABIC </w:instrText>
      </w:r>
      <w:r w:rsidR="002026B0" w:rsidRPr="00F81B20">
        <w:rPr>
          <w:rFonts w:asciiTheme="majorHAnsi" w:hAnsiTheme="majorHAnsi"/>
        </w:rPr>
        <w:fldChar w:fldCharType="separate"/>
      </w:r>
      <w:r w:rsidR="00192E54">
        <w:rPr>
          <w:rFonts w:asciiTheme="majorHAnsi" w:hAnsiTheme="majorHAnsi"/>
          <w:noProof/>
        </w:rPr>
        <w:t>30</w:t>
      </w:r>
      <w:r w:rsidR="002026B0" w:rsidRPr="00F81B20">
        <w:rPr>
          <w:rFonts w:asciiTheme="majorHAnsi" w:hAnsiTheme="majorHAnsi"/>
        </w:rPr>
        <w:fldChar w:fldCharType="end"/>
      </w:r>
      <w:r w:rsidR="005241FC">
        <w:rPr>
          <w:rFonts w:asciiTheme="majorHAnsi" w:hAnsiTheme="majorHAnsi"/>
        </w:rPr>
        <w:t xml:space="preserve">: </w:t>
      </w:r>
      <w:r w:rsidRPr="00F81B20">
        <w:rPr>
          <w:rFonts w:asciiTheme="majorHAnsi" w:hAnsiTheme="majorHAnsi"/>
        </w:rPr>
        <w:t>Cumplimiento Programación Racionamientos S.A. Periodo 22sep 2024 al 22dic 2024</w:t>
      </w:r>
      <w:bookmarkEnd w:id="440"/>
      <w:bookmarkEnd w:id="441"/>
    </w:p>
    <w:p w14:paraId="1C4B5D4E" w14:textId="5B9013B2" w:rsidR="00C420E7" w:rsidRDefault="00C420E7" w:rsidP="00FD1FAB">
      <w:pPr>
        <w:keepNext/>
        <w:spacing w:after="240"/>
        <w:jc w:val="center"/>
      </w:pPr>
      <w:r>
        <w:rPr>
          <w:noProof/>
        </w:rPr>
        <w:drawing>
          <wp:inline distT="0" distB="0" distL="0" distR="0" wp14:anchorId="460F6D40" wp14:editId="6B436AEF">
            <wp:extent cx="4883868" cy="2000885"/>
            <wp:effectExtent l="0" t="0" r="0" b="0"/>
            <wp:docPr id="14210887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25905" cy="2018107"/>
                    </a:xfrm>
                    <a:prstGeom prst="rect">
                      <a:avLst/>
                    </a:prstGeom>
                    <a:noFill/>
                  </pic:spPr>
                </pic:pic>
              </a:graphicData>
            </a:graphic>
          </wp:inline>
        </w:drawing>
      </w:r>
      <w:r w:rsidRPr="00F81B20">
        <w:rPr>
          <w:rFonts w:asciiTheme="majorHAnsi" w:hAnsiTheme="majorHAnsi" w:cstheme="majorHAnsi"/>
          <w:i/>
          <w:color w:val="7F7F7F" w:themeColor="text1" w:themeTint="80"/>
          <w:sz w:val="18"/>
          <w:szCs w:val="18"/>
        </w:rPr>
        <w:t>Fuente: Dirección Expansión y de la Gestión Técnica y Operativa de la Distribución de Energía Eléctrica año 2024</w:t>
      </w:r>
    </w:p>
    <w:p w14:paraId="12474744" w14:textId="77777777" w:rsidR="00C420E7" w:rsidRPr="002619C8" w:rsidRDefault="00C420E7" w:rsidP="00C420E7">
      <w:pPr>
        <w:rPr>
          <w:rFonts w:asciiTheme="majorHAnsi" w:hAnsiTheme="majorHAnsi" w:cstheme="majorHAnsi"/>
          <w:b/>
          <w:sz w:val="22"/>
        </w:rPr>
      </w:pPr>
      <w:r w:rsidRPr="002619C8">
        <w:rPr>
          <w:rFonts w:asciiTheme="majorHAnsi" w:hAnsiTheme="majorHAnsi" w:cstheme="majorHAnsi"/>
          <w:b/>
          <w:sz w:val="22"/>
        </w:rPr>
        <w:t>Gestión de la demanda – reducción de consumo clientes industriales Media Tensión y Categoría AV1</w:t>
      </w:r>
    </w:p>
    <w:p w14:paraId="5385AB95" w14:textId="77777777" w:rsidR="00C420E7" w:rsidRDefault="00C420E7" w:rsidP="00C420E7">
      <w:pPr>
        <w:rPr>
          <w:rFonts w:asciiTheme="majorHAnsi" w:hAnsiTheme="majorHAnsi" w:cstheme="majorHAnsi"/>
          <w:sz w:val="22"/>
        </w:rPr>
      </w:pPr>
    </w:p>
    <w:p w14:paraId="4A144F97" w14:textId="77777777" w:rsidR="00C420E7" w:rsidRDefault="00C420E7" w:rsidP="00C420E7">
      <w:pPr>
        <w:jc w:val="both"/>
        <w:rPr>
          <w:rFonts w:asciiTheme="majorHAnsi" w:hAnsiTheme="majorHAnsi" w:cstheme="majorHAnsi"/>
          <w:sz w:val="22"/>
        </w:rPr>
      </w:pPr>
      <w:r w:rsidRPr="00E66FC3">
        <w:rPr>
          <w:rFonts w:asciiTheme="majorHAnsi" w:hAnsiTheme="majorHAnsi" w:cstheme="majorHAnsi"/>
          <w:sz w:val="22"/>
        </w:rPr>
        <w:t xml:space="preserve">Como parte </w:t>
      </w:r>
      <w:r>
        <w:rPr>
          <w:rFonts w:asciiTheme="majorHAnsi" w:hAnsiTheme="majorHAnsi" w:cstheme="majorHAnsi"/>
          <w:sz w:val="22"/>
        </w:rPr>
        <w:t>de las gestiones desarrolladas dentro de la emergencia eléctrica, se realiza el control y seguimiento del consumo energético de los clientes industriales en media tensión y clientes en categoría AV1, para lo cual se solicitó la reducción del 40% en sus procesos, en el periodo comprendido del 20 al 31 de diciembre de 2024.</w:t>
      </w:r>
    </w:p>
    <w:p w14:paraId="083E333E" w14:textId="77777777" w:rsidR="00C420E7" w:rsidRDefault="00C420E7" w:rsidP="00C420E7">
      <w:pPr>
        <w:jc w:val="both"/>
        <w:rPr>
          <w:rFonts w:asciiTheme="majorHAnsi" w:hAnsiTheme="majorHAnsi" w:cstheme="majorHAnsi"/>
          <w:sz w:val="22"/>
        </w:rPr>
      </w:pPr>
    </w:p>
    <w:p w14:paraId="55408DC4" w14:textId="77777777" w:rsidR="00C420E7" w:rsidRDefault="00C420E7" w:rsidP="00C420E7">
      <w:pPr>
        <w:jc w:val="both"/>
        <w:rPr>
          <w:rFonts w:asciiTheme="majorHAnsi" w:hAnsiTheme="majorHAnsi" w:cstheme="majorHAnsi"/>
          <w:sz w:val="22"/>
        </w:rPr>
      </w:pPr>
      <w:r>
        <w:rPr>
          <w:rFonts w:asciiTheme="majorHAnsi" w:hAnsiTheme="majorHAnsi" w:cstheme="majorHAnsi"/>
          <w:sz w:val="22"/>
        </w:rPr>
        <w:t>De esta forma, dentro del periodo de reducción, se obtuvo una reducción de la demanda de alrededor de 318 MW, mediante los acuerdos establecidos con 154 Industriales.</w:t>
      </w:r>
    </w:p>
    <w:p w14:paraId="288B738B" w14:textId="77777777" w:rsidR="00C420E7" w:rsidRDefault="00C420E7" w:rsidP="00C420E7">
      <w:pPr>
        <w:jc w:val="both"/>
        <w:rPr>
          <w:rFonts w:asciiTheme="majorHAnsi" w:hAnsiTheme="majorHAnsi" w:cstheme="majorHAnsi"/>
          <w:sz w:val="22"/>
        </w:rPr>
      </w:pPr>
    </w:p>
    <w:p w14:paraId="08DC5F16" w14:textId="77777777" w:rsidR="00C420E7" w:rsidRDefault="00C420E7" w:rsidP="00C420E7">
      <w:pPr>
        <w:rPr>
          <w:rFonts w:asciiTheme="majorHAnsi" w:hAnsiTheme="majorHAnsi" w:cstheme="majorHAnsi"/>
          <w:sz w:val="22"/>
        </w:rPr>
      </w:pPr>
      <w:r>
        <w:rPr>
          <w:rFonts w:asciiTheme="majorHAnsi" w:hAnsiTheme="majorHAnsi" w:cstheme="majorHAnsi"/>
          <w:sz w:val="22"/>
        </w:rPr>
        <w:t>A continuación, se detallada la reducción en energía y potencia en cada una de las Empresas Distribuidoras a nivel nacional:</w:t>
      </w:r>
    </w:p>
    <w:p w14:paraId="09387C54" w14:textId="77777777" w:rsidR="00C420E7" w:rsidRDefault="00C420E7" w:rsidP="00C420E7">
      <w:pPr>
        <w:pStyle w:val="Descripcin"/>
      </w:pPr>
    </w:p>
    <w:p w14:paraId="570651DF" w14:textId="60443BBF" w:rsidR="00C420E7" w:rsidRPr="0077151D" w:rsidRDefault="00C420E7" w:rsidP="00C420E7">
      <w:pPr>
        <w:pStyle w:val="Descripcin"/>
        <w:rPr>
          <w:rFonts w:asciiTheme="majorHAnsi" w:hAnsiTheme="majorHAnsi" w:cstheme="majorHAnsi"/>
        </w:rPr>
      </w:pPr>
      <w:bookmarkStart w:id="442" w:name="_Toc198110398"/>
      <w:bookmarkStart w:id="443" w:name="_Toc199759706"/>
      <w:r w:rsidRPr="0077151D">
        <w:rPr>
          <w:rFonts w:asciiTheme="majorHAnsi" w:hAnsiTheme="majorHAnsi" w:cstheme="majorHAnsi"/>
        </w:rPr>
        <w:t xml:space="preserve">Tabla </w:t>
      </w:r>
      <w:r w:rsidR="003A269C" w:rsidRPr="0077151D">
        <w:rPr>
          <w:rFonts w:asciiTheme="majorHAnsi" w:hAnsiTheme="majorHAnsi" w:cstheme="majorHAnsi"/>
        </w:rPr>
        <w:fldChar w:fldCharType="begin"/>
      </w:r>
      <w:r w:rsidR="003A269C" w:rsidRPr="0077151D">
        <w:rPr>
          <w:rFonts w:asciiTheme="majorHAnsi" w:hAnsiTheme="majorHAnsi" w:cstheme="majorHAnsi"/>
        </w:rPr>
        <w:instrText xml:space="preserve"> SEQ Tabla \* ARABIC </w:instrText>
      </w:r>
      <w:r w:rsidR="003A269C" w:rsidRPr="0077151D">
        <w:rPr>
          <w:rFonts w:asciiTheme="majorHAnsi" w:hAnsiTheme="majorHAnsi" w:cstheme="majorHAnsi"/>
        </w:rPr>
        <w:fldChar w:fldCharType="separate"/>
      </w:r>
      <w:r w:rsidR="00CF0AD2">
        <w:rPr>
          <w:rFonts w:asciiTheme="majorHAnsi" w:hAnsiTheme="majorHAnsi" w:cstheme="majorHAnsi"/>
          <w:noProof/>
        </w:rPr>
        <w:t>36</w:t>
      </w:r>
      <w:r w:rsidR="003A269C" w:rsidRPr="0077151D">
        <w:rPr>
          <w:rFonts w:asciiTheme="majorHAnsi" w:hAnsiTheme="majorHAnsi" w:cstheme="majorHAnsi"/>
          <w:noProof/>
        </w:rPr>
        <w:fldChar w:fldCharType="end"/>
      </w:r>
      <w:r w:rsidR="00192E54">
        <w:rPr>
          <w:rFonts w:asciiTheme="majorHAnsi" w:hAnsiTheme="majorHAnsi" w:cstheme="majorHAnsi"/>
        </w:rPr>
        <w:t xml:space="preserve">: </w:t>
      </w:r>
      <w:r w:rsidRPr="0077151D">
        <w:rPr>
          <w:rFonts w:asciiTheme="majorHAnsi" w:hAnsiTheme="majorHAnsi" w:cstheme="majorHAnsi"/>
        </w:rPr>
        <w:t>Reducción consumo energético y potencia de clientes en Media Tensión y AV1</w:t>
      </w:r>
      <w:bookmarkEnd w:id="442"/>
      <w:bookmarkEnd w:id="443"/>
    </w:p>
    <w:tbl>
      <w:tblPr>
        <w:tblW w:w="0" w:type="auto"/>
        <w:jc w:val="center"/>
        <w:tblCellMar>
          <w:left w:w="70" w:type="dxa"/>
          <w:right w:w="70" w:type="dxa"/>
        </w:tblCellMar>
        <w:tblLook w:val="04A0" w:firstRow="1" w:lastRow="0" w:firstColumn="1" w:lastColumn="0" w:noHBand="0" w:noVBand="1"/>
      </w:tblPr>
      <w:tblGrid>
        <w:gridCol w:w="1574"/>
        <w:gridCol w:w="2019"/>
        <w:gridCol w:w="3548"/>
      </w:tblGrid>
      <w:tr w:rsidR="00C420E7" w:rsidRPr="00B509C7" w14:paraId="5B4B6FC5" w14:textId="77777777" w:rsidTr="0077151D">
        <w:trPr>
          <w:trHeight w:val="900"/>
          <w:tblHeader/>
          <w:jc w:val="center"/>
        </w:trPr>
        <w:tc>
          <w:tcPr>
            <w:tcW w:w="0" w:type="auto"/>
            <w:tcBorders>
              <w:top w:val="single" w:sz="8" w:space="0" w:color="auto"/>
              <w:left w:val="single" w:sz="8" w:space="0" w:color="auto"/>
              <w:bottom w:val="nil"/>
              <w:right w:val="single" w:sz="8" w:space="0" w:color="auto"/>
            </w:tcBorders>
            <w:shd w:val="clear" w:color="000000" w:fill="5B9BD5"/>
            <w:vAlign w:val="center"/>
            <w:hideMark/>
          </w:tcPr>
          <w:p w14:paraId="287FAA0F" w14:textId="77777777" w:rsidR="00C420E7" w:rsidRPr="0077151D" w:rsidRDefault="00C420E7" w:rsidP="000A4588">
            <w:pPr>
              <w:jc w:val="center"/>
              <w:rPr>
                <w:rFonts w:asciiTheme="majorHAnsi" w:eastAsia="Times New Roman" w:hAnsiTheme="majorHAnsi" w:cstheme="majorHAnsi"/>
                <w:b/>
                <w:bCs/>
                <w:color w:val="FFFFFF"/>
                <w:sz w:val="16"/>
                <w:szCs w:val="16"/>
                <w:lang w:eastAsia="es-EC"/>
              </w:rPr>
            </w:pPr>
            <w:r w:rsidRPr="0077151D">
              <w:rPr>
                <w:rFonts w:asciiTheme="majorHAnsi" w:eastAsia="Times New Roman" w:hAnsiTheme="majorHAnsi" w:cstheme="majorHAnsi"/>
                <w:b/>
                <w:bCs/>
                <w:color w:val="FFFFFF"/>
                <w:sz w:val="16"/>
                <w:szCs w:val="16"/>
                <w:lang w:eastAsia="es-EC"/>
              </w:rPr>
              <w:t>Empresa Distribuidora</w:t>
            </w:r>
          </w:p>
        </w:tc>
        <w:tc>
          <w:tcPr>
            <w:tcW w:w="0" w:type="auto"/>
            <w:tcBorders>
              <w:top w:val="single" w:sz="8" w:space="0" w:color="auto"/>
              <w:left w:val="nil"/>
              <w:bottom w:val="nil"/>
              <w:right w:val="single" w:sz="8" w:space="0" w:color="auto"/>
            </w:tcBorders>
            <w:shd w:val="clear" w:color="000000" w:fill="5B9BD5"/>
            <w:vAlign w:val="center"/>
            <w:hideMark/>
          </w:tcPr>
          <w:p w14:paraId="44ABD751" w14:textId="77777777" w:rsidR="00C420E7" w:rsidRPr="0077151D" w:rsidRDefault="00C420E7" w:rsidP="000A4588">
            <w:pPr>
              <w:jc w:val="center"/>
              <w:rPr>
                <w:rFonts w:asciiTheme="majorHAnsi" w:eastAsia="Times New Roman" w:hAnsiTheme="majorHAnsi" w:cstheme="majorHAnsi"/>
                <w:b/>
                <w:bCs/>
                <w:color w:val="FFFFFF"/>
                <w:sz w:val="16"/>
                <w:szCs w:val="16"/>
                <w:lang w:eastAsia="es-EC"/>
              </w:rPr>
            </w:pPr>
            <w:r w:rsidRPr="0077151D">
              <w:rPr>
                <w:rFonts w:asciiTheme="majorHAnsi" w:eastAsia="Times New Roman" w:hAnsiTheme="majorHAnsi" w:cstheme="majorHAnsi"/>
                <w:b/>
                <w:bCs/>
                <w:color w:val="FFFFFF"/>
                <w:sz w:val="16"/>
                <w:szCs w:val="16"/>
                <w:lang w:eastAsia="es-EC"/>
              </w:rPr>
              <w:t>Reducción Energética (</w:t>
            </w:r>
            <w:proofErr w:type="spellStart"/>
            <w:r w:rsidRPr="0077151D">
              <w:rPr>
                <w:rFonts w:asciiTheme="majorHAnsi" w:eastAsia="Times New Roman" w:hAnsiTheme="majorHAnsi" w:cstheme="majorHAnsi"/>
                <w:b/>
                <w:bCs/>
                <w:color w:val="FFFFFF"/>
                <w:sz w:val="16"/>
                <w:szCs w:val="16"/>
                <w:lang w:eastAsia="es-EC"/>
              </w:rPr>
              <w:t>MWh</w:t>
            </w:r>
            <w:proofErr w:type="spellEnd"/>
            <w:r w:rsidRPr="0077151D">
              <w:rPr>
                <w:rFonts w:asciiTheme="majorHAnsi" w:eastAsia="Times New Roman" w:hAnsiTheme="majorHAnsi" w:cstheme="majorHAnsi"/>
                <w:b/>
                <w:bCs/>
                <w:color w:val="FFFFFF"/>
                <w:sz w:val="16"/>
                <w:szCs w:val="16"/>
                <w:lang w:eastAsia="es-EC"/>
              </w:rPr>
              <w:t>)</w:t>
            </w:r>
          </w:p>
        </w:tc>
        <w:tc>
          <w:tcPr>
            <w:tcW w:w="0" w:type="auto"/>
            <w:tcBorders>
              <w:top w:val="single" w:sz="8" w:space="0" w:color="auto"/>
              <w:left w:val="nil"/>
              <w:bottom w:val="nil"/>
              <w:right w:val="single" w:sz="8" w:space="0" w:color="auto"/>
            </w:tcBorders>
            <w:shd w:val="clear" w:color="000000" w:fill="5B9BD5"/>
            <w:vAlign w:val="center"/>
            <w:hideMark/>
          </w:tcPr>
          <w:p w14:paraId="0F701E6A" w14:textId="77777777" w:rsidR="00C420E7" w:rsidRPr="0077151D" w:rsidRDefault="00C420E7" w:rsidP="000A4588">
            <w:pPr>
              <w:jc w:val="center"/>
              <w:rPr>
                <w:rFonts w:asciiTheme="majorHAnsi" w:eastAsia="Times New Roman" w:hAnsiTheme="majorHAnsi" w:cstheme="majorHAnsi"/>
                <w:b/>
                <w:bCs/>
                <w:color w:val="FFFFFF"/>
                <w:sz w:val="16"/>
                <w:szCs w:val="16"/>
                <w:lang w:eastAsia="es-EC"/>
              </w:rPr>
            </w:pPr>
            <w:r w:rsidRPr="0077151D">
              <w:rPr>
                <w:rFonts w:asciiTheme="majorHAnsi" w:eastAsia="Times New Roman" w:hAnsiTheme="majorHAnsi" w:cstheme="majorHAnsi"/>
                <w:b/>
                <w:bCs/>
                <w:color w:val="FFFFFF"/>
                <w:sz w:val="16"/>
                <w:szCs w:val="16"/>
                <w:lang w:eastAsia="es-EC"/>
              </w:rPr>
              <w:t xml:space="preserve">Reducción en Potencia </w:t>
            </w:r>
            <w:proofErr w:type="spellStart"/>
            <w:r w:rsidRPr="0077151D">
              <w:rPr>
                <w:rFonts w:asciiTheme="majorHAnsi" w:eastAsia="Times New Roman" w:hAnsiTheme="majorHAnsi" w:cstheme="majorHAnsi"/>
                <w:b/>
                <w:bCs/>
                <w:color w:val="FFFFFF"/>
                <w:sz w:val="16"/>
                <w:szCs w:val="16"/>
                <w:lang w:eastAsia="es-EC"/>
              </w:rPr>
              <w:t>Dem</w:t>
            </w:r>
            <w:proofErr w:type="spellEnd"/>
            <w:r w:rsidRPr="0077151D">
              <w:rPr>
                <w:rFonts w:asciiTheme="majorHAnsi" w:eastAsia="Times New Roman" w:hAnsiTheme="majorHAnsi" w:cstheme="majorHAnsi"/>
                <w:b/>
                <w:bCs/>
                <w:color w:val="FFFFFF"/>
                <w:sz w:val="16"/>
                <w:szCs w:val="16"/>
                <w:lang w:eastAsia="es-EC"/>
              </w:rPr>
              <w:t>. Max. Coincidente (MW)</w:t>
            </w:r>
          </w:p>
        </w:tc>
      </w:tr>
      <w:tr w:rsidR="00C420E7" w:rsidRPr="00B509C7" w14:paraId="6CF38A1A"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780BB94C"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E.E. Ambato</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D0858D"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1.234,70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EA0769E"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5,65</w:t>
            </w:r>
          </w:p>
        </w:tc>
      </w:tr>
      <w:tr w:rsidR="00C420E7" w:rsidRPr="00B509C7" w14:paraId="2D962424"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5605E747"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E.E. Azogues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B8674EC"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494,3</w:t>
            </w:r>
          </w:p>
        </w:tc>
        <w:tc>
          <w:tcPr>
            <w:tcW w:w="0" w:type="auto"/>
            <w:tcBorders>
              <w:top w:val="nil"/>
              <w:left w:val="nil"/>
              <w:bottom w:val="single" w:sz="8" w:space="0" w:color="auto"/>
              <w:right w:val="single" w:sz="8" w:space="0" w:color="auto"/>
            </w:tcBorders>
            <w:shd w:val="clear" w:color="auto" w:fill="auto"/>
            <w:noWrap/>
            <w:vAlign w:val="center"/>
            <w:hideMark/>
          </w:tcPr>
          <w:p w14:paraId="30404B51"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2,26</w:t>
            </w:r>
          </w:p>
        </w:tc>
      </w:tr>
      <w:tr w:rsidR="00C420E7" w:rsidRPr="00B509C7" w14:paraId="7E6ED944"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73F53804"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 xml:space="preserve">E.E. </w:t>
            </w:r>
            <w:proofErr w:type="spellStart"/>
            <w:r w:rsidRPr="0077151D">
              <w:rPr>
                <w:rFonts w:asciiTheme="majorHAnsi" w:eastAsia="Times New Roman" w:hAnsiTheme="majorHAnsi" w:cstheme="majorHAnsi"/>
                <w:color w:val="000000"/>
                <w:sz w:val="16"/>
                <w:szCs w:val="16"/>
                <w:lang w:eastAsia="es-EC"/>
              </w:rPr>
              <w:t>Centrosur</w:t>
            </w:r>
            <w:proofErr w:type="spellEnd"/>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172E179"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3.657,30</w:t>
            </w:r>
          </w:p>
        </w:tc>
        <w:tc>
          <w:tcPr>
            <w:tcW w:w="0" w:type="auto"/>
            <w:tcBorders>
              <w:top w:val="nil"/>
              <w:left w:val="nil"/>
              <w:bottom w:val="single" w:sz="8" w:space="0" w:color="auto"/>
              <w:right w:val="single" w:sz="8" w:space="0" w:color="auto"/>
            </w:tcBorders>
            <w:shd w:val="clear" w:color="auto" w:fill="auto"/>
            <w:noWrap/>
            <w:vAlign w:val="center"/>
            <w:hideMark/>
          </w:tcPr>
          <w:p w14:paraId="4F40A7B6"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16,75</w:t>
            </w:r>
          </w:p>
        </w:tc>
      </w:tr>
      <w:tr w:rsidR="00C420E7" w:rsidRPr="00B509C7" w14:paraId="1DDA8CF6"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7D91F1F9"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lastRenderedPageBreak/>
              <w:t>E.E. Cotopaxi</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2FCC96D"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140,9</w:t>
            </w:r>
          </w:p>
        </w:tc>
        <w:tc>
          <w:tcPr>
            <w:tcW w:w="0" w:type="auto"/>
            <w:tcBorders>
              <w:top w:val="nil"/>
              <w:left w:val="nil"/>
              <w:bottom w:val="single" w:sz="8" w:space="0" w:color="auto"/>
              <w:right w:val="single" w:sz="8" w:space="0" w:color="auto"/>
            </w:tcBorders>
            <w:shd w:val="clear" w:color="auto" w:fill="auto"/>
            <w:noWrap/>
            <w:vAlign w:val="center"/>
            <w:hideMark/>
          </w:tcPr>
          <w:p w14:paraId="16C85110"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0,65</w:t>
            </w:r>
          </w:p>
        </w:tc>
      </w:tr>
      <w:tr w:rsidR="00C420E7" w:rsidRPr="00B509C7" w14:paraId="17EE96F5"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645E6B0B"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E.E. Norte</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53D6F3F"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521,2</w:t>
            </w:r>
          </w:p>
        </w:tc>
        <w:tc>
          <w:tcPr>
            <w:tcW w:w="0" w:type="auto"/>
            <w:tcBorders>
              <w:top w:val="nil"/>
              <w:left w:val="nil"/>
              <w:bottom w:val="single" w:sz="8" w:space="0" w:color="auto"/>
              <w:right w:val="single" w:sz="8" w:space="0" w:color="auto"/>
            </w:tcBorders>
            <w:shd w:val="clear" w:color="auto" w:fill="auto"/>
            <w:noWrap/>
            <w:vAlign w:val="center"/>
            <w:hideMark/>
          </w:tcPr>
          <w:p w14:paraId="70E18D17"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2,39</w:t>
            </w:r>
          </w:p>
        </w:tc>
      </w:tr>
      <w:tr w:rsidR="00C420E7" w:rsidRPr="00B509C7" w14:paraId="33CD8CF9"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3721E230"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E.E. Quito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9EF1338"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1.773,00</w:t>
            </w:r>
          </w:p>
        </w:tc>
        <w:tc>
          <w:tcPr>
            <w:tcW w:w="0" w:type="auto"/>
            <w:tcBorders>
              <w:top w:val="nil"/>
              <w:left w:val="nil"/>
              <w:bottom w:val="single" w:sz="8" w:space="0" w:color="auto"/>
              <w:right w:val="single" w:sz="8" w:space="0" w:color="auto"/>
            </w:tcBorders>
            <w:shd w:val="clear" w:color="auto" w:fill="auto"/>
            <w:noWrap/>
            <w:vAlign w:val="center"/>
            <w:hideMark/>
          </w:tcPr>
          <w:p w14:paraId="53C125A2"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8,12</w:t>
            </w:r>
          </w:p>
        </w:tc>
      </w:tr>
      <w:tr w:rsidR="00C420E7" w:rsidRPr="00B509C7" w14:paraId="25D736B3"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6FA5ED1E"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E.E. Riobamba</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B868EBC"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4.551,20</w:t>
            </w:r>
          </w:p>
        </w:tc>
        <w:tc>
          <w:tcPr>
            <w:tcW w:w="0" w:type="auto"/>
            <w:tcBorders>
              <w:top w:val="nil"/>
              <w:left w:val="nil"/>
              <w:bottom w:val="single" w:sz="8" w:space="0" w:color="auto"/>
              <w:right w:val="single" w:sz="8" w:space="0" w:color="auto"/>
            </w:tcBorders>
            <w:shd w:val="clear" w:color="auto" w:fill="auto"/>
            <w:noWrap/>
            <w:vAlign w:val="center"/>
            <w:hideMark/>
          </w:tcPr>
          <w:p w14:paraId="041E9F70"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20,84</w:t>
            </w:r>
          </w:p>
        </w:tc>
      </w:tr>
      <w:tr w:rsidR="00C420E7" w:rsidRPr="00B509C7" w14:paraId="1CB9B54B"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4C5A2E8B"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E.E. Sur</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AB86935"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265,7</w:t>
            </w:r>
          </w:p>
        </w:tc>
        <w:tc>
          <w:tcPr>
            <w:tcW w:w="0" w:type="auto"/>
            <w:tcBorders>
              <w:top w:val="nil"/>
              <w:left w:val="nil"/>
              <w:bottom w:val="single" w:sz="8" w:space="0" w:color="auto"/>
              <w:right w:val="single" w:sz="8" w:space="0" w:color="auto"/>
            </w:tcBorders>
            <w:shd w:val="clear" w:color="auto" w:fill="auto"/>
            <w:noWrap/>
            <w:vAlign w:val="center"/>
            <w:hideMark/>
          </w:tcPr>
          <w:p w14:paraId="4FA8E082"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1,22</w:t>
            </w:r>
          </w:p>
        </w:tc>
      </w:tr>
      <w:tr w:rsidR="00C420E7" w:rsidRPr="00B509C7" w14:paraId="224D7EB0"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1B6CBE76"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UN Bolívar</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5D381E5"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3,5</w:t>
            </w:r>
          </w:p>
        </w:tc>
        <w:tc>
          <w:tcPr>
            <w:tcW w:w="0" w:type="auto"/>
            <w:tcBorders>
              <w:top w:val="nil"/>
              <w:left w:val="nil"/>
              <w:bottom w:val="single" w:sz="8" w:space="0" w:color="auto"/>
              <w:right w:val="single" w:sz="8" w:space="0" w:color="auto"/>
            </w:tcBorders>
            <w:shd w:val="clear" w:color="auto" w:fill="auto"/>
            <w:noWrap/>
            <w:vAlign w:val="center"/>
            <w:hideMark/>
          </w:tcPr>
          <w:p w14:paraId="0E2AFD8B"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0,02</w:t>
            </w:r>
          </w:p>
        </w:tc>
      </w:tr>
      <w:tr w:rsidR="00C420E7" w:rsidRPr="00B509C7" w14:paraId="7A9BAD95"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1201DA77"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UN El Oro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C26C75E"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172,3</w:t>
            </w:r>
          </w:p>
        </w:tc>
        <w:tc>
          <w:tcPr>
            <w:tcW w:w="0" w:type="auto"/>
            <w:tcBorders>
              <w:top w:val="nil"/>
              <w:left w:val="nil"/>
              <w:bottom w:val="single" w:sz="8" w:space="0" w:color="auto"/>
              <w:right w:val="single" w:sz="8" w:space="0" w:color="auto"/>
            </w:tcBorders>
            <w:shd w:val="clear" w:color="auto" w:fill="auto"/>
            <w:noWrap/>
            <w:vAlign w:val="center"/>
            <w:hideMark/>
          </w:tcPr>
          <w:p w14:paraId="26BB4D92"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0,79</w:t>
            </w:r>
          </w:p>
        </w:tc>
      </w:tr>
      <w:tr w:rsidR="00C420E7" w:rsidRPr="00B509C7" w14:paraId="1337D954"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415F1B46"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UN Esmeraldas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A626DD"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384,6</w:t>
            </w:r>
          </w:p>
        </w:tc>
        <w:tc>
          <w:tcPr>
            <w:tcW w:w="0" w:type="auto"/>
            <w:tcBorders>
              <w:top w:val="nil"/>
              <w:left w:val="nil"/>
              <w:bottom w:val="single" w:sz="8" w:space="0" w:color="auto"/>
              <w:right w:val="single" w:sz="8" w:space="0" w:color="auto"/>
            </w:tcBorders>
            <w:shd w:val="clear" w:color="auto" w:fill="auto"/>
            <w:noWrap/>
            <w:vAlign w:val="center"/>
            <w:hideMark/>
          </w:tcPr>
          <w:p w14:paraId="192DF5B5"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1,79</w:t>
            </w:r>
          </w:p>
        </w:tc>
      </w:tr>
      <w:tr w:rsidR="00C420E7" w:rsidRPr="00B509C7" w14:paraId="36E584F5"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6099244F"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UN Guayaquil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12DEC3"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23.555,10</w:t>
            </w:r>
          </w:p>
        </w:tc>
        <w:tc>
          <w:tcPr>
            <w:tcW w:w="0" w:type="auto"/>
            <w:tcBorders>
              <w:top w:val="nil"/>
              <w:left w:val="nil"/>
              <w:bottom w:val="single" w:sz="8" w:space="0" w:color="auto"/>
              <w:right w:val="single" w:sz="8" w:space="0" w:color="auto"/>
            </w:tcBorders>
            <w:shd w:val="clear" w:color="auto" w:fill="auto"/>
            <w:noWrap/>
            <w:vAlign w:val="center"/>
            <w:hideMark/>
          </w:tcPr>
          <w:p w14:paraId="64F8C68A"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107,85</w:t>
            </w:r>
          </w:p>
        </w:tc>
      </w:tr>
      <w:tr w:rsidR="00C420E7" w:rsidRPr="00B509C7" w14:paraId="05690FC9"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1E2A8944"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UN Guayas Los Ríos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0E0BC82"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24.560,10</w:t>
            </w:r>
          </w:p>
        </w:tc>
        <w:tc>
          <w:tcPr>
            <w:tcW w:w="0" w:type="auto"/>
            <w:tcBorders>
              <w:top w:val="nil"/>
              <w:left w:val="nil"/>
              <w:bottom w:val="single" w:sz="8" w:space="0" w:color="auto"/>
              <w:right w:val="single" w:sz="8" w:space="0" w:color="auto"/>
            </w:tcBorders>
            <w:shd w:val="clear" w:color="auto" w:fill="auto"/>
            <w:noWrap/>
            <w:vAlign w:val="center"/>
            <w:hideMark/>
          </w:tcPr>
          <w:p w14:paraId="28ACBA05"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112,45</w:t>
            </w:r>
          </w:p>
        </w:tc>
      </w:tr>
      <w:tr w:rsidR="00C420E7" w:rsidRPr="00B509C7" w14:paraId="43089596"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2A8F4DD0"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UN Los Ríos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A8FC74"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179,5</w:t>
            </w:r>
          </w:p>
        </w:tc>
        <w:tc>
          <w:tcPr>
            <w:tcW w:w="0" w:type="auto"/>
            <w:tcBorders>
              <w:top w:val="nil"/>
              <w:left w:val="nil"/>
              <w:bottom w:val="single" w:sz="8" w:space="0" w:color="auto"/>
              <w:right w:val="single" w:sz="8" w:space="0" w:color="auto"/>
            </w:tcBorders>
            <w:shd w:val="clear" w:color="auto" w:fill="auto"/>
            <w:noWrap/>
            <w:vAlign w:val="center"/>
            <w:hideMark/>
          </w:tcPr>
          <w:p w14:paraId="2BE9CA74"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0,82</w:t>
            </w:r>
          </w:p>
        </w:tc>
      </w:tr>
      <w:tr w:rsidR="00C420E7" w:rsidRPr="00B509C7" w14:paraId="306F0C4A"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3B5F8657"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UN Manabí</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AB19231"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1.894,60</w:t>
            </w:r>
          </w:p>
        </w:tc>
        <w:tc>
          <w:tcPr>
            <w:tcW w:w="0" w:type="auto"/>
            <w:tcBorders>
              <w:top w:val="nil"/>
              <w:left w:val="nil"/>
              <w:bottom w:val="single" w:sz="8" w:space="0" w:color="auto"/>
              <w:right w:val="single" w:sz="8" w:space="0" w:color="auto"/>
            </w:tcBorders>
            <w:shd w:val="clear" w:color="auto" w:fill="auto"/>
            <w:noWrap/>
            <w:vAlign w:val="center"/>
            <w:hideMark/>
          </w:tcPr>
          <w:p w14:paraId="694252CA"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8,68</w:t>
            </w:r>
          </w:p>
        </w:tc>
      </w:tr>
      <w:tr w:rsidR="00C420E7" w:rsidRPr="00B509C7" w14:paraId="04605DED"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2F3744DB"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UN Milagro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6595475"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5.362,70</w:t>
            </w:r>
          </w:p>
        </w:tc>
        <w:tc>
          <w:tcPr>
            <w:tcW w:w="0" w:type="auto"/>
            <w:tcBorders>
              <w:top w:val="nil"/>
              <w:left w:val="nil"/>
              <w:bottom w:val="single" w:sz="8" w:space="0" w:color="auto"/>
              <w:right w:val="single" w:sz="8" w:space="0" w:color="auto"/>
            </w:tcBorders>
            <w:shd w:val="clear" w:color="auto" w:fill="auto"/>
            <w:noWrap/>
            <w:vAlign w:val="center"/>
            <w:hideMark/>
          </w:tcPr>
          <w:p w14:paraId="5C09F09B"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24,55</w:t>
            </w:r>
          </w:p>
        </w:tc>
      </w:tr>
      <w:tr w:rsidR="00C420E7" w:rsidRPr="00B509C7" w14:paraId="7E38B070"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00000AFE"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UN Sta. Elena</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B2671A"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223,8</w:t>
            </w:r>
          </w:p>
        </w:tc>
        <w:tc>
          <w:tcPr>
            <w:tcW w:w="0" w:type="auto"/>
            <w:tcBorders>
              <w:top w:val="nil"/>
              <w:left w:val="nil"/>
              <w:bottom w:val="single" w:sz="8" w:space="0" w:color="auto"/>
              <w:right w:val="single" w:sz="8" w:space="0" w:color="auto"/>
            </w:tcBorders>
            <w:shd w:val="clear" w:color="auto" w:fill="auto"/>
            <w:noWrap/>
            <w:vAlign w:val="center"/>
            <w:hideMark/>
          </w:tcPr>
          <w:p w14:paraId="032A0619"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1,02</w:t>
            </w:r>
          </w:p>
        </w:tc>
      </w:tr>
      <w:tr w:rsidR="00C420E7" w:rsidRPr="00B509C7" w14:paraId="6072ACFE"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5FD5C434"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UN Sto. Domingo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6D4F80D"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499,3</w:t>
            </w:r>
          </w:p>
        </w:tc>
        <w:tc>
          <w:tcPr>
            <w:tcW w:w="0" w:type="auto"/>
            <w:tcBorders>
              <w:top w:val="nil"/>
              <w:left w:val="nil"/>
              <w:bottom w:val="single" w:sz="8" w:space="0" w:color="auto"/>
              <w:right w:val="single" w:sz="8" w:space="0" w:color="auto"/>
            </w:tcBorders>
            <w:shd w:val="clear" w:color="auto" w:fill="auto"/>
            <w:noWrap/>
            <w:vAlign w:val="center"/>
            <w:hideMark/>
          </w:tcPr>
          <w:p w14:paraId="533CD98C"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2,29</w:t>
            </w:r>
          </w:p>
        </w:tc>
      </w:tr>
      <w:tr w:rsidR="00C420E7" w:rsidRPr="00B509C7" w14:paraId="7BBCE311"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2A638403"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r w:rsidRPr="0077151D">
              <w:rPr>
                <w:rFonts w:asciiTheme="majorHAnsi" w:eastAsia="Times New Roman" w:hAnsiTheme="majorHAnsi" w:cstheme="majorHAnsi"/>
                <w:color w:val="000000"/>
                <w:sz w:val="16"/>
                <w:szCs w:val="16"/>
                <w:lang w:eastAsia="es-EC"/>
              </w:rPr>
              <w:t>UN Sucumbíos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6CC249B"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p>
        </w:tc>
        <w:tc>
          <w:tcPr>
            <w:tcW w:w="0" w:type="auto"/>
            <w:tcBorders>
              <w:top w:val="nil"/>
              <w:left w:val="nil"/>
              <w:bottom w:val="single" w:sz="8" w:space="0" w:color="auto"/>
              <w:right w:val="single" w:sz="8" w:space="0" w:color="auto"/>
            </w:tcBorders>
            <w:shd w:val="clear" w:color="auto" w:fill="auto"/>
            <w:noWrap/>
            <w:vAlign w:val="center"/>
            <w:hideMark/>
          </w:tcPr>
          <w:p w14:paraId="20A52D05" w14:textId="77777777" w:rsidR="00C420E7" w:rsidRPr="0077151D" w:rsidRDefault="00C420E7" w:rsidP="000A4588">
            <w:pPr>
              <w:jc w:val="center"/>
              <w:rPr>
                <w:rFonts w:asciiTheme="majorHAnsi" w:eastAsia="Times New Roman" w:hAnsiTheme="majorHAnsi" w:cstheme="majorHAnsi"/>
                <w:color w:val="000000"/>
                <w:sz w:val="16"/>
                <w:szCs w:val="16"/>
                <w:lang w:eastAsia="es-EC"/>
              </w:rPr>
            </w:pPr>
          </w:p>
        </w:tc>
      </w:tr>
      <w:tr w:rsidR="00C420E7" w:rsidRPr="00B509C7" w14:paraId="0E15D8E3" w14:textId="77777777" w:rsidTr="000A4588">
        <w:trPr>
          <w:trHeight w:val="255"/>
          <w:jc w:val="center"/>
        </w:trPr>
        <w:tc>
          <w:tcPr>
            <w:tcW w:w="0" w:type="auto"/>
            <w:tcBorders>
              <w:top w:val="nil"/>
              <w:left w:val="single" w:sz="8" w:space="0" w:color="auto"/>
              <w:bottom w:val="single" w:sz="8" w:space="0" w:color="auto"/>
              <w:right w:val="nil"/>
            </w:tcBorders>
            <w:shd w:val="clear" w:color="auto" w:fill="auto"/>
            <w:noWrap/>
            <w:vAlign w:val="center"/>
            <w:hideMark/>
          </w:tcPr>
          <w:p w14:paraId="1860039B" w14:textId="77777777" w:rsidR="00C420E7" w:rsidRPr="0077151D" w:rsidRDefault="00C420E7" w:rsidP="000A4588">
            <w:pPr>
              <w:jc w:val="center"/>
              <w:rPr>
                <w:rFonts w:asciiTheme="majorHAnsi" w:eastAsia="Times New Roman" w:hAnsiTheme="majorHAnsi" w:cstheme="majorHAnsi"/>
                <w:b/>
                <w:bCs/>
                <w:color w:val="000000"/>
                <w:sz w:val="16"/>
                <w:szCs w:val="16"/>
                <w:lang w:eastAsia="es-EC"/>
              </w:rPr>
            </w:pPr>
            <w:r w:rsidRPr="0077151D">
              <w:rPr>
                <w:rFonts w:asciiTheme="majorHAnsi" w:eastAsia="Times New Roman" w:hAnsiTheme="majorHAnsi" w:cstheme="majorHAnsi"/>
                <w:b/>
                <w:bCs/>
                <w:color w:val="000000"/>
                <w:sz w:val="16"/>
                <w:szCs w:val="16"/>
                <w:lang w:eastAsia="es-EC"/>
              </w:rPr>
              <w:t>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67711AC" w14:textId="77777777" w:rsidR="00C420E7" w:rsidRPr="0077151D" w:rsidRDefault="00C420E7" w:rsidP="000A4588">
            <w:pPr>
              <w:jc w:val="center"/>
              <w:rPr>
                <w:rFonts w:asciiTheme="majorHAnsi" w:eastAsia="Times New Roman" w:hAnsiTheme="majorHAnsi" w:cstheme="majorHAnsi"/>
                <w:b/>
                <w:bCs/>
                <w:color w:val="000000"/>
                <w:sz w:val="16"/>
                <w:szCs w:val="16"/>
                <w:lang w:eastAsia="es-EC"/>
              </w:rPr>
            </w:pPr>
            <w:r w:rsidRPr="0077151D">
              <w:rPr>
                <w:rFonts w:asciiTheme="majorHAnsi" w:eastAsia="Times New Roman" w:hAnsiTheme="majorHAnsi" w:cstheme="majorHAnsi"/>
                <w:b/>
                <w:bCs/>
                <w:color w:val="000000"/>
                <w:sz w:val="16"/>
                <w:szCs w:val="16"/>
                <w:lang w:eastAsia="es-EC"/>
              </w:rPr>
              <w:t>69.473,80</w:t>
            </w:r>
          </w:p>
        </w:tc>
        <w:tc>
          <w:tcPr>
            <w:tcW w:w="0" w:type="auto"/>
            <w:tcBorders>
              <w:top w:val="nil"/>
              <w:left w:val="nil"/>
              <w:bottom w:val="single" w:sz="8" w:space="0" w:color="auto"/>
              <w:right w:val="single" w:sz="8" w:space="0" w:color="auto"/>
            </w:tcBorders>
            <w:shd w:val="clear" w:color="auto" w:fill="auto"/>
            <w:noWrap/>
            <w:vAlign w:val="center"/>
            <w:hideMark/>
          </w:tcPr>
          <w:p w14:paraId="10EDCE73" w14:textId="77777777" w:rsidR="00C420E7" w:rsidRPr="0077151D" w:rsidRDefault="00C420E7" w:rsidP="000A4588">
            <w:pPr>
              <w:jc w:val="center"/>
              <w:rPr>
                <w:rFonts w:asciiTheme="majorHAnsi" w:eastAsia="Times New Roman" w:hAnsiTheme="majorHAnsi" w:cstheme="majorHAnsi"/>
                <w:b/>
                <w:bCs/>
                <w:color w:val="000000"/>
                <w:sz w:val="16"/>
                <w:szCs w:val="16"/>
                <w:lang w:eastAsia="es-EC"/>
              </w:rPr>
            </w:pPr>
            <w:r w:rsidRPr="0077151D">
              <w:rPr>
                <w:rFonts w:asciiTheme="majorHAnsi" w:eastAsia="Times New Roman" w:hAnsiTheme="majorHAnsi" w:cstheme="majorHAnsi"/>
                <w:b/>
                <w:bCs/>
                <w:color w:val="000000"/>
                <w:sz w:val="16"/>
                <w:szCs w:val="16"/>
                <w:lang w:eastAsia="es-EC"/>
              </w:rPr>
              <w:t>318,14</w:t>
            </w:r>
          </w:p>
        </w:tc>
      </w:tr>
    </w:tbl>
    <w:p w14:paraId="772E3E66" w14:textId="77777777" w:rsidR="00C420E7" w:rsidRPr="0077151D" w:rsidRDefault="00C420E7" w:rsidP="00C420E7">
      <w:pPr>
        <w:rPr>
          <w:i/>
          <w:sz w:val="18"/>
          <w:szCs w:val="18"/>
        </w:rPr>
      </w:pPr>
      <w:r w:rsidRPr="0077151D">
        <w:rPr>
          <w:rFonts w:asciiTheme="majorHAnsi" w:hAnsiTheme="majorHAnsi" w:cstheme="majorHAnsi"/>
          <w:i/>
          <w:color w:val="7F7F7F" w:themeColor="text1" w:themeTint="80"/>
          <w:sz w:val="18"/>
          <w:szCs w:val="18"/>
        </w:rPr>
        <w:t>Fuente: Dirección Expansión y de la Gestión Técnica y Operativa de la Distribución de Energía Eléctrica año 2024</w:t>
      </w:r>
    </w:p>
    <w:p w14:paraId="441CC943" w14:textId="77777777" w:rsidR="00C420E7" w:rsidRDefault="00C420E7" w:rsidP="00CA1FC5">
      <w:pPr>
        <w:pStyle w:val="Ttulo3"/>
      </w:pPr>
    </w:p>
    <w:p w14:paraId="1F61F312" w14:textId="77777777" w:rsidR="00C420E7" w:rsidRPr="00190089" w:rsidRDefault="00C420E7" w:rsidP="00190089">
      <w:pPr>
        <w:pStyle w:val="Ttulo2"/>
      </w:pPr>
      <w:bookmarkStart w:id="444" w:name="_Toc198110350"/>
      <w:bookmarkStart w:id="445" w:name="_Toc199759575"/>
      <w:r w:rsidRPr="00190089">
        <w:t>Gestión y Promoción de Proyectos de Eficiencia Energética - DGPPEE</w:t>
      </w:r>
      <w:bookmarkEnd w:id="444"/>
      <w:bookmarkEnd w:id="445"/>
      <w:r w:rsidRPr="00190089">
        <w:t xml:space="preserve"> </w:t>
      </w:r>
    </w:p>
    <w:p w14:paraId="3B4913EC" w14:textId="77777777" w:rsidR="00C420E7" w:rsidRPr="003B2FAF" w:rsidRDefault="00C420E7" w:rsidP="00C420E7">
      <w:pPr>
        <w:rPr>
          <w:rFonts w:asciiTheme="majorHAnsi" w:hAnsiTheme="majorHAnsi" w:cstheme="majorHAnsi"/>
          <w:b/>
        </w:rPr>
      </w:pPr>
    </w:p>
    <w:p w14:paraId="426EAFD4" w14:textId="77777777" w:rsidR="00C420E7" w:rsidRPr="00CA1FC5" w:rsidRDefault="00C420E7" w:rsidP="00CA1FC5">
      <w:pPr>
        <w:pStyle w:val="Ttulo4"/>
        <w:rPr>
          <w:i w:val="0"/>
          <w:sz w:val="22"/>
          <w:szCs w:val="22"/>
        </w:rPr>
      </w:pPr>
      <w:bookmarkStart w:id="446" w:name="_Toc198110359"/>
      <w:r w:rsidRPr="00CA1FC5">
        <w:rPr>
          <w:i w:val="0"/>
          <w:sz w:val="22"/>
          <w:szCs w:val="22"/>
        </w:rPr>
        <w:t>Programa Emblemático RENOVA – Sustitución de refrigeradoras.</w:t>
      </w:r>
      <w:bookmarkEnd w:id="446"/>
    </w:p>
    <w:p w14:paraId="2B5C3F58" w14:textId="77777777" w:rsidR="00C420E7" w:rsidRDefault="00C420E7" w:rsidP="00C420E7">
      <w:pPr>
        <w:spacing w:before="240" w:after="240"/>
        <w:jc w:val="both"/>
        <w:rPr>
          <w:rFonts w:asciiTheme="majorHAnsi" w:hAnsiTheme="majorHAnsi" w:cstheme="majorHAnsi"/>
          <w:sz w:val="22"/>
        </w:rPr>
      </w:pPr>
      <w:r w:rsidRPr="00506217">
        <w:rPr>
          <w:rFonts w:asciiTheme="majorHAnsi" w:hAnsiTheme="majorHAnsi" w:cstheme="majorHAnsi"/>
          <w:sz w:val="22"/>
        </w:rPr>
        <w:t xml:space="preserve">El objetivo del Programa fue sustituir </w:t>
      </w:r>
      <w:r>
        <w:rPr>
          <w:rFonts w:asciiTheme="majorHAnsi" w:hAnsiTheme="majorHAnsi" w:cstheme="majorHAnsi"/>
          <w:sz w:val="22"/>
        </w:rPr>
        <w:t>refrigeradoras</w:t>
      </w:r>
      <w:r w:rsidRPr="00506217">
        <w:rPr>
          <w:rFonts w:asciiTheme="majorHAnsi" w:hAnsiTheme="majorHAnsi" w:cstheme="majorHAnsi"/>
          <w:sz w:val="22"/>
        </w:rPr>
        <w:t xml:space="preserve"> ineficientes en el sector residencial por equipos eficientes, con el fin de reducir el consumo de energía eléctrica</w:t>
      </w:r>
      <w:r>
        <w:rPr>
          <w:rFonts w:asciiTheme="majorHAnsi" w:hAnsiTheme="majorHAnsi" w:cstheme="majorHAnsi"/>
          <w:sz w:val="22"/>
        </w:rPr>
        <w:t xml:space="preserve">. </w:t>
      </w:r>
      <w:r w:rsidRPr="008571F4">
        <w:rPr>
          <w:rFonts w:asciiTheme="majorHAnsi" w:hAnsiTheme="majorHAnsi" w:cstheme="majorHAnsi"/>
          <w:sz w:val="22"/>
        </w:rPr>
        <w:t>Además, promocionar y difundir tecnologías de alta eficiencia que motiven el cambio a una cultura de eficiencia energética en el país.</w:t>
      </w:r>
    </w:p>
    <w:p w14:paraId="0CF6D8F5" w14:textId="77777777" w:rsidR="00C420E7" w:rsidRDefault="00C420E7" w:rsidP="00C420E7">
      <w:pPr>
        <w:spacing w:before="240" w:after="240"/>
        <w:jc w:val="both"/>
        <w:rPr>
          <w:rFonts w:asciiTheme="majorHAnsi" w:hAnsiTheme="majorHAnsi" w:cstheme="majorHAnsi"/>
          <w:sz w:val="22"/>
        </w:rPr>
      </w:pPr>
      <w:r>
        <w:rPr>
          <w:rFonts w:asciiTheme="majorHAnsi" w:hAnsiTheme="majorHAnsi" w:cstheme="majorHAnsi"/>
          <w:sz w:val="22"/>
        </w:rPr>
        <w:t>En</w:t>
      </w:r>
      <w:r w:rsidRPr="00506217">
        <w:rPr>
          <w:rFonts w:asciiTheme="majorHAnsi" w:hAnsiTheme="majorHAnsi" w:cstheme="majorHAnsi"/>
          <w:sz w:val="22"/>
        </w:rPr>
        <w:t xml:space="preserve"> el año 2024, se suscribieron las actas de entrega-recepción de los siguientes </w:t>
      </w:r>
      <w:r>
        <w:rPr>
          <w:rFonts w:asciiTheme="majorHAnsi" w:hAnsiTheme="majorHAnsi" w:cstheme="majorHAnsi"/>
          <w:sz w:val="22"/>
        </w:rPr>
        <w:t>c</w:t>
      </w:r>
      <w:r w:rsidRPr="00506217">
        <w:rPr>
          <w:rFonts w:asciiTheme="majorHAnsi" w:hAnsiTheme="majorHAnsi" w:cstheme="majorHAnsi"/>
          <w:sz w:val="22"/>
        </w:rPr>
        <w:t xml:space="preserve">onvenios de </w:t>
      </w:r>
      <w:r>
        <w:rPr>
          <w:rFonts w:asciiTheme="majorHAnsi" w:hAnsiTheme="majorHAnsi" w:cstheme="majorHAnsi"/>
          <w:sz w:val="22"/>
        </w:rPr>
        <w:t>c</w:t>
      </w:r>
      <w:r w:rsidRPr="00506217">
        <w:rPr>
          <w:rFonts w:asciiTheme="majorHAnsi" w:hAnsiTheme="majorHAnsi" w:cstheme="majorHAnsi"/>
          <w:sz w:val="22"/>
        </w:rPr>
        <w:t>ooperación: Nro. 109, con las Empresas Eléctricas de Distribución y BanEcuador, que permitió la implementación operativa y económico-financiera del Programa; y el Nro. 11081, con el Ministerio de Producción, Comercio Exterior, Inversiones y Pesca, en el marco de la gestión final de los equipos obsoletos. Actualmente, se están llevando a cabo las gestiones necesarias para el proceso de cierre del Programa, previsto hasta el año 2025.</w:t>
      </w:r>
    </w:p>
    <w:p w14:paraId="74EDD524" w14:textId="77777777" w:rsidR="00C420E7" w:rsidRDefault="00C420E7" w:rsidP="00C420E7">
      <w:pPr>
        <w:spacing w:before="240" w:after="240"/>
        <w:jc w:val="both"/>
        <w:rPr>
          <w:rFonts w:asciiTheme="majorHAnsi" w:hAnsiTheme="majorHAnsi" w:cstheme="majorHAnsi"/>
          <w:sz w:val="22"/>
        </w:rPr>
      </w:pPr>
      <w:r w:rsidRPr="00506217">
        <w:rPr>
          <w:rFonts w:asciiTheme="majorHAnsi" w:hAnsiTheme="majorHAnsi" w:cstheme="majorHAnsi"/>
          <w:sz w:val="22"/>
        </w:rPr>
        <w:t>El Programa logró la sustitución de 95.171 refrigeradoras, beneficiando a 361.650 usuarios.</w:t>
      </w:r>
      <w:r>
        <w:rPr>
          <w:rFonts w:asciiTheme="majorHAnsi" w:hAnsiTheme="majorHAnsi" w:cstheme="majorHAnsi"/>
          <w:sz w:val="22"/>
        </w:rPr>
        <w:t xml:space="preserve"> </w:t>
      </w:r>
      <w:r w:rsidRPr="00870E80">
        <w:rPr>
          <w:rFonts w:asciiTheme="majorHAnsi" w:hAnsiTheme="majorHAnsi" w:cstheme="majorHAnsi"/>
          <w:sz w:val="22"/>
        </w:rPr>
        <w:t>Como resultado, se mejoró la calidad de vida de miles de hogares ecuatorianos, se promovió el uso responsable de la energía, se redujeron los costos en las facturas eléctricas y se generaron importantes beneficios ambientales y económicos para el país.</w:t>
      </w:r>
    </w:p>
    <w:p w14:paraId="6316B160" w14:textId="77777777" w:rsidR="00C420E7" w:rsidRDefault="00C420E7" w:rsidP="00C420E7">
      <w:pPr>
        <w:spacing w:before="240" w:after="240"/>
        <w:jc w:val="both"/>
        <w:rPr>
          <w:rFonts w:asciiTheme="majorHAnsi" w:hAnsiTheme="majorHAnsi" w:cstheme="majorHAnsi"/>
          <w:sz w:val="22"/>
        </w:rPr>
      </w:pPr>
      <w:r>
        <w:rPr>
          <w:rFonts w:asciiTheme="majorHAnsi" w:hAnsiTheme="majorHAnsi" w:cstheme="majorHAnsi"/>
          <w:sz w:val="22"/>
        </w:rPr>
        <w:t>S</w:t>
      </w:r>
      <w:r w:rsidRPr="00BD63DA">
        <w:rPr>
          <w:rFonts w:asciiTheme="majorHAnsi" w:hAnsiTheme="majorHAnsi" w:cstheme="majorHAnsi"/>
          <w:sz w:val="22"/>
        </w:rPr>
        <w:t>e logró recuperar la totalidad del financiamiento otorgado a los beneficiarios</w:t>
      </w:r>
      <w:r>
        <w:rPr>
          <w:rFonts w:asciiTheme="majorHAnsi" w:hAnsiTheme="majorHAnsi" w:cstheme="majorHAnsi"/>
          <w:sz w:val="22"/>
        </w:rPr>
        <w:t>.</w:t>
      </w:r>
    </w:p>
    <w:p w14:paraId="789F8DE8" w14:textId="77777777" w:rsidR="00C420E7" w:rsidRDefault="00C420E7" w:rsidP="00C420E7">
      <w:pPr>
        <w:jc w:val="both"/>
        <w:rPr>
          <w:rFonts w:ascii="Calibri Light" w:hAnsi="Calibri Light" w:cs="Calibri Light"/>
          <w:i/>
          <w:sz w:val="22"/>
          <w:szCs w:val="22"/>
        </w:rPr>
      </w:pPr>
      <w:r w:rsidRPr="00C91254">
        <w:rPr>
          <w:rFonts w:ascii="Calibri Light" w:hAnsi="Calibri Light" w:cs="Calibri Light"/>
          <w:i/>
          <w:sz w:val="22"/>
          <w:szCs w:val="22"/>
        </w:rPr>
        <w:t>Indicadores del proyecto:</w:t>
      </w:r>
    </w:p>
    <w:p w14:paraId="1C13FBEA" w14:textId="77777777" w:rsidR="00C420E7" w:rsidRPr="00B838B1" w:rsidRDefault="00C420E7" w:rsidP="00C420E7">
      <w:pPr>
        <w:jc w:val="both"/>
        <w:rPr>
          <w:rFonts w:ascii="Calibri Light" w:hAnsi="Calibri Light" w:cs="Calibri Light"/>
          <w:b/>
          <w:sz w:val="22"/>
          <w:szCs w:val="22"/>
        </w:rPr>
      </w:pPr>
    </w:p>
    <w:p w14:paraId="45B3F296" w14:textId="77777777" w:rsidR="00C420E7" w:rsidRPr="00A02B84" w:rsidRDefault="00C420E7" w:rsidP="00C420E7">
      <w:pPr>
        <w:pStyle w:val="Prrafodelista"/>
        <w:numPr>
          <w:ilvl w:val="0"/>
          <w:numId w:val="208"/>
        </w:numPr>
        <w:jc w:val="both"/>
        <w:rPr>
          <w:rFonts w:ascii="Calibri Light" w:hAnsi="Calibri Light" w:cs="Calibri Light"/>
          <w:sz w:val="22"/>
          <w:szCs w:val="22"/>
        </w:rPr>
      </w:pPr>
      <w:r w:rsidRPr="0088139A">
        <w:rPr>
          <w:rFonts w:ascii="Calibri Light" w:hAnsi="Calibri Light" w:cs="Calibri Light"/>
          <w:sz w:val="22"/>
          <w:szCs w:val="22"/>
        </w:rPr>
        <w:t>Ahorro total de energía acumulado (201</w:t>
      </w:r>
      <w:r>
        <w:rPr>
          <w:rFonts w:ascii="Calibri Light" w:hAnsi="Calibri Light" w:cs="Calibri Light"/>
          <w:sz w:val="22"/>
          <w:szCs w:val="22"/>
        </w:rPr>
        <w:t>2</w:t>
      </w:r>
      <w:r w:rsidRPr="0088139A">
        <w:rPr>
          <w:rFonts w:ascii="Calibri Light" w:hAnsi="Calibri Light" w:cs="Calibri Light"/>
          <w:sz w:val="22"/>
          <w:szCs w:val="22"/>
        </w:rPr>
        <w:t xml:space="preserve"> - 202</w:t>
      </w:r>
      <w:r>
        <w:rPr>
          <w:rFonts w:ascii="Calibri Light" w:hAnsi="Calibri Light" w:cs="Calibri Light"/>
          <w:sz w:val="22"/>
          <w:szCs w:val="22"/>
        </w:rPr>
        <w:t>5</w:t>
      </w:r>
      <w:r w:rsidRPr="0088139A">
        <w:rPr>
          <w:rFonts w:ascii="Calibri Light" w:hAnsi="Calibri Light" w:cs="Calibri Light"/>
          <w:sz w:val="22"/>
          <w:szCs w:val="22"/>
        </w:rPr>
        <w:t xml:space="preserve">): </w:t>
      </w:r>
      <w:r w:rsidRPr="00CE2D2B">
        <w:rPr>
          <w:rFonts w:ascii="Calibri Light" w:hAnsi="Calibri Light" w:cs="Calibri Light"/>
          <w:sz w:val="22"/>
          <w:szCs w:val="22"/>
        </w:rPr>
        <w:t xml:space="preserve">390,00 GWh </w:t>
      </w:r>
    </w:p>
    <w:p w14:paraId="236E2F46" w14:textId="77777777" w:rsidR="00C420E7" w:rsidRPr="00A02B84" w:rsidRDefault="00C420E7" w:rsidP="00C420E7">
      <w:pPr>
        <w:pStyle w:val="Prrafodelista"/>
        <w:numPr>
          <w:ilvl w:val="0"/>
          <w:numId w:val="208"/>
        </w:numPr>
        <w:jc w:val="both"/>
        <w:rPr>
          <w:rFonts w:ascii="Calibri Light" w:hAnsi="Calibri Light" w:cs="Calibri Light"/>
          <w:sz w:val="22"/>
          <w:szCs w:val="22"/>
        </w:rPr>
      </w:pPr>
      <w:r w:rsidRPr="00A02B84">
        <w:rPr>
          <w:rFonts w:ascii="Calibri Light" w:hAnsi="Calibri Light" w:cs="Calibri Light"/>
          <w:sz w:val="22"/>
          <w:szCs w:val="22"/>
        </w:rPr>
        <w:t>Chatarra recuperada: 6.095,98 toneladas</w:t>
      </w:r>
    </w:p>
    <w:p w14:paraId="55184E8B" w14:textId="77777777" w:rsidR="00C420E7" w:rsidRPr="00A02B84" w:rsidRDefault="00C420E7" w:rsidP="00C420E7">
      <w:pPr>
        <w:pStyle w:val="Prrafodelista"/>
        <w:numPr>
          <w:ilvl w:val="0"/>
          <w:numId w:val="208"/>
        </w:numPr>
        <w:jc w:val="both"/>
        <w:rPr>
          <w:rFonts w:ascii="Calibri Light" w:hAnsi="Calibri Light" w:cs="Calibri Light"/>
          <w:sz w:val="22"/>
          <w:szCs w:val="22"/>
        </w:rPr>
      </w:pPr>
      <w:r w:rsidRPr="00A02B84">
        <w:rPr>
          <w:rFonts w:ascii="Calibri Light" w:hAnsi="Calibri Light" w:cs="Calibri Light"/>
          <w:sz w:val="22"/>
          <w:szCs w:val="22"/>
        </w:rPr>
        <w:t>Emisiones de CO</w:t>
      </w:r>
      <w:r w:rsidRPr="0061363A">
        <w:rPr>
          <w:rFonts w:ascii="Calibri Light" w:hAnsi="Calibri Light" w:cs="Calibri Light"/>
          <w:sz w:val="22"/>
          <w:szCs w:val="22"/>
          <w:vertAlign w:val="subscript"/>
        </w:rPr>
        <w:t>2</w:t>
      </w:r>
      <w:r w:rsidRPr="00A02B84">
        <w:rPr>
          <w:rFonts w:ascii="Calibri Light" w:hAnsi="Calibri Light" w:cs="Calibri Light"/>
          <w:sz w:val="22"/>
          <w:szCs w:val="22"/>
        </w:rPr>
        <w:t xml:space="preserve"> evitadas: 28.153,80 </w:t>
      </w:r>
      <w:r w:rsidRPr="00B838B1">
        <w:rPr>
          <w:rFonts w:ascii="Calibri Light" w:hAnsi="Calibri Light" w:cs="Calibri Light"/>
          <w:sz w:val="22"/>
          <w:szCs w:val="22"/>
        </w:rPr>
        <w:t>tCO</w:t>
      </w:r>
      <w:r w:rsidRPr="0061363A">
        <w:rPr>
          <w:rFonts w:ascii="Calibri Light" w:hAnsi="Calibri Light" w:cs="Calibri Light"/>
          <w:sz w:val="22"/>
          <w:szCs w:val="22"/>
          <w:vertAlign w:val="subscript"/>
        </w:rPr>
        <w:t>2</w:t>
      </w:r>
    </w:p>
    <w:p w14:paraId="208A1A97" w14:textId="77777777" w:rsidR="00C420E7" w:rsidRPr="00A02B84" w:rsidRDefault="00C420E7" w:rsidP="00C420E7">
      <w:pPr>
        <w:pStyle w:val="Prrafodelista"/>
        <w:numPr>
          <w:ilvl w:val="0"/>
          <w:numId w:val="208"/>
        </w:numPr>
        <w:jc w:val="both"/>
        <w:rPr>
          <w:rFonts w:ascii="Calibri Light" w:hAnsi="Calibri Light" w:cs="Calibri Light"/>
          <w:sz w:val="22"/>
          <w:szCs w:val="22"/>
        </w:rPr>
      </w:pPr>
      <w:r w:rsidRPr="00A02B84">
        <w:rPr>
          <w:rFonts w:ascii="Calibri Light" w:hAnsi="Calibri Light" w:cs="Calibri Light"/>
          <w:sz w:val="22"/>
          <w:szCs w:val="22"/>
        </w:rPr>
        <w:lastRenderedPageBreak/>
        <w:t xml:space="preserve">Ahorro económico acumulado para el Estado: USD 38.474.453,04. </w:t>
      </w:r>
    </w:p>
    <w:p w14:paraId="6D2AE280" w14:textId="77777777" w:rsidR="00C420E7" w:rsidRPr="00A02B84" w:rsidRDefault="00C420E7" w:rsidP="00C420E7">
      <w:pPr>
        <w:pStyle w:val="Prrafodelista"/>
        <w:numPr>
          <w:ilvl w:val="0"/>
          <w:numId w:val="208"/>
        </w:numPr>
        <w:jc w:val="both"/>
        <w:rPr>
          <w:rFonts w:ascii="Calibri Light" w:hAnsi="Calibri Light" w:cs="Calibri Light"/>
          <w:sz w:val="22"/>
          <w:szCs w:val="22"/>
        </w:rPr>
      </w:pPr>
      <w:r w:rsidRPr="00A02B84">
        <w:rPr>
          <w:rFonts w:ascii="Calibri Light" w:hAnsi="Calibri Light" w:cs="Calibri Light"/>
          <w:sz w:val="22"/>
          <w:szCs w:val="22"/>
        </w:rPr>
        <w:t>Ingresos por chatarrización: USD 1.277.446,65</w:t>
      </w:r>
    </w:p>
    <w:p w14:paraId="21404BED" w14:textId="77777777" w:rsidR="00C420E7" w:rsidRDefault="00C420E7" w:rsidP="00C420E7">
      <w:pPr>
        <w:pStyle w:val="Prrafodelista"/>
        <w:numPr>
          <w:ilvl w:val="0"/>
          <w:numId w:val="208"/>
        </w:numPr>
        <w:jc w:val="both"/>
        <w:rPr>
          <w:rFonts w:ascii="Calibri Light" w:hAnsi="Calibri Light" w:cs="Calibri Light"/>
          <w:sz w:val="22"/>
          <w:szCs w:val="22"/>
        </w:rPr>
      </w:pPr>
      <w:r w:rsidRPr="00A02B84">
        <w:rPr>
          <w:rFonts w:ascii="Calibri Light" w:hAnsi="Calibri Light" w:cs="Calibri Light"/>
          <w:sz w:val="22"/>
          <w:szCs w:val="22"/>
        </w:rPr>
        <w:t>Recaudaron por cartera: USD 31.639.276,50 (100% de recuperación)</w:t>
      </w:r>
    </w:p>
    <w:p w14:paraId="2F200F3E" w14:textId="77777777" w:rsidR="00C420E7" w:rsidRPr="00FD1FAB" w:rsidRDefault="00C420E7" w:rsidP="00FD1FAB">
      <w:pPr>
        <w:tabs>
          <w:tab w:val="left" w:pos="851"/>
        </w:tabs>
        <w:jc w:val="both"/>
        <w:rPr>
          <w:rFonts w:ascii="Calibri Light" w:hAnsi="Calibri Light" w:cs="Calibri Light"/>
          <w:sz w:val="22"/>
          <w:szCs w:val="22"/>
        </w:rPr>
      </w:pPr>
    </w:p>
    <w:p w14:paraId="7BF5939D" w14:textId="77777777" w:rsidR="00C420E7" w:rsidRPr="00CA1FC5" w:rsidRDefault="00C420E7" w:rsidP="00CA1FC5">
      <w:pPr>
        <w:pStyle w:val="Ttulo4"/>
        <w:rPr>
          <w:i w:val="0"/>
          <w:sz w:val="22"/>
          <w:szCs w:val="22"/>
        </w:rPr>
      </w:pPr>
      <w:bookmarkStart w:id="447" w:name="_Toc198110360"/>
      <w:r w:rsidRPr="00CA1FC5">
        <w:rPr>
          <w:i w:val="0"/>
          <w:sz w:val="22"/>
          <w:szCs w:val="22"/>
        </w:rPr>
        <w:t>Programa de Eficiencia Energética para Cocción por Inducción y Calentamiento de agua en el sector residencial.</w:t>
      </w:r>
      <w:bookmarkEnd w:id="447"/>
    </w:p>
    <w:p w14:paraId="172CE2ED" w14:textId="77777777" w:rsidR="00C420E7" w:rsidRDefault="00C420E7" w:rsidP="00C420E7">
      <w:pPr>
        <w:spacing w:before="240" w:after="240"/>
        <w:jc w:val="both"/>
        <w:rPr>
          <w:rFonts w:asciiTheme="majorHAnsi" w:hAnsiTheme="majorHAnsi" w:cstheme="majorHAnsi"/>
          <w:sz w:val="22"/>
        </w:rPr>
      </w:pPr>
      <w:r w:rsidRPr="00506217">
        <w:rPr>
          <w:rFonts w:asciiTheme="majorHAnsi" w:hAnsiTheme="majorHAnsi" w:cstheme="majorHAnsi"/>
          <w:sz w:val="22"/>
        </w:rPr>
        <w:t xml:space="preserve">El objetivo del Programa </w:t>
      </w:r>
      <w:r>
        <w:rPr>
          <w:rFonts w:asciiTheme="majorHAnsi" w:hAnsiTheme="majorHAnsi" w:cstheme="majorHAnsi"/>
          <w:sz w:val="22"/>
        </w:rPr>
        <w:t>fue</w:t>
      </w:r>
      <w:r w:rsidRPr="00506217">
        <w:rPr>
          <w:rFonts w:asciiTheme="majorHAnsi" w:hAnsiTheme="majorHAnsi" w:cstheme="majorHAnsi"/>
          <w:sz w:val="22"/>
        </w:rPr>
        <w:t xml:space="preserve"> sustituir cocinas y calefones de calentamiento de agua a gas por cocinas de inducción y sistemas eléctricos de calentamiento de agua en los hogares de los clientes residenciales del sistema eléctrico.</w:t>
      </w:r>
      <w:r>
        <w:rPr>
          <w:rFonts w:asciiTheme="majorHAnsi" w:hAnsiTheme="majorHAnsi" w:cstheme="majorHAnsi"/>
          <w:sz w:val="22"/>
        </w:rPr>
        <w:t xml:space="preserve"> </w:t>
      </w:r>
    </w:p>
    <w:p w14:paraId="300A5F5D" w14:textId="77777777" w:rsidR="00C420E7" w:rsidRPr="00506217" w:rsidRDefault="00C420E7" w:rsidP="00C420E7">
      <w:pPr>
        <w:spacing w:before="240" w:after="240"/>
        <w:jc w:val="both"/>
        <w:rPr>
          <w:rFonts w:asciiTheme="majorHAnsi" w:hAnsiTheme="majorHAnsi" w:cstheme="majorHAnsi"/>
          <w:sz w:val="22"/>
        </w:rPr>
      </w:pPr>
      <w:r w:rsidRPr="00506217">
        <w:rPr>
          <w:rFonts w:asciiTheme="majorHAnsi" w:hAnsiTheme="majorHAnsi" w:cstheme="majorHAnsi"/>
          <w:sz w:val="22"/>
        </w:rPr>
        <w:t>El Programa se encuentra en fase de cierre y liquidación, en concordancia con la disposición emitida el 25 de junio de 2019, por el entonces Ministro de Energía y Recursos Naturales No Renovables, quien solicitó se "...ejecute las acciones operativas y administrativas necesarias para terminar de manera ordenada las obligaciones contraídas por este Ministerio en el marco del Programa de Cocción Eficiente - PEC...”.</w:t>
      </w:r>
    </w:p>
    <w:p w14:paraId="18F92E48" w14:textId="77777777" w:rsidR="00C420E7" w:rsidRPr="00506217" w:rsidRDefault="00C420E7" w:rsidP="00C420E7">
      <w:pPr>
        <w:spacing w:before="240" w:after="240"/>
        <w:jc w:val="both"/>
        <w:rPr>
          <w:rFonts w:asciiTheme="majorHAnsi" w:hAnsiTheme="majorHAnsi" w:cstheme="majorHAnsi"/>
          <w:sz w:val="22"/>
        </w:rPr>
      </w:pPr>
      <w:r w:rsidRPr="00506217">
        <w:rPr>
          <w:rFonts w:asciiTheme="majorHAnsi" w:hAnsiTheme="majorHAnsi" w:cstheme="majorHAnsi"/>
          <w:sz w:val="22"/>
        </w:rPr>
        <w:t>Los beneficiarios directos del Programa PEC son 596.904 hogares; 2.268.904 habitantes, considerando que cada hogar en el Ecuador tiene un promedio de 3,8 personas.</w:t>
      </w:r>
    </w:p>
    <w:p w14:paraId="2A713C2D" w14:textId="77777777" w:rsidR="00C420E7" w:rsidRPr="00C91254" w:rsidRDefault="00C420E7" w:rsidP="00C420E7">
      <w:pPr>
        <w:jc w:val="both"/>
        <w:rPr>
          <w:rFonts w:ascii="Calibri Light" w:hAnsi="Calibri Light" w:cs="Calibri Light"/>
          <w:i/>
          <w:sz w:val="22"/>
          <w:szCs w:val="22"/>
        </w:rPr>
      </w:pPr>
      <w:r w:rsidRPr="00C91254">
        <w:rPr>
          <w:rFonts w:ascii="Calibri Light" w:hAnsi="Calibri Light" w:cs="Calibri Light"/>
          <w:i/>
          <w:sz w:val="22"/>
          <w:szCs w:val="22"/>
        </w:rPr>
        <w:t>Indicadores de Eficiencia energética:</w:t>
      </w:r>
    </w:p>
    <w:p w14:paraId="551E50C7" w14:textId="77777777" w:rsidR="00C420E7" w:rsidRPr="00B838B1" w:rsidRDefault="00C420E7" w:rsidP="00C420E7">
      <w:pPr>
        <w:jc w:val="both"/>
        <w:rPr>
          <w:rFonts w:ascii="Calibri Light" w:hAnsi="Calibri Light" w:cs="Calibri Light"/>
          <w:sz w:val="22"/>
          <w:szCs w:val="22"/>
        </w:rPr>
      </w:pPr>
    </w:p>
    <w:p w14:paraId="070DD89C" w14:textId="77777777" w:rsidR="00C420E7" w:rsidRPr="00B838B1" w:rsidRDefault="00C420E7" w:rsidP="00C420E7">
      <w:pPr>
        <w:pStyle w:val="Prrafodelista"/>
        <w:numPr>
          <w:ilvl w:val="0"/>
          <w:numId w:val="208"/>
        </w:numPr>
        <w:jc w:val="both"/>
        <w:rPr>
          <w:rFonts w:ascii="Calibri Light" w:hAnsi="Calibri Light" w:cs="Calibri Light"/>
          <w:sz w:val="22"/>
          <w:szCs w:val="22"/>
        </w:rPr>
      </w:pPr>
      <w:r w:rsidRPr="00B838B1">
        <w:rPr>
          <w:rFonts w:ascii="Calibri Light" w:hAnsi="Calibri Light" w:cs="Calibri Light"/>
          <w:sz w:val="22"/>
          <w:szCs w:val="22"/>
        </w:rPr>
        <w:t>Ahorro anual de energía enero-diciembre 2024: 352 GWh.</w:t>
      </w:r>
    </w:p>
    <w:p w14:paraId="393B84E1" w14:textId="77777777" w:rsidR="00C420E7" w:rsidRPr="00B838B1" w:rsidRDefault="00C420E7" w:rsidP="00C420E7">
      <w:pPr>
        <w:pStyle w:val="Prrafodelista"/>
        <w:numPr>
          <w:ilvl w:val="0"/>
          <w:numId w:val="208"/>
        </w:numPr>
        <w:jc w:val="both"/>
        <w:rPr>
          <w:rFonts w:ascii="Calibri Light" w:hAnsi="Calibri Light" w:cs="Calibri Light"/>
          <w:sz w:val="22"/>
          <w:szCs w:val="22"/>
        </w:rPr>
      </w:pPr>
      <w:r w:rsidRPr="00B838B1">
        <w:rPr>
          <w:rFonts w:ascii="Calibri Light" w:hAnsi="Calibri Light" w:cs="Calibri Light"/>
          <w:sz w:val="22"/>
          <w:szCs w:val="22"/>
        </w:rPr>
        <w:t>Ahorro total de energía acumulado (2014 - 2024): 3.036 GWh.</w:t>
      </w:r>
    </w:p>
    <w:p w14:paraId="3B658C06" w14:textId="77777777" w:rsidR="00C420E7" w:rsidRPr="00B838B1" w:rsidRDefault="00C420E7" w:rsidP="00C420E7">
      <w:pPr>
        <w:pStyle w:val="Prrafodelista"/>
        <w:numPr>
          <w:ilvl w:val="0"/>
          <w:numId w:val="208"/>
        </w:numPr>
        <w:jc w:val="both"/>
        <w:rPr>
          <w:rFonts w:ascii="Calibri Light" w:hAnsi="Calibri Light" w:cs="Calibri Light"/>
          <w:sz w:val="22"/>
          <w:szCs w:val="22"/>
        </w:rPr>
      </w:pPr>
      <w:r w:rsidRPr="00B838B1">
        <w:rPr>
          <w:rFonts w:ascii="Calibri Light" w:hAnsi="Calibri Light" w:cs="Calibri Light"/>
          <w:sz w:val="22"/>
          <w:szCs w:val="22"/>
        </w:rPr>
        <w:t>Gas licuado de petróleo desplazado (2014 - 2024): 437.724 toneladas.</w:t>
      </w:r>
    </w:p>
    <w:p w14:paraId="41B98551" w14:textId="77777777" w:rsidR="00C420E7" w:rsidRPr="00B838B1" w:rsidRDefault="00C420E7" w:rsidP="00C420E7">
      <w:pPr>
        <w:pStyle w:val="Prrafodelista"/>
        <w:numPr>
          <w:ilvl w:val="0"/>
          <w:numId w:val="208"/>
        </w:numPr>
        <w:jc w:val="both"/>
        <w:rPr>
          <w:rFonts w:ascii="Calibri Light" w:hAnsi="Calibri Light" w:cs="Calibri Light"/>
          <w:sz w:val="22"/>
          <w:szCs w:val="22"/>
        </w:rPr>
      </w:pPr>
      <w:r w:rsidRPr="00B838B1">
        <w:rPr>
          <w:rFonts w:ascii="Calibri Light" w:hAnsi="Calibri Light" w:cs="Calibri Light"/>
          <w:sz w:val="22"/>
          <w:szCs w:val="22"/>
        </w:rPr>
        <w:t>Ahorro económico al Estado por sustitución de gas licuado de petróleo por electricidad, período 2014 - 2024, USD 266 millones.</w:t>
      </w:r>
    </w:p>
    <w:p w14:paraId="053C44AE" w14:textId="77777777" w:rsidR="00C420E7" w:rsidRPr="00B838B1" w:rsidRDefault="00C420E7" w:rsidP="00C420E7">
      <w:pPr>
        <w:pStyle w:val="Prrafodelista"/>
        <w:numPr>
          <w:ilvl w:val="0"/>
          <w:numId w:val="208"/>
        </w:numPr>
        <w:jc w:val="both"/>
        <w:rPr>
          <w:rFonts w:ascii="Calibri Light" w:hAnsi="Calibri Light" w:cs="Calibri Light"/>
          <w:sz w:val="22"/>
          <w:szCs w:val="22"/>
        </w:rPr>
      </w:pPr>
      <w:r w:rsidRPr="00B838B1">
        <w:rPr>
          <w:rFonts w:ascii="Calibri Light" w:hAnsi="Calibri Light" w:cs="Calibri Light"/>
          <w:sz w:val="22"/>
          <w:szCs w:val="22"/>
        </w:rPr>
        <w:t>Emisiones de CO</w:t>
      </w:r>
      <w:r w:rsidRPr="0061363A">
        <w:rPr>
          <w:rFonts w:ascii="Calibri Light" w:hAnsi="Calibri Light" w:cs="Calibri Light"/>
          <w:sz w:val="22"/>
          <w:szCs w:val="22"/>
          <w:vertAlign w:val="subscript"/>
        </w:rPr>
        <w:t>2</w:t>
      </w:r>
      <w:r w:rsidRPr="00BD63DA">
        <w:rPr>
          <w:rFonts w:ascii="Calibri Light" w:hAnsi="Calibri Light" w:cs="Calibri Light"/>
          <w:sz w:val="22"/>
          <w:szCs w:val="22"/>
        </w:rPr>
        <w:t xml:space="preserve"> </w:t>
      </w:r>
      <w:r w:rsidRPr="00B838B1">
        <w:rPr>
          <w:rFonts w:ascii="Calibri Light" w:hAnsi="Calibri Light" w:cs="Calibri Light"/>
          <w:sz w:val="22"/>
          <w:szCs w:val="22"/>
        </w:rPr>
        <w:t>evitadas (2014-2023): 1.306 ktCO</w:t>
      </w:r>
      <w:r w:rsidRPr="0061363A">
        <w:rPr>
          <w:rFonts w:ascii="Calibri Light" w:hAnsi="Calibri Light" w:cs="Calibri Light"/>
          <w:sz w:val="22"/>
          <w:szCs w:val="22"/>
          <w:vertAlign w:val="subscript"/>
        </w:rPr>
        <w:t>2</w:t>
      </w:r>
      <w:r w:rsidRPr="00B838B1">
        <w:rPr>
          <w:rFonts w:ascii="Calibri Light" w:hAnsi="Calibri Light" w:cs="Calibri Light"/>
          <w:sz w:val="22"/>
          <w:szCs w:val="22"/>
        </w:rPr>
        <w:t>.</w:t>
      </w:r>
    </w:p>
    <w:p w14:paraId="742368ED" w14:textId="77777777" w:rsidR="00C420E7" w:rsidRPr="00B838B1" w:rsidRDefault="00C420E7" w:rsidP="00C420E7">
      <w:pPr>
        <w:jc w:val="both"/>
        <w:rPr>
          <w:rFonts w:ascii="Calibri Light" w:hAnsi="Calibri Light" w:cs="Calibri Light"/>
          <w:sz w:val="22"/>
          <w:szCs w:val="22"/>
        </w:rPr>
      </w:pPr>
    </w:p>
    <w:p w14:paraId="0D7D4243" w14:textId="77777777" w:rsidR="00C420E7" w:rsidRPr="00C91254" w:rsidRDefault="00C420E7" w:rsidP="00C420E7">
      <w:pPr>
        <w:jc w:val="both"/>
        <w:rPr>
          <w:rFonts w:ascii="Calibri Light" w:hAnsi="Calibri Light" w:cs="Calibri Light"/>
          <w:i/>
          <w:sz w:val="22"/>
          <w:szCs w:val="22"/>
        </w:rPr>
      </w:pPr>
      <w:r w:rsidRPr="00C91254">
        <w:rPr>
          <w:rFonts w:ascii="Calibri Light" w:hAnsi="Calibri Light" w:cs="Calibri Light"/>
          <w:i/>
          <w:sz w:val="22"/>
          <w:szCs w:val="22"/>
        </w:rPr>
        <w:t>Indicadores financieros:</w:t>
      </w:r>
    </w:p>
    <w:p w14:paraId="1963C90D" w14:textId="77777777" w:rsidR="00C420E7" w:rsidRPr="00B838B1" w:rsidRDefault="00C420E7" w:rsidP="00C420E7">
      <w:pPr>
        <w:jc w:val="both"/>
        <w:rPr>
          <w:rFonts w:ascii="Calibri Light" w:hAnsi="Calibri Light" w:cs="Calibri Light"/>
          <w:b/>
          <w:sz w:val="22"/>
          <w:szCs w:val="22"/>
        </w:rPr>
      </w:pPr>
    </w:p>
    <w:p w14:paraId="2424C0DB" w14:textId="77777777" w:rsidR="00C420E7" w:rsidRPr="00B838B1" w:rsidRDefault="00C420E7" w:rsidP="00C420E7">
      <w:pPr>
        <w:pStyle w:val="Prrafodelista"/>
        <w:numPr>
          <w:ilvl w:val="0"/>
          <w:numId w:val="177"/>
        </w:numPr>
        <w:tabs>
          <w:tab w:val="left" w:pos="851"/>
        </w:tabs>
        <w:ind w:left="720"/>
        <w:jc w:val="both"/>
        <w:rPr>
          <w:rFonts w:ascii="Calibri Light" w:hAnsi="Calibri Light" w:cs="Calibri Light"/>
          <w:sz w:val="22"/>
          <w:szCs w:val="22"/>
        </w:rPr>
      </w:pPr>
      <w:r w:rsidRPr="00B838B1">
        <w:rPr>
          <w:rFonts w:ascii="Calibri Light" w:hAnsi="Calibri Light" w:cs="Calibri Light"/>
          <w:sz w:val="22"/>
          <w:szCs w:val="22"/>
        </w:rPr>
        <w:t>Requerimientos de liquidez del Ministerio de Economía y Finanzas por el monto de USD 240.237.605,65; con un excedente de USD</w:t>
      </w:r>
      <w:r>
        <w:rPr>
          <w:rFonts w:ascii="Calibri Light" w:hAnsi="Calibri Light" w:cs="Calibri Light"/>
          <w:sz w:val="22"/>
          <w:szCs w:val="22"/>
        </w:rPr>
        <w:t>.</w:t>
      </w:r>
      <w:r w:rsidRPr="00B838B1">
        <w:rPr>
          <w:rFonts w:ascii="Calibri Light" w:hAnsi="Calibri Light" w:cs="Calibri Light"/>
          <w:sz w:val="22"/>
          <w:szCs w:val="22"/>
        </w:rPr>
        <w:t xml:space="preserve"> 41.868.786,77 en comparación con el financiamiento reembolsable de US $ 198.368.818,88.</w:t>
      </w:r>
    </w:p>
    <w:p w14:paraId="31074FD3" w14:textId="77777777" w:rsidR="00C420E7" w:rsidRDefault="00C420E7" w:rsidP="00C420E7">
      <w:pPr>
        <w:pStyle w:val="Prrafodelista"/>
        <w:numPr>
          <w:ilvl w:val="0"/>
          <w:numId w:val="177"/>
        </w:numPr>
        <w:tabs>
          <w:tab w:val="left" w:pos="851"/>
        </w:tabs>
        <w:ind w:left="720"/>
        <w:jc w:val="both"/>
        <w:rPr>
          <w:rFonts w:ascii="Calibri Light" w:hAnsi="Calibri Light" w:cs="Calibri Light"/>
          <w:sz w:val="22"/>
          <w:szCs w:val="22"/>
        </w:rPr>
      </w:pPr>
      <w:r>
        <w:rPr>
          <w:rFonts w:ascii="Calibri Light" w:hAnsi="Calibri Light" w:cs="Calibri Light"/>
          <w:sz w:val="22"/>
          <w:szCs w:val="22"/>
        </w:rPr>
        <w:t>A la presente fecha, el</w:t>
      </w:r>
      <w:r w:rsidRPr="00B838B1">
        <w:rPr>
          <w:rFonts w:ascii="Calibri Light" w:hAnsi="Calibri Light" w:cs="Calibri Light"/>
          <w:sz w:val="22"/>
          <w:szCs w:val="22"/>
        </w:rPr>
        <w:t xml:space="preserve"> Programa PEC ha recaudado US</w:t>
      </w:r>
      <w:r>
        <w:rPr>
          <w:rFonts w:ascii="Calibri Light" w:hAnsi="Calibri Light" w:cs="Calibri Light"/>
          <w:sz w:val="22"/>
          <w:szCs w:val="22"/>
        </w:rPr>
        <w:t>D.</w:t>
      </w:r>
      <w:r w:rsidRPr="00B838B1">
        <w:rPr>
          <w:rFonts w:ascii="Calibri Light" w:hAnsi="Calibri Light" w:cs="Calibri Light"/>
          <w:sz w:val="22"/>
          <w:szCs w:val="22"/>
        </w:rPr>
        <w:t xml:space="preserve"> 368.919.298,80. La recaudación efectuada por las empresas eléctricas de distribución correspondiente al ejercicio fiscal 202</w:t>
      </w:r>
      <w:r>
        <w:rPr>
          <w:rFonts w:ascii="Calibri Light" w:hAnsi="Calibri Light" w:cs="Calibri Light"/>
          <w:sz w:val="22"/>
          <w:szCs w:val="22"/>
        </w:rPr>
        <w:t xml:space="preserve">4 fue de USD. </w:t>
      </w:r>
      <w:bookmarkStart w:id="448" w:name="_Hlk185259771"/>
      <w:r w:rsidRPr="008B5F9F">
        <w:rPr>
          <w:rFonts w:ascii="Calibri Light" w:hAnsi="Calibri Light" w:cs="Calibri Light"/>
          <w:sz w:val="22"/>
          <w:szCs w:val="22"/>
        </w:rPr>
        <w:t>1.6</w:t>
      </w:r>
      <w:bookmarkEnd w:id="448"/>
      <w:r w:rsidRPr="008B5F9F">
        <w:rPr>
          <w:rFonts w:ascii="Calibri Light" w:hAnsi="Calibri Light" w:cs="Calibri Light"/>
          <w:sz w:val="22"/>
          <w:szCs w:val="22"/>
        </w:rPr>
        <w:t>59.255,96 y en lo que va del 2025</w:t>
      </w:r>
      <w:r w:rsidRPr="00B838B1">
        <w:rPr>
          <w:rFonts w:ascii="Calibri Light" w:hAnsi="Calibri Light" w:cs="Calibri Light"/>
          <w:sz w:val="22"/>
          <w:szCs w:val="22"/>
        </w:rPr>
        <w:t xml:space="preserve"> es de US</w:t>
      </w:r>
      <w:r>
        <w:rPr>
          <w:rFonts w:ascii="Calibri Light" w:hAnsi="Calibri Light" w:cs="Calibri Light"/>
          <w:sz w:val="22"/>
          <w:szCs w:val="22"/>
        </w:rPr>
        <w:t>D.</w:t>
      </w:r>
      <w:r w:rsidRPr="00B838B1">
        <w:rPr>
          <w:rFonts w:ascii="Calibri Light" w:hAnsi="Calibri Light" w:cs="Calibri Light"/>
          <w:sz w:val="22"/>
          <w:szCs w:val="22"/>
        </w:rPr>
        <w:t xml:space="preserve"> 191.818,15; y, el saldo en la cuenta fondos de terceros de la Cuenta Única del Tesoro Nacional ascendió a los </w:t>
      </w:r>
      <w:r>
        <w:rPr>
          <w:rFonts w:ascii="Calibri Light" w:hAnsi="Calibri Light" w:cs="Calibri Light"/>
          <w:sz w:val="22"/>
          <w:szCs w:val="22"/>
        </w:rPr>
        <w:t>USD.</w:t>
      </w:r>
      <w:r w:rsidRPr="00B838B1">
        <w:rPr>
          <w:rFonts w:ascii="Calibri Light" w:hAnsi="Calibri Light" w:cs="Calibri Light"/>
          <w:sz w:val="22"/>
          <w:szCs w:val="22"/>
        </w:rPr>
        <w:t xml:space="preserve"> 3.401.706,81. </w:t>
      </w:r>
    </w:p>
    <w:p w14:paraId="008E2953" w14:textId="77777777" w:rsidR="00C420E7" w:rsidRPr="00B838B1" w:rsidRDefault="00C420E7" w:rsidP="00C420E7">
      <w:pPr>
        <w:pStyle w:val="Prrafodelista"/>
        <w:numPr>
          <w:ilvl w:val="0"/>
          <w:numId w:val="177"/>
        </w:numPr>
        <w:tabs>
          <w:tab w:val="left" w:pos="851"/>
        </w:tabs>
        <w:ind w:left="720"/>
        <w:jc w:val="both"/>
        <w:rPr>
          <w:rFonts w:ascii="Calibri Light" w:hAnsi="Calibri Light" w:cs="Calibri Light"/>
          <w:sz w:val="22"/>
          <w:szCs w:val="22"/>
        </w:rPr>
      </w:pPr>
      <w:r w:rsidRPr="00B838B1">
        <w:rPr>
          <w:rFonts w:ascii="Calibri Light" w:hAnsi="Calibri Light" w:cs="Calibri Light"/>
          <w:sz w:val="22"/>
          <w:szCs w:val="22"/>
        </w:rPr>
        <w:t>La fase de recaudación culminó en diciembre de 2024; no obstante, se ejecutan los procesos de recuperación de cartera y el trámite para la emisión del dictamen de arrastre por parte de la Secretaría Nacional de Planificación, con el objetivo de concluir con el pago de las obligaciones adquiridas.</w:t>
      </w:r>
    </w:p>
    <w:p w14:paraId="2698B9FA" w14:textId="77777777" w:rsidR="00C420E7" w:rsidRPr="00BD63DA" w:rsidRDefault="00C420E7" w:rsidP="00C420E7">
      <w:pPr>
        <w:spacing w:before="240" w:after="240"/>
        <w:jc w:val="both"/>
        <w:rPr>
          <w:rFonts w:asciiTheme="majorHAnsi" w:hAnsiTheme="majorHAnsi" w:cstheme="majorHAnsi"/>
          <w:sz w:val="22"/>
        </w:rPr>
      </w:pPr>
      <w:r w:rsidRPr="00BD63DA">
        <w:rPr>
          <w:rFonts w:asciiTheme="majorHAnsi" w:hAnsiTheme="majorHAnsi" w:cstheme="majorHAnsi"/>
          <w:sz w:val="22"/>
        </w:rPr>
        <w:t>Al respecto, es importante indicar que, los excedentes de los recursos generados por el Programa, permiten cubrir la totalidad de las obligaciones contraídas en la fase de ejecución; no obstante, la falta de espacio presupuestario ha condicionado la liquidación y cierre de los convenios suscritos con casas comerciales y empresas fabricantes.</w:t>
      </w:r>
    </w:p>
    <w:p w14:paraId="0824E915" w14:textId="7239B080" w:rsidR="00C420E7" w:rsidRPr="00FD1FAB" w:rsidRDefault="00C420E7" w:rsidP="00FD1FAB">
      <w:pPr>
        <w:spacing w:before="240" w:after="240"/>
        <w:jc w:val="both"/>
        <w:rPr>
          <w:rFonts w:asciiTheme="majorHAnsi" w:hAnsiTheme="majorHAnsi" w:cstheme="majorHAnsi"/>
          <w:sz w:val="22"/>
        </w:rPr>
      </w:pPr>
      <w:r w:rsidRPr="00BD63DA">
        <w:rPr>
          <w:rFonts w:asciiTheme="majorHAnsi" w:hAnsiTheme="majorHAnsi" w:cstheme="majorHAnsi"/>
          <w:sz w:val="22"/>
        </w:rPr>
        <w:t xml:space="preserve">En lo concerniente a los nudos críticos, el Programa priorizó dar solución definitiva a las reclamaciones presentadas por la ciudadanía, la recuperación de los valores resultantes de la </w:t>
      </w:r>
      <w:r w:rsidRPr="00BD63DA">
        <w:rPr>
          <w:rFonts w:asciiTheme="majorHAnsi" w:hAnsiTheme="majorHAnsi" w:cstheme="majorHAnsi"/>
          <w:sz w:val="22"/>
        </w:rPr>
        <w:lastRenderedPageBreak/>
        <w:t>determinación de ventas netas, la determinación de las cuentas de difícil recuperación, la emisión de directrices y lineamientos para el cierre ordenado de los convenios de cooperación y el seguimiento a los procesos legales y el cumplimiento a las recomendaciones emitidas por el Órgano de Control.</w:t>
      </w:r>
    </w:p>
    <w:p w14:paraId="0B0E75A4" w14:textId="77777777" w:rsidR="00C420E7" w:rsidRPr="00CA1FC5" w:rsidRDefault="00C420E7" w:rsidP="00CA1FC5">
      <w:pPr>
        <w:pStyle w:val="Ttulo4"/>
        <w:rPr>
          <w:i w:val="0"/>
          <w:sz w:val="22"/>
          <w:szCs w:val="22"/>
        </w:rPr>
      </w:pPr>
      <w:bookmarkStart w:id="449" w:name="_Toc198110361"/>
      <w:r w:rsidRPr="00CA1FC5">
        <w:rPr>
          <w:i w:val="0"/>
          <w:sz w:val="22"/>
          <w:szCs w:val="22"/>
        </w:rPr>
        <w:t>Proyecto para la Sustitución de Acondicionadores de Aire de consumo energético ineficiente en la provincia de Galápagos.</w:t>
      </w:r>
      <w:bookmarkEnd w:id="449"/>
    </w:p>
    <w:p w14:paraId="275FC16E" w14:textId="77777777" w:rsidR="00C420E7" w:rsidRDefault="00C420E7" w:rsidP="00C420E7">
      <w:pPr>
        <w:spacing w:before="240" w:after="240"/>
        <w:jc w:val="both"/>
        <w:rPr>
          <w:rFonts w:asciiTheme="majorHAnsi" w:hAnsiTheme="majorHAnsi" w:cstheme="majorHAnsi"/>
          <w:sz w:val="22"/>
          <w:szCs w:val="22"/>
        </w:rPr>
      </w:pPr>
      <w:r>
        <w:rPr>
          <w:rFonts w:asciiTheme="majorHAnsi" w:hAnsiTheme="majorHAnsi" w:cstheme="majorHAnsi"/>
          <w:sz w:val="22"/>
          <w:szCs w:val="22"/>
        </w:rPr>
        <w:t xml:space="preserve">El </w:t>
      </w:r>
      <w:r w:rsidRPr="00B97D44">
        <w:rPr>
          <w:rFonts w:asciiTheme="majorHAnsi" w:hAnsiTheme="majorHAnsi" w:cstheme="majorHAnsi"/>
          <w:sz w:val="22"/>
          <w:szCs w:val="22"/>
        </w:rPr>
        <w:t xml:space="preserve">objetivo </w:t>
      </w:r>
      <w:r>
        <w:rPr>
          <w:rFonts w:asciiTheme="majorHAnsi" w:hAnsiTheme="majorHAnsi" w:cstheme="majorHAnsi"/>
          <w:sz w:val="22"/>
          <w:szCs w:val="22"/>
        </w:rPr>
        <w:t xml:space="preserve">del Proyecto es </w:t>
      </w:r>
      <w:r w:rsidRPr="00B97D44">
        <w:rPr>
          <w:rFonts w:asciiTheme="majorHAnsi" w:hAnsiTheme="majorHAnsi" w:cstheme="majorHAnsi"/>
          <w:sz w:val="22"/>
          <w:szCs w:val="22"/>
        </w:rPr>
        <w:t xml:space="preserve">sustituir equipos de acondicionamiento de aire ineficientes en el sector residencial del Archipiélago de Galápagos por equipos más eficientes </w:t>
      </w:r>
      <w:r>
        <w:rPr>
          <w:rFonts w:asciiTheme="majorHAnsi" w:hAnsiTheme="majorHAnsi" w:cstheme="majorHAnsi"/>
          <w:sz w:val="22"/>
          <w:szCs w:val="22"/>
        </w:rPr>
        <w:t>de</w:t>
      </w:r>
      <w:r w:rsidRPr="00B97D44">
        <w:rPr>
          <w:rFonts w:asciiTheme="majorHAnsi" w:hAnsiTheme="majorHAnsi" w:cstheme="majorHAnsi"/>
          <w:sz w:val="22"/>
          <w:szCs w:val="22"/>
        </w:rPr>
        <w:t xml:space="preserve"> tecnología </w:t>
      </w:r>
      <w:r>
        <w:rPr>
          <w:rFonts w:asciiTheme="majorHAnsi" w:hAnsiTheme="majorHAnsi" w:cstheme="majorHAnsi"/>
          <w:sz w:val="22"/>
          <w:szCs w:val="22"/>
        </w:rPr>
        <w:t>INVERTER, con el fin de reducir el consumo de energía</w:t>
      </w:r>
      <w:r w:rsidRPr="00B97D44">
        <w:rPr>
          <w:rFonts w:asciiTheme="majorHAnsi" w:hAnsiTheme="majorHAnsi" w:cstheme="majorHAnsi"/>
          <w:sz w:val="22"/>
          <w:szCs w:val="22"/>
        </w:rPr>
        <w:t>.</w:t>
      </w:r>
      <w:r>
        <w:rPr>
          <w:rFonts w:asciiTheme="majorHAnsi" w:hAnsiTheme="majorHAnsi" w:cstheme="majorHAnsi"/>
          <w:sz w:val="22"/>
          <w:szCs w:val="22"/>
        </w:rPr>
        <w:t xml:space="preserve"> </w:t>
      </w:r>
      <w:r w:rsidRPr="00DB7084">
        <w:rPr>
          <w:rFonts w:asciiTheme="majorHAnsi" w:hAnsiTheme="majorHAnsi" w:cstheme="majorHAnsi"/>
          <w:sz w:val="22"/>
        </w:rPr>
        <w:t>Además, promocionar y difundir tecnologías de alta eficiencia que motiven el cambio a una cultura de eficiencia energética en el país.</w:t>
      </w:r>
    </w:p>
    <w:p w14:paraId="1F8C6338" w14:textId="77777777" w:rsidR="00C420E7" w:rsidRDefault="00C420E7" w:rsidP="00C420E7">
      <w:pPr>
        <w:jc w:val="both"/>
        <w:rPr>
          <w:rFonts w:asciiTheme="majorHAnsi" w:hAnsiTheme="majorHAnsi" w:cstheme="majorHAnsi"/>
          <w:sz w:val="22"/>
          <w:szCs w:val="22"/>
        </w:rPr>
      </w:pPr>
      <w:r w:rsidRPr="00B97D44">
        <w:rPr>
          <w:rFonts w:asciiTheme="majorHAnsi" w:hAnsiTheme="majorHAnsi" w:cstheme="majorHAnsi"/>
          <w:sz w:val="22"/>
          <w:szCs w:val="22"/>
        </w:rPr>
        <w:t xml:space="preserve">Durante el año 2024, </w:t>
      </w:r>
      <w:r>
        <w:rPr>
          <w:rFonts w:asciiTheme="majorHAnsi" w:hAnsiTheme="majorHAnsi" w:cstheme="majorHAnsi"/>
          <w:sz w:val="22"/>
          <w:szCs w:val="22"/>
        </w:rPr>
        <w:t>se realizaron las siguientes acciones:</w:t>
      </w:r>
    </w:p>
    <w:p w14:paraId="67C70F0B" w14:textId="77777777" w:rsidR="00C420E7" w:rsidRDefault="00C420E7" w:rsidP="00C420E7">
      <w:pPr>
        <w:jc w:val="both"/>
        <w:rPr>
          <w:rFonts w:asciiTheme="majorHAnsi" w:hAnsiTheme="majorHAnsi" w:cstheme="majorHAnsi"/>
          <w:sz w:val="22"/>
          <w:szCs w:val="22"/>
        </w:rPr>
      </w:pPr>
    </w:p>
    <w:p w14:paraId="5A98FF92" w14:textId="77777777" w:rsidR="00C420E7" w:rsidRPr="00BD63DA" w:rsidRDefault="00C420E7" w:rsidP="00C420E7">
      <w:pPr>
        <w:pStyle w:val="Prrafodelista"/>
        <w:numPr>
          <w:ilvl w:val="0"/>
          <w:numId w:val="207"/>
        </w:numPr>
        <w:jc w:val="both"/>
        <w:rPr>
          <w:rFonts w:asciiTheme="majorHAnsi" w:hAnsiTheme="majorHAnsi" w:cstheme="majorHAnsi"/>
          <w:sz w:val="22"/>
          <w:szCs w:val="22"/>
        </w:rPr>
      </w:pPr>
      <w:r w:rsidRPr="00BD63DA">
        <w:rPr>
          <w:rFonts w:asciiTheme="majorHAnsi" w:hAnsiTheme="majorHAnsi" w:cstheme="majorHAnsi"/>
          <w:sz w:val="22"/>
          <w:szCs w:val="22"/>
        </w:rPr>
        <w:t>Emisión del Acuerdo Ministerial Nro. MEM-VEER-2024-0002-AM, que regula el proceso de selección de Proveedores de equipos acondicionadores de aire y servicios para el Proyecto.</w:t>
      </w:r>
    </w:p>
    <w:p w14:paraId="3A91776E" w14:textId="77777777" w:rsidR="00C420E7" w:rsidRPr="00BD63DA" w:rsidRDefault="00C420E7" w:rsidP="00C420E7">
      <w:pPr>
        <w:pStyle w:val="Prrafodelista"/>
        <w:numPr>
          <w:ilvl w:val="0"/>
          <w:numId w:val="207"/>
        </w:numPr>
        <w:jc w:val="both"/>
        <w:rPr>
          <w:rFonts w:asciiTheme="majorHAnsi" w:hAnsiTheme="majorHAnsi" w:cstheme="majorHAnsi"/>
          <w:sz w:val="22"/>
          <w:szCs w:val="22"/>
        </w:rPr>
      </w:pPr>
      <w:r w:rsidRPr="00BD63DA">
        <w:rPr>
          <w:rFonts w:asciiTheme="majorHAnsi" w:hAnsiTheme="majorHAnsi" w:cstheme="majorHAnsi"/>
          <w:sz w:val="22"/>
          <w:szCs w:val="22"/>
        </w:rPr>
        <w:t xml:space="preserve">Aprobación del Procedimiento y Parámetros de cumplimiento para el proceso de </w:t>
      </w:r>
      <w:r>
        <w:rPr>
          <w:rFonts w:asciiTheme="majorHAnsi" w:hAnsiTheme="majorHAnsi" w:cstheme="majorHAnsi"/>
          <w:sz w:val="22"/>
          <w:szCs w:val="22"/>
        </w:rPr>
        <w:t>selección de los proveedores de equipos acondicionadores de aire y servicios del proyecto.</w:t>
      </w:r>
    </w:p>
    <w:p w14:paraId="799F864F" w14:textId="77777777" w:rsidR="00C420E7" w:rsidRPr="00BD63DA" w:rsidRDefault="00C420E7" w:rsidP="00C420E7">
      <w:pPr>
        <w:pStyle w:val="Prrafodelista"/>
        <w:numPr>
          <w:ilvl w:val="0"/>
          <w:numId w:val="207"/>
        </w:numPr>
        <w:jc w:val="both"/>
        <w:rPr>
          <w:rFonts w:asciiTheme="majorHAnsi" w:hAnsiTheme="majorHAnsi" w:cstheme="majorHAnsi"/>
          <w:sz w:val="22"/>
          <w:szCs w:val="22"/>
        </w:rPr>
      </w:pPr>
      <w:r w:rsidRPr="00BD63DA">
        <w:rPr>
          <w:rFonts w:asciiTheme="majorHAnsi" w:hAnsiTheme="majorHAnsi" w:cstheme="majorHAnsi"/>
          <w:sz w:val="22"/>
          <w:szCs w:val="22"/>
        </w:rPr>
        <w:t>Actualización del Dictamen de prioridad por parte de la Secretaría Nacional de Planificación.</w:t>
      </w:r>
    </w:p>
    <w:p w14:paraId="77F06C3F" w14:textId="77777777" w:rsidR="00C420E7" w:rsidRPr="00BD63DA" w:rsidRDefault="00C420E7" w:rsidP="00C420E7">
      <w:pPr>
        <w:pStyle w:val="Prrafodelista"/>
        <w:numPr>
          <w:ilvl w:val="0"/>
          <w:numId w:val="207"/>
        </w:numPr>
        <w:jc w:val="both"/>
        <w:rPr>
          <w:rFonts w:asciiTheme="majorHAnsi" w:hAnsiTheme="majorHAnsi" w:cstheme="majorHAnsi"/>
          <w:sz w:val="22"/>
          <w:szCs w:val="22"/>
        </w:rPr>
      </w:pPr>
      <w:r w:rsidRPr="00BD63DA">
        <w:rPr>
          <w:rFonts w:asciiTheme="majorHAnsi" w:hAnsiTheme="majorHAnsi" w:cstheme="majorHAnsi"/>
          <w:sz w:val="22"/>
          <w:szCs w:val="22"/>
        </w:rPr>
        <w:t>Suscripción del Convenio de cooperación interinstitucional para el desarrollo, implementación y mantenimiento del sistema de gestión de proyectos de eficiencia energética (SGPEE) por parte de las Empresas Eléctricas. Hasta finales de diciembre de 2024, se tiene un avance en el desarrollo del 45%.</w:t>
      </w:r>
    </w:p>
    <w:p w14:paraId="5D75AE49" w14:textId="77777777" w:rsidR="00C420E7" w:rsidRPr="00BD63DA" w:rsidRDefault="00C420E7" w:rsidP="00C420E7">
      <w:pPr>
        <w:pStyle w:val="Prrafodelista"/>
        <w:numPr>
          <w:ilvl w:val="0"/>
          <w:numId w:val="207"/>
        </w:numPr>
        <w:jc w:val="both"/>
        <w:rPr>
          <w:rFonts w:asciiTheme="majorHAnsi" w:hAnsiTheme="majorHAnsi" w:cstheme="majorHAnsi"/>
          <w:sz w:val="22"/>
          <w:szCs w:val="22"/>
        </w:rPr>
      </w:pPr>
      <w:r w:rsidRPr="00BD63DA">
        <w:rPr>
          <w:rFonts w:asciiTheme="majorHAnsi" w:hAnsiTheme="majorHAnsi" w:cstheme="majorHAnsi"/>
          <w:sz w:val="22"/>
          <w:szCs w:val="22"/>
        </w:rPr>
        <w:t>Gestiones para emisión de Certificaciones Presupuestarias para inicio de proceso de selección.</w:t>
      </w:r>
    </w:p>
    <w:p w14:paraId="06AC1B09" w14:textId="77777777" w:rsidR="00C420E7" w:rsidRDefault="00C420E7" w:rsidP="00C420E7">
      <w:pPr>
        <w:pStyle w:val="Prrafodelista"/>
        <w:tabs>
          <w:tab w:val="left" w:pos="851"/>
        </w:tabs>
        <w:ind w:left="360"/>
        <w:jc w:val="both"/>
        <w:rPr>
          <w:rFonts w:ascii="Calibri Light" w:hAnsi="Calibri Light" w:cs="Calibri Light"/>
          <w:sz w:val="22"/>
          <w:szCs w:val="22"/>
        </w:rPr>
      </w:pPr>
    </w:p>
    <w:p w14:paraId="1395ED0F" w14:textId="77777777" w:rsidR="00C420E7" w:rsidRDefault="00C420E7" w:rsidP="00C420E7">
      <w:pPr>
        <w:tabs>
          <w:tab w:val="left" w:pos="851"/>
        </w:tabs>
        <w:jc w:val="both"/>
        <w:rPr>
          <w:rFonts w:asciiTheme="majorHAnsi" w:hAnsiTheme="majorHAnsi" w:cstheme="majorHAnsi"/>
          <w:sz w:val="22"/>
        </w:rPr>
      </w:pPr>
      <w:r w:rsidRPr="00FF3B98">
        <w:rPr>
          <w:rFonts w:asciiTheme="majorHAnsi" w:hAnsiTheme="majorHAnsi" w:cstheme="majorHAnsi"/>
          <w:sz w:val="22"/>
        </w:rPr>
        <w:t>Durante el año 2024, el proceso de selección de proveedores de los equipos acondicionadores de aire y servicios del proyecto, debió ser reprogramado en razón de las demoras en la emisión de los documentos habilitantes por parte de la Secretaría Nacional de Planificación, del Ministerio de Economía y Finanzas.</w:t>
      </w:r>
    </w:p>
    <w:p w14:paraId="79B4022E" w14:textId="77777777" w:rsidR="00C420E7" w:rsidRPr="0090698D" w:rsidRDefault="00C420E7" w:rsidP="00C420E7"/>
    <w:p w14:paraId="09C4A596" w14:textId="77777777" w:rsidR="00C420E7" w:rsidRPr="00CA1FC5" w:rsidRDefault="00C420E7" w:rsidP="00CA1FC5">
      <w:pPr>
        <w:pStyle w:val="Ttulo4"/>
        <w:rPr>
          <w:i w:val="0"/>
          <w:sz w:val="22"/>
          <w:szCs w:val="22"/>
        </w:rPr>
      </w:pPr>
      <w:bookmarkStart w:id="450" w:name="_Toc198110362"/>
      <w:r w:rsidRPr="00CA1FC5">
        <w:rPr>
          <w:i w:val="0"/>
          <w:sz w:val="22"/>
          <w:szCs w:val="22"/>
        </w:rPr>
        <w:t>Proyecto de Eficiencia Energética en la Agroindustria en el Ecuador.</w:t>
      </w:r>
      <w:bookmarkEnd w:id="450"/>
    </w:p>
    <w:p w14:paraId="58111D2B" w14:textId="77777777" w:rsidR="00C420E7" w:rsidRPr="000068C2" w:rsidRDefault="00C420E7" w:rsidP="00C420E7"/>
    <w:p w14:paraId="2398E4DF" w14:textId="77777777" w:rsidR="00C420E7" w:rsidRPr="001D52C7" w:rsidRDefault="00C420E7" w:rsidP="00C420E7">
      <w:pPr>
        <w:jc w:val="both"/>
        <w:rPr>
          <w:rFonts w:asciiTheme="majorHAnsi" w:hAnsiTheme="majorHAnsi" w:cstheme="majorHAnsi"/>
          <w:sz w:val="22"/>
          <w:szCs w:val="22"/>
        </w:rPr>
      </w:pPr>
      <w:r w:rsidRPr="00C555AD">
        <w:rPr>
          <w:rFonts w:asciiTheme="majorHAnsi" w:hAnsiTheme="majorHAnsi" w:cstheme="majorHAnsi"/>
          <w:sz w:val="22"/>
          <w:szCs w:val="22"/>
        </w:rPr>
        <w:t>Tiene como objetivo reducir el consumo</w:t>
      </w:r>
      <w:r w:rsidRPr="001D52C7">
        <w:rPr>
          <w:rFonts w:asciiTheme="majorHAnsi" w:hAnsiTheme="majorHAnsi" w:cstheme="majorHAnsi"/>
          <w:sz w:val="22"/>
          <w:szCs w:val="22"/>
        </w:rPr>
        <w:t xml:space="preserve"> energético en las agroindustrias, a través de</w:t>
      </w:r>
      <w:r>
        <w:rPr>
          <w:rFonts w:asciiTheme="majorHAnsi" w:hAnsiTheme="majorHAnsi" w:cstheme="majorHAnsi"/>
          <w:sz w:val="22"/>
          <w:szCs w:val="22"/>
        </w:rPr>
        <w:t>l</w:t>
      </w:r>
      <w:r w:rsidRPr="001D52C7">
        <w:rPr>
          <w:rFonts w:asciiTheme="majorHAnsi" w:hAnsiTheme="majorHAnsi" w:cstheme="majorHAnsi"/>
          <w:sz w:val="22"/>
          <w:szCs w:val="22"/>
        </w:rPr>
        <w:t xml:space="preserve"> fortalec</w:t>
      </w:r>
      <w:r>
        <w:rPr>
          <w:rFonts w:asciiTheme="majorHAnsi" w:hAnsiTheme="majorHAnsi" w:cstheme="majorHAnsi"/>
          <w:sz w:val="22"/>
          <w:szCs w:val="22"/>
        </w:rPr>
        <w:t>imiento de</w:t>
      </w:r>
      <w:r w:rsidRPr="001D52C7">
        <w:rPr>
          <w:rFonts w:asciiTheme="majorHAnsi" w:hAnsiTheme="majorHAnsi" w:cstheme="majorHAnsi"/>
          <w:sz w:val="22"/>
          <w:szCs w:val="22"/>
        </w:rPr>
        <w:t xml:space="preserve"> las capacidades en eficiencia energética y aplicar sistemas de gestión de la energía</w:t>
      </w:r>
      <w:r>
        <w:rPr>
          <w:rFonts w:asciiTheme="majorHAnsi" w:hAnsiTheme="majorHAnsi" w:cstheme="majorHAnsi"/>
          <w:sz w:val="22"/>
          <w:szCs w:val="22"/>
        </w:rPr>
        <w:t xml:space="preserve"> </w:t>
      </w:r>
      <w:r w:rsidRPr="001D52C7">
        <w:rPr>
          <w:rFonts w:asciiTheme="majorHAnsi" w:hAnsiTheme="majorHAnsi" w:cstheme="majorHAnsi"/>
          <w:sz w:val="22"/>
          <w:szCs w:val="22"/>
        </w:rPr>
        <w:t>basad</w:t>
      </w:r>
      <w:r>
        <w:rPr>
          <w:rFonts w:asciiTheme="majorHAnsi" w:hAnsiTheme="majorHAnsi" w:cstheme="majorHAnsi"/>
          <w:sz w:val="22"/>
          <w:szCs w:val="22"/>
        </w:rPr>
        <w:t>a</w:t>
      </w:r>
      <w:r w:rsidRPr="001D52C7">
        <w:rPr>
          <w:rFonts w:asciiTheme="majorHAnsi" w:hAnsiTheme="majorHAnsi" w:cstheme="majorHAnsi"/>
          <w:sz w:val="22"/>
          <w:szCs w:val="22"/>
        </w:rPr>
        <w:t xml:space="preserve"> en</w:t>
      </w:r>
      <w:r>
        <w:rPr>
          <w:rFonts w:asciiTheme="majorHAnsi" w:hAnsiTheme="majorHAnsi" w:cstheme="majorHAnsi"/>
          <w:sz w:val="22"/>
          <w:szCs w:val="22"/>
        </w:rPr>
        <w:t xml:space="preserve"> la </w:t>
      </w:r>
      <w:r w:rsidRPr="001D52C7">
        <w:rPr>
          <w:rFonts w:asciiTheme="majorHAnsi" w:hAnsiTheme="majorHAnsi" w:cstheme="majorHAnsi"/>
          <w:sz w:val="22"/>
          <w:szCs w:val="22"/>
        </w:rPr>
        <w:t>ISO 50001</w:t>
      </w:r>
      <w:r>
        <w:rPr>
          <w:rFonts w:asciiTheme="majorHAnsi" w:hAnsiTheme="majorHAnsi" w:cstheme="majorHAnsi"/>
          <w:sz w:val="22"/>
          <w:szCs w:val="22"/>
        </w:rPr>
        <w:t xml:space="preserve"> </w:t>
      </w:r>
      <w:r w:rsidRPr="001D52C7">
        <w:rPr>
          <w:rFonts w:asciiTheme="majorHAnsi" w:hAnsiTheme="majorHAnsi" w:cstheme="majorHAnsi"/>
          <w:sz w:val="22"/>
          <w:szCs w:val="22"/>
        </w:rPr>
        <w:t>en 60 agroindustrias</w:t>
      </w:r>
      <w:r>
        <w:rPr>
          <w:rFonts w:asciiTheme="majorHAnsi" w:hAnsiTheme="majorHAnsi" w:cstheme="majorHAnsi"/>
          <w:sz w:val="22"/>
          <w:szCs w:val="22"/>
        </w:rPr>
        <w:t xml:space="preserve"> que se seleccione. La mejora en el desempeño energético tiene como consecuencia reducir los costos operativos y el impacto medioambiental, aumentando la competitividad en los procesos agroindustriales.</w:t>
      </w:r>
    </w:p>
    <w:p w14:paraId="3B910838" w14:textId="77777777" w:rsidR="00C420E7" w:rsidRPr="001D52C7" w:rsidRDefault="00C420E7" w:rsidP="00C420E7">
      <w:pPr>
        <w:jc w:val="both"/>
        <w:rPr>
          <w:rFonts w:asciiTheme="majorHAnsi" w:hAnsiTheme="majorHAnsi" w:cstheme="majorHAnsi"/>
          <w:sz w:val="22"/>
          <w:szCs w:val="22"/>
        </w:rPr>
      </w:pPr>
    </w:p>
    <w:p w14:paraId="45F51194" w14:textId="77777777" w:rsidR="00C420E7" w:rsidRPr="00D94492" w:rsidRDefault="00C420E7" w:rsidP="00C420E7">
      <w:pPr>
        <w:jc w:val="both"/>
        <w:rPr>
          <w:rFonts w:asciiTheme="majorHAnsi" w:hAnsiTheme="majorHAnsi" w:cstheme="majorHAnsi"/>
          <w:sz w:val="22"/>
          <w:szCs w:val="22"/>
        </w:rPr>
      </w:pPr>
      <w:r w:rsidRPr="002D426D">
        <w:rPr>
          <w:rFonts w:asciiTheme="majorHAnsi" w:hAnsiTheme="majorHAnsi" w:cstheme="majorHAnsi"/>
          <w:sz w:val="22"/>
          <w:szCs w:val="22"/>
        </w:rPr>
        <w:t>Durante el año 2024, se obtuvo el dictamen de prioridad al proyecto de parte de la Secretaría Nacional de Planificación</w:t>
      </w:r>
      <w:r>
        <w:rPr>
          <w:rFonts w:asciiTheme="majorHAnsi" w:hAnsiTheme="majorHAnsi" w:cstheme="majorHAnsi"/>
          <w:sz w:val="22"/>
          <w:szCs w:val="22"/>
        </w:rPr>
        <w:t xml:space="preserve"> y se incluyó en el PAI del MEM en el mes diciembre.</w:t>
      </w:r>
    </w:p>
    <w:p w14:paraId="65B02E4F" w14:textId="1269E331" w:rsidR="00C420E7" w:rsidRPr="00192E54" w:rsidRDefault="00C420E7" w:rsidP="00C420E7">
      <w:pPr>
        <w:pStyle w:val="Ttulo2"/>
        <w:spacing w:before="240" w:after="240"/>
        <w:rPr>
          <w:rFonts w:cstheme="majorHAnsi"/>
          <w:color w:val="auto"/>
          <w:sz w:val="24"/>
          <w:szCs w:val="24"/>
        </w:rPr>
      </w:pPr>
      <w:bookmarkStart w:id="451" w:name="_Toc197355896"/>
      <w:bookmarkStart w:id="452" w:name="_Toc198110363"/>
      <w:bookmarkStart w:id="453" w:name="_Toc199759576"/>
      <w:r w:rsidRPr="00192E54">
        <w:rPr>
          <w:rFonts w:cstheme="majorHAnsi"/>
          <w:sz w:val="24"/>
          <w:szCs w:val="24"/>
        </w:rPr>
        <w:t>Conclusiones</w:t>
      </w:r>
      <w:bookmarkEnd w:id="451"/>
      <w:bookmarkEnd w:id="452"/>
      <w:r w:rsidRPr="00192E54">
        <w:rPr>
          <w:rFonts w:cstheme="majorHAnsi"/>
          <w:sz w:val="24"/>
          <w:szCs w:val="24"/>
        </w:rPr>
        <w:t xml:space="preserve"> </w:t>
      </w:r>
      <w:bookmarkEnd w:id="339"/>
      <w:r w:rsidR="00192E54" w:rsidRPr="00192E54">
        <w:rPr>
          <w:rFonts w:cstheme="majorHAnsi"/>
          <w:sz w:val="24"/>
          <w:szCs w:val="24"/>
        </w:rPr>
        <w:t>Sector Electricidad</w:t>
      </w:r>
      <w:bookmarkEnd w:id="453"/>
    </w:p>
    <w:p w14:paraId="32ED7AD8" w14:textId="77777777" w:rsidR="00C420E7" w:rsidRDefault="00C420E7" w:rsidP="00C420E7">
      <w:pPr>
        <w:numPr>
          <w:ilvl w:val="0"/>
          <w:numId w:val="183"/>
        </w:numPr>
        <w:spacing w:after="17"/>
        <w:jc w:val="both"/>
        <w:rPr>
          <w:rFonts w:asciiTheme="majorHAnsi" w:hAnsiTheme="majorHAnsi"/>
          <w:sz w:val="22"/>
          <w:szCs w:val="22"/>
        </w:rPr>
      </w:pPr>
      <w:r w:rsidRPr="00296324">
        <w:rPr>
          <w:rFonts w:asciiTheme="majorHAnsi" w:hAnsiTheme="majorHAnsi"/>
          <w:sz w:val="22"/>
          <w:szCs w:val="22"/>
        </w:rPr>
        <w:t>La DLPR ha demostrado una alta efectividad en la gestión de trámites</w:t>
      </w:r>
      <w:r w:rsidRPr="00EB4231">
        <w:rPr>
          <w:rFonts w:ascii="Calibri" w:eastAsia="Calibri" w:hAnsi="Calibri" w:cs="Calibri"/>
        </w:rPr>
        <w:t xml:space="preserve"> </w:t>
      </w:r>
      <w:r w:rsidRPr="00296324">
        <w:rPr>
          <w:rFonts w:asciiTheme="majorHAnsi" w:hAnsiTheme="majorHAnsi"/>
          <w:sz w:val="22"/>
          <w:szCs w:val="22"/>
        </w:rPr>
        <w:t xml:space="preserve">relacionados con la seguridad radiológica, alcanzando un 100% de cumplimiento de las metas establecidas. </w:t>
      </w:r>
    </w:p>
    <w:p w14:paraId="5B8E8AC2" w14:textId="77777777" w:rsidR="00C420E7" w:rsidRPr="00736F92" w:rsidRDefault="00C420E7" w:rsidP="00C420E7">
      <w:pPr>
        <w:numPr>
          <w:ilvl w:val="0"/>
          <w:numId w:val="183"/>
        </w:numPr>
        <w:spacing w:after="17"/>
        <w:jc w:val="both"/>
        <w:rPr>
          <w:rFonts w:asciiTheme="majorHAnsi" w:hAnsiTheme="majorHAnsi"/>
          <w:sz w:val="22"/>
          <w:szCs w:val="22"/>
        </w:rPr>
      </w:pPr>
      <w:r w:rsidRPr="00736F92">
        <w:rPr>
          <w:rFonts w:asciiTheme="majorHAnsi" w:hAnsiTheme="majorHAnsi"/>
          <w:sz w:val="22"/>
          <w:szCs w:val="22"/>
        </w:rPr>
        <w:lastRenderedPageBreak/>
        <w:t xml:space="preserve">La implementación de sistemas de control y seguimiento, junto con la automatización integral de los trámites, ha optimizado la gestión de la DLPR, mejorando la calidad del servicio ofrecido a la ciudadanía y al Estado.   </w:t>
      </w:r>
    </w:p>
    <w:p w14:paraId="066E0999" w14:textId="77777777" w:rsidR="00C420E7" w:rsidRPr="00296324" w:rsidRDefault="00C420E7" w:rsidP="00C420E7">
      <w:pPr>
        <w:numPr>
          <w:ilvl w:val="0"/>
          <w:numId w:val="183"/>
        </w:numPr>
        <w:spacing w:after="17"/>
        <w:jc w:val="both"/>
        <w:rPr>
          <w:rFonts w:asciiTheme="majorHAnsi" w:hAnsiTheme="majorHAnsi"/>
          <w:sz w:val="22"/>
          <w:szCs w:val="22"/>
        </w:rPr>
      </w:pPr>
      <w:r w:rsidRPr="00296324">
        <w:rPr>
          <w:rFonts w:asciiTheme="majorHAnsi" w:hAnsiTheme="majorHAnsi"/>
          <w:sz w:val="22"/>
          <w:szCs w:val="22"/>
        </w:rPr>
        <w:t>Mediante la emisión de licencias y autorizaciones, y la realización de inspecciones, la DLPR regula y controla el uso pacífico de las radiaciones ionizantes, asegurando así la seguridad radiológica.</w:t>
      </w:r>
    </w:p>
    <w:p w14:paraId="4672F33F" w14:textId="77777777" w:rsidR="00C420E7" w:rsidRPr="00296324" w:rsidRDefault="00C420E7" w:rsidP="00C420E7">
      <w:pPr>
        <w:numPr>
          <w:ilvl w:val="0"/>
          <w:numId w:val="183"/>
        </w:numPr>
        <w:spacing w:after="17"/>
        <w:jc w:val="both"/>
        <w:rPr>
          <w:rFonts w:asciiTheme="majorHAnsi" w:hAnsiTheme="majorHAnsi"/>
          <w:sz w:val="22"/>
          <w:szCs w:val="22"/>
        </w:rPr>
      </w:pPr>
      <w:r w:rsidRPr="00296324">
        <w:rPr>
          <w:rFonts w:asciiTheme="majorHAnsi" w:hAnsiTheme="majorHAnsi"/>
          <w:sz w:val="22"/>
          <w:szCs w:val="22"/>
        </w:rPr>
        <w:t>La DANCT demuestra una gestión eficaz y orientada al servicio de los usuarios, esto mediante el cumplimiento de los indicadores de gestión, mismo que superan el 100%.</w:t>
      </w:r>
    </w:p>
    <w:p w14:paraId="42EA885C" w14:textId="77777777" w:rsidR="00C420E7" w:rsidRPr="00296324" w:rsidRDefault="00C420E7" w:rsidP="00C420E7">
      <w:pPr>
        <w:numPr>
          <w:ilvl w:val="0"/>
          <w:numId w:val="183"/>
        </w:numPr>
        <w:spacing w:after="17"/>
        <w:jc w:val="both"/>
        <w:rPr>
          <w:rFonts w:asciiTheme="majorHAnsi" w:hAnsiTheme="majorHAnsi"/>
          <w:sz w:val="22"/>
          <w:szCs w:val="22"/>
        </w:rPr>
      </w:pPr>
      <w:r w:rsidRPr="00296324">
        <w:rPr>
          <w:rFonts w:asciiTheme="majorHAnsi" w:hAnsiTheme="majorHAnsi"/>
          <w:sz w:val="22"/>
          <w:szCs w:val="22"/>
        </w:rPr>
        <w:t xml:space="preserve">La cooperación técnica internacional, especialmente con la OIEA, es fundamental para la DANCT, debido a que impulsa la implementación de proyectos en áreas clave como son salud, agricultura, medio ambiente y entre otros. </w:t>
      </w:r>
    </w:p>
    <w:p w14:paraId="3A7E0E69" w14:textId="77777777" w:rsidR="00C420E7" w:rsidRDefault="00C420E7" w:rsidP="00C420E7">
      <w:pPr>
        <w:pStyle w:val="Prrafodelista"/>
        <w:numPr>
          <w:ilvl w:val="0"/>
          <w:numId w:val="183"/>
        </w:numPr>
        <w:jc w:val="both"/>
        <w:rPr>
          <w:rFonts w:asciiTheme="majorHAnsi" w:hAnsiTheme="majorHAnsi"/>
          <w:sz w:val="22"/>
          <w:szCs w:val="22"/>
        </w:rPr>
      </w:pPr>
      <w:r w:rsidRPr="00296324">
        <w:rPr>
          <w:rFonts w:asciiTheme="majorHAnsi" w:hAnsiTheme="majorHAnsi"/>
          <w:sz w:val="22"/>
          <w:szCs w:val="22"/>
        </w:rPr>
        <w:t>La aplicación por parte de la DANCT de técnicas nucleares en servicios como las calibraciones dosimétricas, el análisis de radiactividad y la dosimetría personal, en conjunto con la asesoría técnica a instituciones nacionales e internacionales, contribuyen al desarrollo y fortalecimiento en el ámbito nuclear en el país. Los servicios antes mencionados complementan las funciones de regulación y control de la DLPR, promoviendo un enfoque integral para el uso seguro y efectivo de las radiaciones ionizantes</w:t>
      </w:r>
    </w:p>
    <w:p w14:paraId="10FB9595" w14:textId="77777777" w:rsidR="00C420E7" w:rsidRDefault="00C420E7" w:rsidP="00C420E7">
      <w:pPr>
        <w:pStyle w:val="Prrafodelista"/>
        <w:numPr>
          <w:ilvl w:val="0"/>
          <w:numId w:val="183"/>
        </w:numPr>
        <w:jc w:val="both"/>
        <w:rPr>
          <w:rFonts w:asciiTheme="majorHAnsi" w:hAnsiTheme="majorHAnsi"/>
          <w:sz w:val="22"/>
          <w:szCs w:val="22"/>
        </w:rPr>
      </w:pPr>
      <w:r>
        <w:rPr>
          <w:rFonts w:asciiTheme="majorHAnsi" w:hAnsiTheme="majorHAnsi"/>
          <w:sz w:val="22"/>
          <w:szCs w:val="22"/>
        </w:rPr>
        <w:t>El Plan Maestro de Electricidad 2023-2032, instrumento de planificación para la expansión del sector eléctrico, fue aprobado por el Ministerio de Energía y Minas a través de Acuerdo Ministerial No. MEM-MEM-2024-0017-AM, de 30 de junio de 2024.</w:t>
      </w:r>
    </w:p>
    <w:p w14:paraId="1EA63AE4" w14:textId="77777777" w:rsidR="00C420E7" w:rsidRDefault="00C420E7" w:rsidP="00C420E7">
      <w:pPr>
        <w:pStyle w:val="Prrafodelista"/>
        <w:numPr>
          <w:ilvl w:val="0"/>
          <w:numId w:val="183"/>
        </w:numPr>
        <w:jc w:val="both"/>
        <w:rPr>
          <w:rFonts w:asciiTheme="majorHAnsi" w:hAnsiTheme="majorHAnsi"/>
          <w:sz w:val="22"/>
          <w:szCs w:val="22"/>
        </w:rPr>
      </w:pPr>
      <w:r>
        <w:rPr>
          <w:rFonts w:asciiTheme="majorHAnsi" w:hAnsiTheme="majorHAnsi"/>
          <w:sz w:val="22"/>
          <w:szCs w:val="22"/>
        </w:rPr>
        <w:t>El Balance de Energía Nacional 2023 y Balance de Energía Útil 2021, instrumentos que contienen la información energética desagregada, fueron publicados en la página web del Ministerio de Energía y Minas, en agosto y diciembre de 2024, respectivamente. El factor de emisión de CO2 del Sistema Nacional Interconectado de Ecuador-Informe 2023 fue publicado en agosto de 2024.</w:t>
      </w:r>
    </w:p>
    <w:p w14:paraId="6A2DF46C" w14:textId="77777777" w:rsidR="00C420E7" w:rsidRDefault="00C420E7" w:rsidP="00C420E7">
      <w:pPr>
        <w:pStyle w:val="Prrafodelista"/>
        <w:numPr>
          <w:ilvl w:val="0"/>
          <w:numId w:val="183"/>
        </w:numPr>
        <w:jc w:val="both"/>
        <w:rPr>
          <w:rFonts w:asciiTheme="majorHAnsi" w:hAnsiTheme="majorHAnsi"/>
          <w:sz w:val="22"/>
          <w:szCs w:val="22"/>
        </w:rPr>
      </w:pPr>
      <w:r>
        <w:rPr>
          <w:rFonts w:asciiTheme="majorHAnsi" w:hAnsiTheme="majorHAnsi"/>
          <w:sz w:val="22"/>
          <w:szCs w:val="22"/>
        </w:rPr>
        <w:t>El Consejo Consultivo del Comité Nacional de Eficiencia Energética (CC-CNEE) fue conformado por 9 organizaciones sociales, con el propósito de brindar apoyo en el diseño, seguimiento y fortalecimiento de las políticas de eficiencia energética que proponga el CNEE.</w:t>
      </w:r>
    </w:p>
    <w:p w14:paraId="0006CAE6" w14:textId="77777777" w:rsidR="00C420E7" w:rsidRDefault="00C420E7" w:rsidP="00C420E7">
      <w:pPr>
        <w:pStyle w:val="Prrafodelista"/>
        <w:numPr>
          <w:ilvl w:val="0"/>
          <w:numId w:val="183"/>
        </w:numPr>
        <w:jc w:val="both"/>
        <w:rPr>
          <w:rFonts w:asciiTheme="majorHAnsi" w:hAnsiTheme="majorHAnsi"/>
          <w:sz w:val="22"/>
          <w:szCs w:val="22"/>
        </w:rPr>
      </w:pPr>
      <w:r>
        <w:rPr>
          <w:rFonts w:asciiTheme="majorHAnsi" w:hAnsiTheme="majorHAnsi"/>
          <w:sz w:val="22"/>
          <w:szCs w:val="22"/>
        </w:rPr>
        <w:t>En cumplimiento al reglamento de la Ley Orgánica de Eficiencia Energética, en referencia al levantamiento de información energética de los grandes consumidores de energía, la DAPE coordinó la implementación del servicio “Registro de consumo energético y medidas de eficiencia energética de los Grandes Consumidores de Energía”, a través del GOB.EC.</w:t>
      </w:r>
    </w:p>
    <w:p w14:paraId="1FA2901B" w14:textId="77777777" w:rsidR="00C420E7" w:rsidRDefault="00C420E7" w:rsidP="00C420E7">
      <w:pPr>
        <w:pStyle w:val="Prrafodelista"/>
        <w:numPr>
          <w:ilvl w:val="0"/>
          <w:numId w:val="183"/>
        </w:numPr>
        <w:jc w:val="both"/>
        <w:rPr>
          <w:rFonts w:asciiTheme="majorHAnsi" w:hAnsiTheme="majorHAnsi"/>
          <w:sz w:val="22"/>
          <w:szCs w:val="22"/>
        </w:rPr>
      </w:pPr>
      <w:r>
        <w:rPr>
          <w:rFonts w:asciiTheme="majorHAnsi" w:hAnsiTheme="majorHAnsi"/>
          <w:sz w:val="22"/>
          <w:szCs w:val="22"/>
        </w:rPr>
        <w:t xml:space="preserve">El eje de la eficiencia energética se encuentra comprometida con el fortalecimiento de la eficiencia energética a través de la participación en el desarrollo del listado de equipos de alto consumo energético que deberán ser reglamentados; en la participación en comités técnicos de reglamentación y normativa para impulsar la eficiencia energética; en la participación en la elaboración de la Norma Ecuatoriana de la Construcción de Eficiencia Energética, Energía Renovable y de Climatización; y en el desarrollo del informe de seguimiento del Plan Nacional de Eficiencia Energética. </w:t>
      </w:r>
    </w:p>
    <w:p w14:paraId="3A7F1847" w14:textId="77777777" w:rsidR="00C420E7" w:rsidRPr="00616605" w:rsidRDefault="00C420E7" w:rsidP="00C420E7">
      <w:pPr>
        <w:pStyle w:val="Prrafodelista"/>
        <w:numPr>
          <w:ilvl w:val="0"/>
          <w:numId w:val="183"/>
        </w:numPr>
        <w:jc w:val="both"/>
        <w:rPr>
          <w:rFonts w:asciiTheme="majorHAnsi" w:hAnsiTheme="majorHAnsi" w:cstheme="majorHAnsi"/>
          <w:sz w:val="22"/>
        </w:rPr>
      </w:pPr>
      <w:r w:rsidRPr="00616605">
        <w:rPr>
          <w:rFonts w:asciiTheme="majorHAnsi" w:hAnsiTheme="majorHAnsi" w:cstheme="majorHAnsi"/>
          <w:sz w:val="22"/>
        </w:rPr>
        <w:t>El Operador Nacional de Electricidad CENACE, con fechas 20 y 28 de diciembre de 2024; aprobó el inicio de la etapa de Operación Experimental de las Unidades No. 3 y No. 2 de la Central Alluriquín perteneciente al Complejo Hidroeléctrico Toachi Pilatón. El cumplimiento de estos hitos permite avanzar hacia la entrada en operación comercial de la Central Alluriquín hasta el primer cuatrimestre del 2025.</w:t>
      </w:r>
    </w:p>
    <w:p w14:paraId="38D3334F" w14:textId="77777777" w:rsidR="00C420E7" w:rsidRPr="00C42941" w:rsidRDefault="00C420E7" w:rsidP="00C420E7">
      <w:pPr>
        <w:pStyle w:val="Prrafodelista"/>
        <w:numPr>
          <w:ilvl w:val="0"/>
          <w:numId w:val="183"/>
        </w:numPr>
        <w:jc w:val="both"/>
        <w:rPr>
          <w:rFonts w:asciiTheme="majorHAnsi" w:hAnsiTheme="majorHAnsi"/>
          <w:sz w:val="22"/>
          <w:szCs w:val="22"/>
        </w:rPr>
      </w:pPr>
      <w:r w:rsidRPr="00C42941">
        <w:rPr>
          <w:rFonts w:asciiTheme="majorHAnsi" w:hAnsiTheme="majorHAnsi"/>
          <w:sz w:val="22"/>
          <w:szCs w:val="22"/>
        </w:rPr>
        <w:t xml:space="preserve">Para el año 2024, el Ministerio de Energía y Minas estableció como objetivo incrementar en 514MW la capacidad de generación eléctrica instalada en el país. Sin embargo, al cierre del año solo se alcanzaron 298,9 MW, lo que representa un 58,2% de cumplimiento </w:t>
      </w:r>
      <w:r w:rsidRPr="00C42941">
        <w:rPr>
          <w:rFonts w:asciiTheme="majorHAnsi" w:hAnsiTheme="majorHAnsi"/>
          <w:sz w:val="22"/>
          <w:szCs w:val="22"/>
        </w:rPr>
        <w:lastRenderedPageBreak/>
        <w:t xml:space="preserve">del KPI. El análisis mensual evidencia que el mayor aporte a la nueva generación ocurrió entre septiembre y diciembre. Las dificultades se centraron en: demoras en la legalización de terrenos y franjas de servidumbre, retrasos en la obtención de permisos ambientales y autorizaciones de conexión, ausencia de firmas de contratos de concesión y regulados, dictámenes fiscales desfavorables, como en el caso del proyecto Aroma Santo y reprogramaciones contractuales y falta de ejecución presupuestaria en proyectos emblemáticos como Villonaco III, </w:t>
      </w:r>
      <w:proofErr w:type="spellStart"/>
      <w:r w:rsidRPr="00C42941">
        <w:rPr>
          <w:rFonts w:asciiTheme="majorHAnsi" w:hAnsiTheme="majorHAnsi"/>
          <w:sz w:val="22"/>
          <w:szCs w:val="22"/>
        </w:rPr>
        <w:t>Yanahurcu</w:t>
      </w:r>
      <w:proofErr w:type="spellEnd"/>
      <w:r w:rsidRPr="00C42941">
        <w:rPr>
          <w:rFonts w:asciiTheme="majorHAnsi" w:hAnsiTheme="majorHAnsi"/>
          <w:sz w:val="22"/>
          <w:szCs w:val="22"/>
        </w:rPr>
        <w:t xml:space="preserve">, </w:t>
      </w:r>
      <w:proofErr w:type="spellStart"/>
      <w:r w:rsidRPr="00C42941">
        <w:rPr>
          <w:rFonts w:asciiTheme="majorHAnsi" w:hAnsiTheme="majorHAnsi"/>
          <w:sz w:val="22"/>
          <w:szCs w:val="22"/>
        </w:rPr>
        <w:t>Ambi</w:t>
      </w:r>
      <w:proofErr w:type="spellEnd"/>
      <w:r w:rsidRPr="00C42941">
        <w:rPr>
          <w:rFonts w:asciiTheme="majorHAnsi" w:hAnsiTheme="majorHAnsi"/>
          <w:sz w:val="22"/>
          <w:szCs w:val="22"/>
        </w:rPr>
        <w:t xml:space="preserve"> y </w:t>
      </w:r>
      <w:proofErr w:type="spellStart"/>
      <w:r w:rsidRPr="00C42941">
        <w:rPr>
          <w:rFonts w:asciiTheme="majorHAnsi" w:hAnsiTheme="majorHAnsi"/>
          <w:sz w:val="22"/>
          <w:szCs w:val="22"/>
        </w:rPr>
        <w:t>Conolophus</w:t>
      </w:r>
      <w:proofErr w:type="spellEnd"/>
      <w:r w:rsidRPr="00C42941">
        <w:rPr>
          <w:rFonts w:asciiTheme="majorHAnsi" w:hAnsiTheme="majorHAnsi"/>
          <w:sz w:val="22"/>
          <w:szCs w:val="22"/>
        </w:rPr>
        <w:t>.</w:t>
      </w:r>
    </w:p>
    <w:p w14:paraId="19643D89" w14:textId="77777777" w:rsidR="00C420E7" w:rsidRPr="00C64B00" w:rsidRDefault="00C420E7" w:rsidP="00C420E7">
      <w:pPr>
        <w:pStyle w:val="Prrafodelista"/>
        <w:numPr>
          <w:ilvl w:val="0"/>
          <w:numId w:val="183"/>
        </w:numPr>
        <w:jc w:val="both"/>
        <w:rPr>
          <w:rFonts w:asciiTheme="majorHAnsi" w:hAnsiTheme="majorHAnsi"/>
          <w:sz w:val="22"/>
          <w:szCs w:val="22"/>
        </w:rPr>
      </w:pPr>
      <w:r w:rsidRPr="00C64B00">
        <w:rPr>
          <w:rFonts w:asciiTheme="majorHAnsi" w:hAnsiTheme="majorHAnsi"/>
          <w:sz w:val="22"/>
          <w:szCs w:val="22"/>
        </w:rPr>
        <w:t xml:space="preserve">La generación hidroeléctrica predominó (73%), pero evidenció la vulnerabilidad del sistema ante eventos hidrológicos, resaltando la necesidad de diversificar la matriz energética. </w:t>
      </w:r>
    </w:p>
    <w:p w14:paraId="35997076" w14:textId="77777777" w:rsidR="00C420E7" w:rsidRPr="007D28DC" w:rsidRDefault="00C420E7" w:rsidP="00C420E7">
      <w:pPr>
        <w:pStyle w:val="Prrafodelista"/>
        <w:numPr>
          <w:ilvl w:val="0"/>
          <w:numId w:val="183"/>
        </w:numPr>
        <w:jc w:val="both"/>
        <w:rPr>
          <w:rFonts w:asciiTheme="majorHAnsi" w:hAnsiTheme="majorHAnsi"/>
          <w:sz w:val="22"/>
          <w:szCs w:val="22"/>
        </w:rPr>
      </w:pPr>
      <w:r w:rsidRPr="007D28DC">
        <w:rPr>
          <w:rFonts w:asciiTheme="majorHAnsi" w:hAnsiTheme="majorHAnsi"/>
          <w:sz w:val="22"/>
          <w:szCs w:val="22"/>
        </w:rPr>
        <w:t xml:space="preserve">A pesar de esfuerzos en la recuperación de unidades térmicas críticas, la baja ejecución presupuestaria en mantenimientos mayores (52.60%) genera preocupación por la confiabilidad a mediano y largo plazo. </w:t>
      </w:r>
    </w:p>
    <w:p w14:paraId="5A7C217A" w14:textId="77777777" w:rsidR="00C420E7" w:rsidRPr="007D28DC" w:rsidRDefault="00C420E7" w:rsidP="00C420E7">
      <w:pPr>
        <w:pStyle w:val="Prrafodelista"/>
        <w:numPr>
          <w:ilvl w:val="0"/>
          <w:numId w:val="183"/>
        </w:numPr>
        <w:jc w:val="both"/>
        <w:rPr>
          <w:rFonts w:asciiTheme="majorHAnsi" w:hAnsiTheme="majorHAnsi"/>
          <w:sz w:val="22"/>
          <w:szCs w:val="22"/>
        </w:rPr>
      </w:pPr>
      <w:r w:rsidRPr="007D28DC">
        <w:rPr>
          <w:rFonts w:asciiTheme="majorHAnsi" w:hAnsiTheme="majorHAnsi"/>
          <w:sz w:val="22"/>
          <w:szCs w:val="22"/>
        </w:rPr>
        <w:t xml:space="preserve">La situación financiera de CELEC EP es crítica, con una significativa brecha entre facturación y recaudación y un aumento considerable de la cartera vencida. </w:t>
      </w:r>
    </w:p>
    <w:p w14:paraId="671D3184" w14:textId="77777777" w:rsidR="00C420E7" w:rsidRPr="007D28DC" w:rsidRDefault="00C420E7" w:rsidP="00C420E7">
      <w:pPr>
        <w:pStyle w:val="Prrafodelista"/>
        <w:numPr>
          <w:ilvl w:val="0"/>
          <w:numId w:val="183"/>
        </w:numPr>
        <w:jc w:val="both"/>
        <w:rPr>
          <w:rFonts w:asciiTheme="majorHAnsi" w:hAnsiTheme="majorHAnsi"/>
          <w:sz w:val="22"/>
          <w:szCs w:val="22"/>
        </w:rPr>
      </w:pPr>
      <w:r w:rsidRPr="007D28DC">
        <w:rPr>
          <w:rFonts w:asciiTheme="majorHAnsi" w:hAnsiTheme="majorHAnsi"/>
          <w:sz w:val="22"/>
          <w:szCs w:val="22"/>
        </w:rPr>
        <w:t xml:space="preserve">Las elevadas penalizaciones por la indisponibilidad de centrales térmicas (USD 85.22 millones, 91.6% en térmicas) señalan la urgencia de mejorar su eficiencia. </w:t>
      </w:r>
    </w:p>
    <w:p w14:paraId="660179E1" w14:textId="77777777" w:rsidR="00C420E7" w:rsidRDefault="00C420E7" w:rsidP="00C420E7">
      <w:pPr>
        <w:pStyle w:val="Prrafodelista"/>
        <w:numPr>
          <w:ilvl w:val="0"/>
          <w:numId w:val="183"/>
        </w:numPr>
        <w:jc w:val="both"/>
        <w:rPr>
          <w:rFonts w:asciiTheme="majorHAnsi" w:hAnsiTheme="majorHAnsi"/>
          <w:sz w:val="22"/>
          <w:szCs w:val="22"/>
        </w:rPr>
      </w:pPr>
      <w:r w:rsidRPr="007D28DC">
        <w:rPr>
          <w:rFonts w:asciiTheme="majorHAnsi" w:hAnsiTheme="majorHAnsi"/>
          <w:sz w:val="22"/>
          <w:szCs w:val="22"/>
        </w:rPr>
        <w:t>El sector eléctrico enfrenta problemas de liquidez, lo que requiere la gestión de convenios de pago y la actualización de estudios de costos.</w:t>
      </w:r>
    </w:p>
    <w:p w14:paraId="61ADA047" w14:textId="77777777" w:rsidR="00C420E7" w:rsidRPr="00836B11" w:rsidRDefault="00C420E7" w:rsidP="00C420E7">
      <w:pPr>
        <w:pStyle w:val="Prrafodelista"/>
        <w:numPr>
          <w:ilvl w:val="0"/>
          <w:numId w:val="183"/>
        </w:numPr>
        <w:spacing w:before="100" w:beforeAutospacing="1" w:after="100" w:afterAutospacing="1"/>
        <w:jc w:val="both"/>
        <w:rPr>
          <w:rFonts w:asciiTheme="majorHAnsi" w:hAnsiTheme="majorHAnsi" w:cstheme="majorHAnsi"/>
          <w:sz w:val="22"/>
          <w:szCs w:val="22"/>
        </w:rPr>
      </w:pPr>
      <w:r w:rsidRPr="002B0B24">
        <w:rPr>
          <w:rFonts w:asciiTheme="majorHAnsi" w:hAnsiTheme="majorHAnsi" w:cstheme="majorHAnsi"/>
          <w:sz w:val="22"/>
          <w:szCs w:val="22"/>
        </w:rPr>
        <w:t>CELEC EP</w:t>
      </w:r>
      <w:r w:rsidRPr="002B0B24">
        <w:rPr>
          <w:rFonts w:asciiTheme="majorHAnsi" w:hAnsiTheme="majorHAnsi" w:cstheme="majorHAnsi"/>
          <w:sz w:val="22"/>
          <w:szCs w:val="22"/>
        </w:rPr>
        <w:fldChar w:fldCharType="begin"/>
      </w:r>
      <w:r w:rsidRPr="002B0B24">
        <w:rPr>
          <w:rFonts w:asciiTheme="majorHAnsi" w:hAnsiTheme="majorHAnsi" w:cstheme="majorHAnsi"/>
          <w:sz w:val="22"/>
          <w:szCs w:val="22"/>
        </w:rPr>
        <w:instrText xml:space="preserve"> XE "CELEC EP" </w:instrText>
      </w:r>
      <w:r w:rsidRPr="002B0B24">
        <w:rPr>
          <w:rFonts w:asciiTheme="majorHAnsi" w:hAnsiTheme="majorHAnsi" w:cstheme="majorHAnsi"/>
          <w:sz w:val="22"/>
          <w:szCs w:val="22"/>
        </w:rPr>
        <w:fldChar w:fldCharType="end"/>
      </w:r>
      <w:r w:rsidRPr="002B0B24">
        <w:rPr>
          <w:rFonts w:asciiTheme="majorHAnsi" w:hAnsiTheme="majorHAnsi" w:cstheme="majorHAnsi"/>
          <w:sz w:val="22"/>
          <w:szCs w:val="22"/>
        </w:rPr>
        <w:t xml:space="preserve"> durante el año 2024, ha entregado al sistema eléctrico una energía neta total de 25.135</w:t>
      </w:r>
      <w:r w:rsidRPr="002B0B24">
        <w:rPr>
          <w:rFonts w:asciiTheme="majorHAnsi" w:hAnsiTheme="majorHAnsi" w:cstheme="majorHAnsi"/>
          <w:sz w:val="22"/>
          <w:szCs w:val="22"/>
        </w:rPr>
        <w:t>‬</w:t>
      </w:r>
      <w:r w:rsidRPr="002B0B24">
        <w:rPr>
          <w:rFonts w:asciiTheme="majorHAnsi" w:hAnsiTheme="majorHAnsi" w:cstheme="majorHAnsi"/>
          <w:sz w:val="22"/>
          <w:szCs w:val="22"/>
        </w:rPr>
        <w:t>‬ GWh</w:t>
      </w:r>
      <w:r w:rsidRPr="002B0B24">
        <w:rPr>
          <w:rFonts w:asciiTheme="majorHAnsi" w:hAnsiTheme="majorHAnsi" w:cstheme="majorHAnsi"/>
          <w:sz w:val="22"/>
          <w:szCs w:val="22"/>
        </w:rPr>
        <w:fldChar w:fldCharType="begin"/>
      </w:r>
      <w:r w:rsidRPr="002B0B24">
        <w:rPr>
          <w:rFonts w:asciiTheme="majorHAnsi" w:hAnsiTheme="majorHAnsi" w:cstheme="majorHAnsi"/>
          <w:sz w:val="22"/>
          <w:szCs w:val="22"/>
        </w:rPr>
        <w:instrText xml:space="preserve"> XE "GWh:Gigavatio durante una hora" </w:instrText>
      </w:r>
      <w:r w:rsidRPr="002B0B24">
        <w:rPr>
          <w:rFonts w:asciiTheme="majorHAnsi" w:hAnsiTheme="majorHAnsi" w:cstheme="majorHAnsi"/>
          <w:sz w:val="22"/>
          <w:szCs w:val="22"/>
        </w:rPr>
        <w:fldChar w:fldCharType="end"/>
      </w:r>
      <w:r w:rsidRPr="002B0B24">
        <w:rPr>
          <w:rFonts w:asciiTheme="majorHAnsi" w:hAnsiTheme="majorHAnsi" w:cstheme="majorHAnsi"/>
          <w:sz w:val="22"/>
          <w:szCs w:val="22"/>
        </w:rPr>
        <w:fldChar w:fldCharType="begin"/>
      </w:r>
      <w:r w:rsidRPr="002B0B24">
        <w:rPr>
          <w:rFonts w:asciiTheme="majorHAnsi" w:hAnsiTheme="majorHAnsi" w:cstheme="majorHAnsi"/>
          <w:sz w:val="22"/>
          <w:szCs w:val="22"/>
        </w:rPr>
        <w:instrText xml:space="preserve"> XE "GWh" </w:instrText>
      </w:r>
      <w:r w:rsidRPr="002B0B24">
        <w:rPr>
          <w:rFonts w:asciiTheme="majorHAnsi" w:hAnsiTheme="majorHAnsi" w:cstheme="majorHAnsi"/>
          <w:sz w:val="22"/>
          <w:szCs w:val="22"/>
        </w:rPr>
        <w:fldChar w:fldCharType="end"/>
      </w:r>
      <w:r w:rsidRPr="002B0B24">
        <w:rPr>
          <w:rFonts w:asciiTheme="majorHAnsi" w:hAnsiTheme="majorHAnsi" w:cstheme="majorHAnsi"/>
          <w:sz w:val="22"/>
          <w:szCs w:val="22"/>
        </w:rPr>
        <w:t>, proveniente principalmente de fuentes renovables, de los cuales 18.889 GWh correspondieron a generación hidráulica en las centrales de esta tecnología y 71 GWh a generación eólica de la Central Villonaco. Por otro lado, la generación térmica alcanzó 6.176 GWh en el mismo periodo, destacando el importante aporte total de CELEC EP del 81,45% de la energía neta suministrada al Sistema Nacional Interconectado.</w:t>
      </w:r>
    </w:p>
    <w:p w14:paraId="5CEAA114" w14:textId="77777777" w:rsidR="00C420E7" w:rsidRPr="007D28DC" w:rsidRDefault="00C420E7" w:rsidP="00C420E7">
      <w:pPr>
        <w:pStyle w:val="Prrafodelista"/>
        <w:numPr>
          <w:ilvl w:val="0"/>
          <w:numId w:val="183"/>
        </w:numPr>
        <w:jc w:val="both"/>
        <w:rPr>
          <w:rFonts w:asciiTheme="majorHAnsi" w:hAnsiTheme="majorHAnsi"/>
          <w:color w:val="FF0000"/>
          <w:sz w:val="22"/>
          <w:szCs w:val="22"/>
        </w:rPr>
      </w:pPr>
      <w:r w:rsidRPr="007D28DC">
        <w:rPr>
          <w:rFonts w:asciiTheme="majorHAnsi" w:hAnsiTheme="majorHAnsi"/>
          <w:sz w:val="22"/>
          <w:szCs w:val="22"/>
        </w:rPr>
        <w:t xml:space="preserve">En cumplimiento a lo establecido en el primer párrafo de la disposición transitoria de la Ley Orgánica de Competitividad Energética - LOCE, la recaudación nacional alcanzó un total de USD 42.756.942,27, beneficiando a más de un millón de usuarios del sector eléctrico, gracias a la reducción de intereses por USD 861.787,01. </w:t>
      </w:r>
    </w:p>
    <w:p w14:paraId="30325B93" w14:textId="77777777" w:rsidR="00C420E7" w:rsidRPr="00523DCE" w:rsidRDefault="00C420E7" w:rsidP="00C420E7">
      <w:pPr>
        <w:pStyle w:val="Prrafodelista"/>
        <w:numPr>
          <w:ilvl w:val="0"/>
          <w:numId w:val="183"/>
        </w:numPr>
        <w:jc w:val="both"/>
        <w:rPr>
          <w:rFonts w:asciiTheme="majorHAnsi" w:hAnsiTheme="majorHAnsi"/>
          <w:color w:val="FF0000"/>
          <w:sz w:val="22"/>
          <w:szCs w:val="22"/>
        </w:rPr>
      </w:pPr>
      <w:r w:rsidRPr="007D28DC">
        <w:rPr>
          <w:rFonts w:asciiTheme="majorHAnsi" w:hAnsiTheme="majorHAnsi"/>
          <w:sz w:val="22"/>
          <w:szCs w:val="22"/>
        </w:rPr>
        <w:t xml:space="preserve">Se ha solicitado la inclusión en el Presupuesto General del Estado de una asignación de USD 77.768.224,92 para cubrir las compensaciones del Decreto Ejecutivo Nro. 442 correspondientes a noviembre y diciembre de 2024. Además, se está gestionando una asignación de USD 97.165.966,84 para las compensaciones de enero y febrero de 2025, lo que implica un requerimiento total aproximado de USD 174.934.191,76. </w:t>
      </w:r>
    </w:p>
    <w:p w14:paraId="16EFF20B" w14:textId="77777777" w:rsidR="00C420E7" w:rsidRDefault="00C420E7" w:rsidP="00C420E7">
      <w:pPr>
        <w:pStyle w:val="Prrafodelista"/>
        <w:numPr>
          <w:ilvl w:val="0"/>
          <w:numId w:val="183"/>
        </w:numPr>
        <w:jc w:val="both"/>
        <w:rPr>
          <w:rFonts w:asciiTheme="majorHAnsi" w:hAnsiTheme="majorHAnsi"/>
          <w:color w:val="FF0000"/>
          <w:sz w:val="22"/>
          <w:szCs w:val="22"/>
        </w:rPr>
      </w:pPr>
      <w:r w:rsidRPr="007D28DC">
        <w:rPr>
          <w:rFonts w:asciiTheme="majorHAnsi" w:hAnsiTheme="majorHAnsi"/>
          <w:sz w:val="22"/>
          <w:szCs w:val="22"/>
        </w:rPr>
        <w:t>Las Empresas Eléctricas de Distribución para el año 2024 contaron con un Presupuesto total de Operación de USD 2.247 millones. De ese monto, lograron ejecutar USD 2.069 millones, lo que representa aproximadamente el 92,09% del presupuesto asignado. Además, las empresas distribuidoras comprometieron un total de USD 2.331 millones, alcanzando el 103,73% del presupuesto, debido a que la compra de energía superó las estimaciones iniciales para ese año.</w:t>
      </w:r>
      <w:r w:rsidRPr="007D28DC">
        <w:rPr>
          <w:rFonts w:asciiTheme="majorHAnsi" w:hAnsiTheme="majorHAnsi"/>
          <w:color w:val="FF0000"/>
          <w:sz w:val="22"/>
          <w:szCs w:val="22"/>
        </w:rPr>
        <w:t xml:space="preserve"> </w:t>
      </w:r>
    </w:p>
    <w:p w14:paraId="0E254918" w14:textId="77777777" w:rsidR="00C420E7" w:rsidRPr="007D28DC" w:rsidRDefault="00C420E7" w:rsidP="00C420E7">
      <w:pPr>
        <w:pStyle w:val="Prrafodelista"/>
        <w:numPr>
          <w:ilvl w:val="0"/>
          <w:numId w:val="183"/>
        </w:numPr>
        <w:jc w:val="both"/>
        <w:rPr>
          <w:rFonts w:asciiTheme="majorHAnsi" w:hAnsiTheme="majorHAnsi"/>
          <w:color w:val="FF0000"/>
          <w:sz w:val="22"/>
          <w:szCs w:val="22"/>
        </w:rPr>
      </w:pPr>
      <w:r w:rsidRPr="007D28DC">
        <w:rPr>
          <w:rFonts w:asciiTheme="majorHAnsi" w:hAnsiTheme="majorHAnsi"/>
          <w:sz w:val="22"/>
          <w:szCs w:val="22"/>
        </w:rPr>
        <w:t>El presupuesto total de inversión asignado a nivel nacional para el área de distribución es de USD 712 millones, incluyendo tanto la inversión para el ejercicio fiscal 2024 como la inversión de arrastre de años anteriores. Durante el año 2024, las distribuidoras ejecutaron USD 275,9 millones, lo que representa el 38,76%. Además, han comprometió un valor de USD 388,2 millones, equivalente al 54,67%.</w:t>
      </w:r>
    </w:p>
    <w:p w14:paraId="4771E0EE" w14:textId="77777777" w:rsidR="00C420E7" w:rsidRPr="007D28DC" w:rsidRDefault="00C420E7" w:rsidP="00C420E7">
      <w:pPr>
        <w:pStyle w:val="Prrafodelista"/>
        <w:numPr>
          <w:ilvl w:val="0"/>
          <w:numId w:val="183"/>
        </w:numPr>
        <w:jc w:val="both"/>
        <w:rPr>
          <w:rFonts w:asciiTheme="majorHAnsi" w:hAnsiTheme="majorHAnsi"/>
          <w:color w:val="FF0000"/>
          <w:sz w:val="22"/>
          <w:szCs w:val="22"/>
        </w:rPr>
      </w:pPr>
      <w:r w:rsidRPr="007D28DC">
        <w:rPr>
          <w:rFonts w:asciiTheme="majorHAnsi" w:hAnsiTheme="majorHAnsi"/>
          <w:sz w:val="22"/>
          <w:szCs w:val="22"/>
        </w:rPr>
        <w:t xml:space="preserve">Tras el proceso de extinción de cuentas entre las Empresas del Sector Eléctrico, EP Petroecuador y el MEF, el monto a ser compensado ascendió a USD 177.990.660,25. Este valor se determinó en base a los montos adeudados a Petroecuador. </w:t>
      </w:r>
    </w:p>
    <w:p w14:paraId="76CEE1AD" w14:textId="77777777" w:rsidR="00C420E7" w:rsidRPr="007D28DC" w:rsidRDefault="00C420E7" w:rsidP="00C420E7">
      <w:pPr>
        <w:pStyle w:val="Prrafodelista"/>
        <w:numPr>
          <w:ilvl w:val="0"/>
          <w:numId w:val="183"/>
        </w:numPr>
        <w:jc w:val="both"/>
        <w:rPr>
          <w:rFonts w:asciiTheme="majorHAnsi" w:hAnsiTheme="majorHAnsi"/>
          <w:color w:val="FF0000"/>
          <w:sz w:val="22"/>
          <w:szCs w:val="22"/>
        </w:rPr>
      </w:pPr>
      <w:r w:rsidRPr="007D28DC">
        <w:rPr>
          <w:rFonts w:asciiTheme="majorHAnsi" w:hAnsiTheme="majorHAnsi"/>
          <w:sz w:val="22"/>
          <w:szCs w:val="22"/>
        </w:rPr>
        <w:t xml:space="preserve">Se ha evidenciado una gestión eficaz y coordinada en la implementación y supervisión de proyectos relacionados con la subtransmisión, distribución y alumbrado público, alcanzando una inversión que supera los 236 millones de dólares gestionados con </w:t>
      </w:r>
      <w:r w:rsidRPr="007D28DC">
        <w:rPr>
          <w:rFonts w:asciiTheme="majorHAnsi" w:hAnsiTheme="majorHAnsi"/>
          <w:sz w:val="22"/>
          <w:szCs w:val="22"/>
        </w:rPr>
        <w:lastRenderedPageBreak/>
        <w:t xml:space="preserve">recursos vía tarifa y a través de créditos con multilaterales, beneficiando a más de 10 millones de ciudadanos ecuatorianos. </w:t>
      </w:r>
    </w:p>
    <w:p w14:paraId="79B4942B" w14:textId="77777777" w:rsidR="00C420E7" w:rsidRPr="007D28DC" w:rsidRDefault="00C420E7" w:rsidP="00C420E7">
      <w:pPr>
        <w:pStyle w:val="Prrafodelista"/>
        <w:numPr>
          <w:ilvl w:val="0"/>
          <w:numId w:val="183"/>
        </w:numPr>
        <w:jc w:val="both"/>
        <w:rPr>
          <w:rFonts w:asciiTheme="majorHAnsi" w:hAnsiTheme="majorHAnsi"/>
          <w:color w:val="FF0000"/>
          <w:sz w:val="22"/>
          <w:szCs w:val="22"/>
        </w:rPr>
      </w:pPr>
      <w:r w:rsidRPr="007D28DC">
        <w:rPr>
          <w:rFonts w:asciiTheme="majorHAnsi" w:hAnsiTheme="majorHAnsi"/>
          <w:sz w:val="22"/>
          <w:szCs w:val="22"/>
        </w:rPr>
        <w:t xml:space="preserve">Durante el período de estiaje debido a un periodo atípico de sequía que perjudico las principales cuencas hidroeléctricas del país, provocando la emergencia del sector eléctrico, de esta forma se coordinó de manera oportuna la programación de racionamientos eléctricos, a fin de garantizar la estabilidad del Sistema Nacional Interconectado Ecuatoriano en colaboración con CENACE y las </w:t>
      </w:r>
      <w:proofErr w:type="spellStart"/>
      <w:r w:rsidRPr="007D28DC">
        <w:rPr>
          <w:rFonts w:asciiTheme="majorHAnsi" w:hAnsiTheme="majorHAnsi"/>
          <w:sz w:val="22"/>
          <w:szCs w:val="22"/>
        </w:rPr>
        <w:t>EEDs</w:t>
      </w:r>
      <w:proofErr w:type="spellEnd"/>
      <w:r w:rsidRPr="007D28DC">
        <w:rPr>
          <w:rFonts w:asciiTheme="majorHAnsi" w:hAnsiTheme="majorHAnsi"/>
          <w:sz w:val="22"/>
          <w:szCs w:val="22"/>
        </w:rPr>
        <w:t xml:space="preserve">, alcanzando un cumplimiento del 99,7 % y asegurando una comunicación efectiva con la población. </w:t>
      </w:r>
    </w:p>
    <w:p w14:paraId="1FA52C3C" w14:textId="77777777" w:rsidR="00C420E7" w:rsidRPr="007D28DC" w:rsidRDefault="00C420E7" w:rsidP="00C420E7">
      <w:pPr>
        <w:pStyle w:val="Prrafodelista"/>
        <w:numPr>
          <w:ilvl w:val="0"/>
          <w:numId w:val="183"/>
        </w:numPr>
        <w:jc w:val="both"/>
        <w:rPr>
          <w:rFonts w:asciiTheme="majorHAnsi" w:hAnsiTheme="majorHAnsi"/>
          <w:color w:val="FF0000"/>
          <w:sz w:val="22"/>
          <w:szCs w:val="22"/>
        </w:rPr>
      </w:pPr>
      <w:r w:rsidRPr="007D28DC">
        <w:rPr>
          <w:rFonts w:asciiTheme="majorHAnsi" w:hAnsiTheme="majorHAnsi"/>
          <w:sz w:val="22"/>
          <w:szCs w:val="22"/>
        </w:rPr>
        <w:t>Dentro del mismo contexto, como parte de la gestión de la demanda se realizó la coordinación con el sector industrial para reducir su demanda de alrededor del 40%, de esta forma, en el periodo comprendido del 20 al 31 de diciembre se coordinada con 154 industriales, logrando una reducción de 318 MW.</w:t>
      </w:r>
    </w:p>
    <w:p w14:paraId="1E9EC1F5" w14:textId="77777777" w:rsidR="00C420E7" w:rsidRPr="007D28DC" w:rsidRDefault="00C420E7" w:rsidP="00C420E7">
      <w:pPr>
        <w:pStyle w:val="Prrafodelista"/>
        <w:numPr>
          <w:ilvl w:val="0"/>
          <w:numId w:val="183"/>
        </w:numPr>
        <w:jc w:val="both"/>
        <w:rPr>
          <w:rFonts w:asciiTheme="majorHAnsi" w:hAnsiTheme="majorHAnsi"/>
          <w:color w:val="FF0000"/>
          <w:sz w:val="22"/>
          <w:szCs w:val="22"/>
        </w:rPr>
      </w:pPr>
      <w:r w:rsidRPr="007D28DC">
        <w:rPr>
          <w:rFonts w:asciiTheme="majorHAnsi" w:hAnsiTheme="majorHAnsi"/>
          <w:sz w:val="22"/>
          <w:szCs w:val="22"/>
        </w:rPr>
        <w:t>Se han establecido las bases para una gestión de riesgos robusta en el sector eléctrico de distribución mediante la creación de la Coordinación Nacional de Gestión de Riesgos y la validación de instrumentos técnicos, preparados para enfrentar eventos como el fenómeno El Niño. Por último, la implementación de las regulaciones técnicas (ARCONEL 003/24 y 005/24) ha fortalecido el marco normativo para la operación de grupos electrógenos de emergencia y la generación distribuida, promoviendo una mayor adaptabilidad ante déficits de generación y fomentando la participación activa de los usuarios.</w:t>
      </w:r>
    </w:p>
    <w:p w14:paraId="32F4229C" w14:textId="33033FAC" w:rsidR="00415726" w:rsidRPr="008C1613" w:rsidRDefault="00C420E7" w:rsidP="00C420E7">
      <w:pPr>
        <w:pStyle w:val="Prrafodelista"/>
        <w:numPr>
          <w:ilvl w:val="0"/>
          <w:numId w:val="183"/>
        </w:numPr>
        <w:jc w:val="both"/>
        <w:rPr>
          <w:rFonts w:asciiTheme="majorHAnsi" w:hAnsiTheme="majorHAnsi"/>
          <w:color w:val="FF0000"/>
          <w:sz w:val="22"/>
          <w:szCs w:val="22"/>
        </w:rPr>
      </w:pPr>
      <w:r w:rsidRPr="007D28DC">
        <w:rPr>
          <w:rFonts w:asciiTheme="majorHAnsi" w:hAnsiTheme="majorHAnsi"/>
          <w:sz w:val="22"/>
          <w:szCs w:val="22"/>
        </w:rPr>
        <w:t>Durante el año 2024, Ecuador logró avances sustanciales en materia de eficiencia energética mediante el fortalecimiento institucional, la capacitación de más de 13.800 personas, y el desarrollo de estrategias normativas, operativas y financieras clave, como la propuesta del Fondo Nacional de Inversión en Eficiencia Energética (FNIEE), prevista para concluir en el año 2025. Se consolidaron hojas de ruta para movilidad eléctrica y procesos de chatarrización para los vehículos que salen de circulación, además de promover el aprovechamiento energético de residuos. Uno de los hitos más relevantes fue la instalación de 82.938 luminarias LED a nivel nacional, lo que permitió un ahorro energético estimado de 18,92 GWh anuales, alineándose con los objetivos de eficiencia energética del país.</w:t>
      </w:r>
    </w:p>
    <w:p w14:paraId="2061D316" w14:textId="338F135B" w:rsidR="00C06F03" w:rsidRDefault="00192E54" w:rsidP="00190089">
      <w:pPr>
        <w:pStyle w:val="Ttulo1"/>
        <w:rPr>
          <w:sz w:val="24"/>
          <w:szCs w:val="24"/>
        </w:rPr>
      </w:pPr>
      <w:bookmarkStart w:id="454" w:name="_Toc196485201"/>
      <w:bookmarkStart w:id="455" w:name="_Toc199759577"/>
      <w:r w:rsidRPr="00190089">
        <w:rPr>
          <w:sz w:val="24"/>
          <w:szCs w:val="24"/>
        </w:rPr>
        <w:t>Transparencia y Control</w:t>
      </w:r>
      <w:bookmarkEnd w:id="454"/>
      <w:bookmarkEnd w:id="455"/>
    </w:p>
    <w:p w14:paraId="12E66344" w14:textId="77777777" w:rsidR="00190089" w:rsidRPr="00190089" w:rsidRDefault="00190089" w:rsidP="00190089"/>
    <w:p w14:paraId="63EBBD65" w14:textId="2B7AD154" w:rsidR="00C06F03" w:rsidRPr="00190089" w:rsidRDefault="00192E54" w:rsidP="00190089">
      <w:pPr>
        <w:pStyle w:val="Ttulo2"/>
        <w:rPr>
          <w:sz w:val="24"/>
          <w:szCs w:val="24"/>
        </w:rPr>
      </w:pPr>
      <w:bookmarkStart w:id="456" w:name="_Toc196485202"/>
      <w:bookmarkStart w:id="457" w:name="_Toc199759578"/>
      <w:r w:rsidRPr="00190089">
        <w:rPr>
          <w:sz w:val="24"/>
          <w:szCs w:val="24"/>
        </w:rPr>
        <w:t>Acceso a la Información Pública Ciudadana.</w:t>
      </w:r>
      <w:bookmarkEnd w:id="456"/>
      <w:bookmarkEnd w:id="457"/>
    </w:p>
    <w:p w14:paraId="21BD4664" w14:textId="77777777" w:rsidR="00190089" w:rsidRPr="00190089" w:rsidRDefault="00190089" w:rsidP="00190089"/>
    <w:p w14:paraId="65CDB3B1" w14:textId="16AC1974" w:rsidR="00C06F03" w:rsidRDefault="002C72B0" w:rsidP="00201D11">
      <w:pPr>
        <w:jc w:val="both"/>
        <w:rPr>
          <w:rFonts w:asciiTheme="majorHAnsi" w:hAnsiTheme="majorHAnsi" w:cstheme="majorHAnsi"/>
          <w:sz w:val="20"/>
          <w:szCs w:val="20"/>
        </w:rPr>
      </w:pPr>
      <w:r w:rsidRPr="003A269C">
        <w:rPr>
          <w:rFonts w:asciiTheme="majorHAnsi" w:hAnsiTheme="majorHAnsi" w:cstheme="majorHAnsi"/>
          <w:sz w:val="20"/>
          <w:szCs w:val="20"/>
        </w:rPr>
        <w:t>La Ley de Transparencia (LOTAIP) garantiza el acceso a información pública para que la ciudadanía supervise y exija rendición de cuentas a las instituciones estatales. La Defensoría del Pueblo (DPE) es la encargada de definir los formatos para registrar esta información, que el Ministerio de Energía y Minas gestiona en sus áreas. Según la nueva LOTAIP, el Ministerio ha actualizado y cargado los documentos requeridos por la DPE en su portal web, que es responsabilidad de esta Dirección, tras crear un comité de transparencia interno. La información ya está disponible en el sistema nacional de la Defensoría y 12 informes se entregó mensualmente, cumpliendo con los plazos legales y las directrices establecidas en un 100%.</w:t>
      </w:r>
    </w:p>
    <w:p w14:paraId="6359467D" w14:textId="77777777" w:rsidR="00CA1FC5" w:rsidRPr="00201D11" w:rsidRDefault="00CA1FC5" w:rsidP="00201D11">
      <w:pPr>
        <w:jc w:val="both"/>
        <w:rPr>
          <w:rFonts w:asciiTheme="majorHAnsi" w:hAnsiTheme="majorHAnsi" w:cstheme="majorHAnsi"/>
          <w:sz w:val="20"/>
          <w:szCs w:val="20"/>
        </w:rPr>
      </w:pPr>
    </w:p>
    <w:p w14:paraId="3AF2ED94" w14:textId="3A992F3A" w:rsidR="00C06F03" w:rsidRPr="00190089" w:rsidRDefault="00192E54" w:rsidP="00190089">
      <w:pPr>
        <w:pStyle w:val="Ttulo2"/>
        <w:rPr>
          <w:sz w:val="24"/>
          <w:szCs w:val="24"/>
        </w:rPr>
      </w:pPr>
      <w:bookmarkStart w:id="458" w:name="_Toc196485203"/>
      <w:bookmarkStart w:id="459" w:name="_Toc199759579"/>
      <w:r w:rsidRPr="00190089">
        <w:rPr>
          <w:sz w:val="24"/>
          <w:szCs w:val="24"/>
        </w:rPr>
        <w:t>Mecanismos de Participación Ciudadana.</w:t>
      </w:r>
      <w:bookmarkEnd w:id="458"/>
      <w:bookmarkEnd w:id="459"/>
    </w:p>
    <w:p w14:paraId="7B953561" w14:textId="43E7CD48" w:rsidR="002C72B0" w:rsidRPr="00192E54" w:rsidRDefault="00192E54" w:rsidP="00192E54">
      <w:pPr>
        <w:pStyle w:val="Ttulo2"/>
        <w:spacing w:before="240" w:after="240"/>
        <w:rPr>
          <w:rFonts w:cstheme="majorHAnsi"/>
          <w:sz w:val="24"/>
          <w:szCs w:val="24"/>
        </w:rPr>
      </w:pPr>
      <w:bookmarkStart w:id="460" w:name="_Toc199759580"/>
      <w:r w:rsidRPr="00192E54">
        <w:rPr>
          <w:rFonts w:cstheme="majorHAnsi"/>
          <w:sz w:val="24"/>
          <w:szCs w:val="24"/>
        </w:rPr>
        <w:t xml:space="preserve">Territorio </w:t>
      </w:r>
      <w:r>
        <w:rPr>
          <w:rFonts w:cstheme="majorHAnsi"/>
          <w:sz w:val="24"/>
          <w:szCs w:val="24"/>
        </w:rPr>
        <w:t>y</w:t>
      </w:r>
      <w:r w:rsidRPr="00192E54">
        <w:rPr>
          <w:rFonts w:cstheme="majorHAnsi"/>
          <w:sz w:val="24"/>
          <w:szCs w:val="24"/>
        </w:rPr>
        <w:t xml:space="preserve"> Seguimiento Ambiental</w:t>
      </w:r>
      <w:bookmarkEnd w:id="460"/>
    </w:p>
    <w:p w14:paraId="262DB457" w14:textId="77777777" w:rsidR="002C72B0" w:rsidRPr="00190089" w:rsidRDefault="002C72B0" w:rsidP="00190089">
      <w:pPr>
        <w:pStyle w:val="Ttulo4"/>
        <w:rPr>
          <w:i w:val="0"/>
          <w:sz w:val="22"/>
          <w:szCs w:val="22"/>
        </w:rPr>
      </w:pPr>
      <w:r w:rsidRPr="00190089">
        <w:rPr>
          <w:i w:val="0"/>
          <w:sz w:val="22"/>
          <w:szCs w:val="22"/>
        </w:rPr>
        <w:t>Gestión de Diálogo y Gestión de Conflictos</w:t>
      </w:r>
    </w:p>
    <w:p w14:paraId="7E932FB6" w14:textId="4561E4D3" w:rsidR="002C72B0" w:rsidRPr="008F2DD6" w:rsidRDefault="002C72B0" w:rsidP="008C1613">
      <w:pPr>
        <w:spacing w:before="100" w:beforeAutospacing="1" w:after="100" w:afterAutospacing="1" w:line="276" w:lineRule="auto"/>
        <w:jc w:val="both"/>
        <w:rPr>
          <w:rFonts w:asciiTheme="majorHAnsi" w:hAnsiTheme="majorHAnsi" w:cstheme="majorHAnsi"/>
          <w:sz w:val="22"/>
          <w:szCs w:val="22"/>
        </w:rPr>
      </w:pPr>
      <w:r w:rsidRPr="008F2DD6">
        <w:rPr>
          <w:rFonts w:asciiTheme="majorHAnsi" w:hAnsiTheme="majorHAnsi" w:cstheme="majorHAnsi"/>
          <w:sz w:val="22"/>
          <w:szCs w:val="22"/>
        </w:rPr>
        <w:t>Durante el año 2024, se alcanzaron los siguientes resultados:</w:t>
      </w:r>
    </w:p>
    <w:p w14:paraId="6F9A635B" w14:textId="77777777" w:rsidR="002C72B0" w:rsidRPr="008F2DD6" w:rsidRDefault="002C72B0" w:rsidP="002C72B0">
      <w:pPr>
        <w:pStyle w:val="Ttulo4"/>
        <w:spacing w:line="276" w:lineRule="auto"/>
        <w:jc w:val="both"/>
        <w:rPr>
          <w:rFonts w:cstheme="majorHAnsi"/>
          <w:sz w:val="22"/>
          <w:szCs w:val="22"/>
        </w:rPr>
      </w:pPr>
      <w:r w:rsidRPr="008F2DD6">
        <w:rPr>
          <w:rFonts w:cstheme="majorHAnsi"/>
          <w:sz w:val="22"/>
          <w:szCs w:val="22"/>
        </w:rPr>
        <w:lastRenderedPageBreak/>
        <w:t xml:space="preserve">a) </w:t>
      </w:r>
      <w:r w:rsidRPr="00C751F5">
        <w:rPr>
          <w:rStyle w:val="Textoennegrita"/>
          <w:rFonts w:cstheme="majorHAnsi"/>
          <w:b w:val="0"/>
          <w:i w:val="0"/>
          <w:sz w:val="22"/>
          <w:szCs w:val="22"/>
        </w:rPr>
        <w:t>Atención y Gestión de Conflictos</w:t>
      </w:r>
    </w:p>
    <w:p w14:paraId="10E29F36" w14:textId="77777777" w:rsidR="002C72B0" w:rsidRPr="008F2DD6" w:rsidRDefault="002C72B0" w:rsidP="002C72B0">
      <w:pPr>
        <w:numPr>
          <w:ilvl w:val="0"/>
          <w:numId w:val="82"/>
        </w:numPr>
        <w:spacing w:before="100" w:beforeAutospacing="1" w:after="100" w:afterAutospacing="1" w:line="276" w:lineRule="auto"/>
        <w:jc w:val="both"/>
        <w:rPr>
          <w:rFonts w:asciiTheme="majorHAnsi" w:hAnsiTheme="majorHAnsi" w:cstheme="majorHAnsi"/>
          <w:sz w:val="22"/>
          <w:szCs w:val="22"/>
        </w:rPr>
      </w:pPr>
      <w:r w:rsidRPr="008F2DD6">
        <w:rPr>
          <w:rFonts w:asciiTheme="majorHAnsi" w:hAnsiTheme="majorHAnsi" w:cstheme="majorHAnsi"/>
          <w:sz w:val="22"/>
          <w:szCs w:val="22"/>
        </w:rPr>
        <w:t xml:space="preserve">Se ejecutaron </w:t>
      </w:r>
      <w:r w:rsidRPr="008F2DD6">
        <w:rPr>
          <w:rStyle w:val="Textoennegrita"/>
          <w:rFonts w:asciiTheme="majorHAnsi" w:hAnsiTheme="majorHAnsi" w:cstheme="majorHAnsi"/>
          <w:sz w:val="22"/>
          <w:szCs w:val="22"/>
        </w:rPr>
        <w:t>750 acciones</w:t>
      </w:r>
      <w:r w:rsidRPr="008F2DD6">
        <w:rPr>
          <w:rFonts w:asciiTheme="majorHAnsi" w:hAnsiTheme="majorHAnsi" w:cstheme="majorHAnsi"/>
          <w:sz w:val="22"/>
          <w:szCs w:val="22"/>
        </w:rPr>
        <w:t xml:space="preserve"> de prevención y resolución de conflictos sociales y ambientales en contexto petrolero y minero: Estas acciones abordaron temáticas como: contratación local, inversión comunitaria, y acceso a información, priorizando acuerdos sostenibles y seguimiento a compromisos con las comunidades en coordinación con otras Carteras del Estado según el ámbito de competencias.</w:t>
      </w:r>
    </w:p>
    <w:p w14:paraId="50230851" w14:textId="36052FC8" w:rsidR="002C72B0" w:rsidRPr="00C751F5" w:rsidRDefault="008C1613" w:rsidP="002C72B0">
      <w:pPr>
        <w:pStyle w:val="Ttulo4"/>
        <w:spacing w:line="276" w:lineRule="auto"/>
        <w:jc w:val="both"/>
        <w:rPr>
          <w:rFonts w:cstheme="majorHAnsi"/>
          <w:i w:val="0"/>
          <w:sz w:val="22"/>
          <w:szCs w:val="22"/>
        </w:rPr>
      </w:pPr>
      <w:r>
        <w:rPr>
          <w:rFonts w:cstheme="majorHAnsi"/>
          <w:sz w:val="22"/>
          <w:szCs w:val="22"/>
        </w:rPr>
        <w:t>b</w:t>
      </w:r>
      <w:r w:rsidR="002C72B0" w:rsidRPr="00C751F5">
        <w:rPr>
          <w:rFonts w:cstheme="majorHAnsi"/>
          <w:i w:val="0"/>
          <w:sz w:val="22"/>
          <w:szCs w:val="22"/>
        </w:rPr>
        <w:t xml:space="preserve">) </w:t>
      </w:r>
      <w:r w:rsidR="002C72B0" w:rsidRPr="00C751F5">
        <w:rPr>
          <w:rStyle w:val="Textoennegrita"/>
          <w:rFonts w:cstheme="majorHAnsi"/>
          <w:b w:val="0"/>
          <w:i w:val="0"/>
          <w:sz w:val="22"/>
          <w:szCs w:val="22"/>
        </w:rPr>
        <w:t>Asesoramiento en comités de supervisión de contratos petroleros – Componente Social.</w:t>
      </w:r>
    </w:p>
    <w:p w14:paraId="6B02F765" w14:textId="0420A97B" w:rsidR="002C72B0" w:rsidRPr="008F2DD6" w:rsidRDefault="00566245" w:rsidP="002C72B0">
      <w:pPr>
        <w:spacing w:before="100" w:beforeAutospacing="1" w:after="100" w:afterAutospacing="1" w:line="276" w:lineRule="auto"/>
        <w:jc w:val="both"/>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Los </w:t>
      </w:r>
      <w:r w:rsidR="002C72B0" w:rsidRPr="008F2DD6">
        <w:rPr>
          <w:rFonts w:asciiTheme="majorHAnsi" w:eastAsia="Times New Roman" w:hAnsiTheme="majorHAnsi" w:cstheme="majorHAnsi"/>
          <w:sz w:val="22"/>
          <w:szCs w:val="22"/>
        </w:rPr>
        <w:t>comités</w:t>
      </w:r>
      <w:r>
        <w:rPr>
          <w:rFonts w:asciiTheme="majorHAnsi" w:eastAsia="Times New Roman" w:hAnsiTheme="majorHAnsi" w:cstheme="majorHAnsi"/>
          <w:sz w:val="22"/>
          <w:szCs w:val="22"/>
        </w:rPr>
        <w:t xml:space="preserve"> de </w:t>
      </w:r>
      <w:proofErr w:type="gramStart"/>
      <w:r>
        <w:rPr>
          <w:rFonts w:asciiTheme="majorHAnsi" w:eastAsia="Times New Roman" w:hAnsiTheme="majorHAnsi" w:cstheme="majorHAnsi"/>
          <w:sz w:val="22"/>
          <w:szCs w:val="22"/>
        </w:rPr>
        <w:t xml:space="preserve">supervisión </w:t>
      </w:r>
      <w:r w:rsidR="002C72B0" w:rsidRPr="008F2DD6">
        <w:rPr>
          <w:rFonts w:asciiTheme="majorHAnsi" w:eastAsia="Times New Roman" w:hAnsiTheme="majorHAnsi" w:cstheme="majorHAnsi"/>
          <w:sz w:val="22"/>
          <w:szCs w:val="22"/>
        </w:rPr>
        <w:t xml:space="preserve"> tienen</w:t>
      </w:r>
      <w:proofErr w:type="gramEnd"/>
      <w:r w:rsidR="002C72B0" w:rsidRPr="008F2DD6">
        <w:rPr>
          <w:rFonts w:asciiTheme="majorHAnsi" w:eastAsia="Times New Roman" w:hAnsiTheme="majorHAnsi" w:cstheme="majorHAnsi"/>
          <w:sz w:val="22"/>
          <w:szCs w:val="22"/>
        </w:rPr>
        <w:t xml:space="preserve"> como objetivo garantizar que las actividades </w:t>
      </w:r>
      <w:proofErr w:type="spellStart"/>
      <w:r w:rsidR="002C72B0" w:rsidRPr="008F2DD6">
        <w:rPr>
          <w:rFonts w:asciiTheme="majorHAnsi" w:eastAsia="Times New Roman" w:hAnsiTheme="majorHAnsi" w:cstheme="majorHAnsi"/>
          <w:sz w:val="22"/>
          <w:szCs w:val="22"/>
        </w:rPr>
        <w:t>hidrocarburíferas</w:t>
      </w:r>
      <w:proofErr w:type="spellEnd"/>
      <w:r w:rsidR="002C72B0" w:rsidRPr="008F2DD6">
        <w:rPr>
          <w:rFonts w:asciiTheme="majorHAnsi" w:eastAsia="Times New Roman" w:hAnsiTheme="majorHAnsi" w:cstheme="majorHAnsi"/>
          <w:sz w:val="22"/>
          <w:szCs w:val="22"/>
        </w:rPr>
        <w:t xml:space="preserve"> se alineen con las políticas de responsabilidad social, el Plan de Manejo Ambiental y el </w:t>
      </w:r>
      <w:proofErr w:type="spellStart"/>
      <w:r w:rsidR="002C72B0" w:rsidRPr="008F2DD6">
        <w:rPr>
          <w:rFonts w:asciiTheme="majorHAnsi" w:eastAsia="Times New Roman" w:hAnsiTheme="majorHAnsi" w:cstheme="majorHAnsi"/>
          <w:sz w:val="22"/>
          <w:szCs w:val="22"/>
        </w:rPr>
        <w:t>Subplan</w:t>
      </w:r>
      <w:proofErr w:type="spellEnd"/>
      <w:r w:rsidR="002C72B0" w:rsidRPr="008F2DD6">
        <w:rPr>
          <w:rFonts w:asciiTheme="majorHAnsi" w:eastAsia="Times New Roman" w:hAnsiTheme="majorHAnsi" w:cstheme="majorHAnsi"/>
          <w:sz w:val="22"/>
          <w:szCs w:val="22"/>
        </w:rPr>
        <w:t xml:space="preserve"> de Relaciones Comunitarias, los cuales deben estar articulados con los Objetivos de Desarrollo Sostenible (ODS) y el Plan Nacional de Desarrollo.</w:t>
      </w:r>
    </w:p>
    <w:p w14:paraId="6BD9D413" w14:textId="77777777" w:rsidR="002C72B0" w:rsidRPr="008F2DD6" w:rsidRDefault="002C72B0" w:rsidP="002C72B0">
      <w:pPr>
        <w:spacing w:before="100" w:beforeAutospacing="1" w:after="100" w:afterAutospacing="1" w:line="276" w:lineRule="auto"/>
        <w:jc w:val="both"/>
        <w:rPr>
          <w:rFonts w:asciiTheme="majorHAnsi" w:eastAsia="Times New Roman" w:hAnsiTheme="majorHAnsi" w:cstheme="majorHAnsi"/>
          <w:sz w:val="22"/>
          <w:szCs w:val="22"/>
        </w:rPr>
      </w:pPr>
      <w:r w:rsidRPr="008F2DD6">
        <w:rPr>
          <w:rFonts w:asciiTheme="majorHAnsi" w:eastAsia="Times New Roman" w:hAnsiTheme="majorHAnsi" w:cstheme="majorHAnsi"/>
          <w:sz w:val="22"/>
          <w:szCs w:val="22"/>
        </w:rPr>
        <w:t>La participación en los comités permitió generar recomendaciones técnicas que fortalecen la planificación territorial y promueven un desarrollo sostenible e inclusivo en las zonas de influencia de los siguientes bloques petroleros:</w:t>
      </w:r>
    </w:p>
    <w:p w14:paraId="116F887A" w14:textId="77777777" w:rsidR="00566245" w:rsidRDefault="00566245" w:rsidP="00566245">
      <w:pPr>
        <w:numPr>
          <w:ilvl w:val="0"/>
          <w:numId w:val="86"/>
        </w:numPr>
        <w:spacing w:before="100" w:beforeAutospacing="1" w:after="100" w:afterAutospacing="1" w:line="276" w:lineRule="auto"/>
        <w:jc w:val="both"/>
        <w:rPr>
          <w:rFonts w:asciiTheme="majorHAnsi" w:eastAsia="Times New Roman" w:hAnsiTheme="majorHAnsi" w:cstheme="majorHAnsi"/>
          <w:bCs/>
          <w:sz w:val="22"/>
          <w:szCs w:val="22"/>
        </w:rPr>
        <w:sectPr w:rsidR="00566245" w:rsidSect="007A45F6">
          <w:headerReference w:type="default" r:id="rId55"/>
          <w:footerReference w:type="default" r:id="rId56"/>
          <w:pgSz w:w="11906" w:h="16838"/>
          <w:pgMar w:top="1417" w:right="1701" w:bottom="1417" w:left="1701" w:header="708" w:footer="708" w:gutter="0"/>
          <w:pgNumType w:start="0"/>
          <w:cols w:space="708"/>
          <w:titlePg/>
          <w:docGrid w:linePitch="360"/>
        </w:sectPr>
      </w:pPr>
    </w:p>
    <w:p w14:paraId="1EA9DCCF" w14:textId="6CF51690" w:rsidR="002C72B0" w:rsidRPr="0077151D" w:rsidRDefault="002C72B0" w:rsidP="00566245">
      <w:pPr>
        <w:numPr>
          <w:ilvl w:val="0"/>
          <w:numId w:val="86"/>
        </w:numPr>
        <w:spacing w:before="100" w:beforeAutospacing="1" w:after="100" w:afterAutospacing="1" w:line="276" w:lineRule="auto"/>
        <w:jc w:val="both"/>
        <w:rPr>
          <w:rFonts w:asciiTheme="majorHAnsi" w:eastAsia="Times New Roman" w:hAnsiTheme="majorHAnsi" w:cstheme="majorHAnsi"/>
          <w:sz w:val="22"/>
          <w:szCs w:val="22"/>
        </w:rPr>
      </w:pPr>
      <w:r w:rsidRPr="0077151D">
        <w:rPr>
          <w:rFonts w:asciiTheme="majorHAnsi" w:eastAsia="Times New Roman" w:hAnsiTheme="majorHAnsi" w:cstheme="majorHAnsi"/>
          <w:bCs/>
          <w:sz w:val="22"/>
          <w:szCs w:val="22"/>
        </w:rPr>
        <w:t>Bloque 2 – Gustavo Galindo</w:t>
      </w:r>
    </w:p>
    <w:p w14:paraId="7588A712" w14:textId="77777777" w:rsidR="002C72B0" w:rsidRPr="0077151D" w:rsidRDefault="002C72B0" w:rsidP="00566245">
      <w:pPr>
        <w:numPr>
          <w:ilvl w:val="0"/>
          <w:numId w:val="86"/>
        </w:numPr>
        <w:spacing w:before="100" w:beforeAutospacing="1" w:after="100" w:afterAutospacing="1" w:line="276" w:lineRule="auto"/>
        <w:jc w:val="both"/>
        <w:rPr>
          <w:rFonts w:asciiTheme="majorHAnsi" w:eastAsia="Times New Roman" w:hAnsiTheme="majorHAnsi" w:cstheme="majorHAnsi"/>
          <w:sz w:val="22"/>
          <w:szCs w:val="22"/>
        </w:rPr>
      </w:pPr>
      <w:r w:rsidRPr="0077151D">
        <w:rPr>
          <w:rFonts w:asciiTheme="majorHAnsi" w:eastAsia="Times New Roman" w:hAnsiTheme="majorHAnsi" w:cstheme="majorHAnsi"/>
          <w:bCs/>
          <w:sz w:val="22"/>
          <w:szCs w:val="22"/>
        </w:rPr>
        <w:t>Bloque 10 – Villano</w:t>
      </w:r>
    </w:p>
    <w:p w14:paraId="167E4E62" w14:textId="77777777" w:rsidR="002C72B0" w:rsidRPr="0077151D" w:rsidRDefault="002C72B0" w:rsidP="00566245">
      <w:pPr>
        <w:numPr>
          <w:ilvl w:val="0"/>
          <w:numId w:val="86"/>
        </w:numPr>
        <w:spacing w:before="100" w:beforeAutospacing="1" w:after="100" w:afterAutospacing="1" w:line="276" w:lineRule="auto"/>
        <w:jc w:val="both"/>
        <w:rPr>
          <w:rFonts w:asciiTheme="majorHAnsi" w:eastAsia="Times New Roman" w:hAnsiTheme="majorHAnsi" w:cstheme="majorHAnsi"/>
          <w:sz w:val="22"/>
          <w:szCs w:val="22"/>
        </w:rPr>
      </w:pPr>
      <w:r w:rsidRPr="0077151D">
        <w:rPr>
          <w:rFonts w:asciiTheme="majorHAnsi" w:eastAsia="Times New Roman" w:hAnsiTheme="majorHAnsi" w:cstheme="majorHAnsi"/>
          <w:bCs/>
          <w:sz w:val="22"/>
          <w:szCs w:val="22"/>
        </w:rPr>
        <w:t xml:space="preserve">Bloque 14 – </w:t>
      </w:r>
      <w:proofErr w:type="spellStart"/>
      <w:r w:rsidRPr="0077151D">
        <w:rPr>
          <w:rFonts w:asciiTheme="majorHAnsi" w:eastAsia="Times New Roman" w:hAnsiTheme="majorHAnsi" w:cstheme="majorHAnsi"/>
          <w:bCs/>
          <w:sz w:val="22"/>
          <w:szCs w:val="22"/>
        </w:rPr>
        <w:t>Nantu</w:t>
      </w:r>
      <w:proofErr w:type="spellEnd"/>
    </w:p>
    <w:p w14:paraId="0691CE5C" w14:textId="77777777" w:rsidR="002C72B0" w:rsidRPr="0077151D" w:rsidRDefault="002C72B0" w:rsidP="00566245">
      <w:pPr>
        <w:numPr>
          <w:ilvl w:val="0"/>
          <w:numId w:val="86"/>
        </w:numPr>
        <w:spacing w:before="100" w:beforeAutospacing="1" w:after="100" w:afterAutospacing="1" w:line="276" w:lineRule="auto"/>
        <w:jc w:val="both"/>
        <w:rPr>
          <w:rFonts w:asciiTheme="majorHAnsi" w:eastAsia="Times New Roman" w:hAnsiTheme="majorHAnsi" w:cstheme="majorHAnsi"/>
          <w:sz w:val="22"/>
          <w:szCs w:val="22"/>
        </w:rPr>
      </w:pPr>
      <w:r w:rsidRPr="0077151D">
        <w:rPr>
          <w:rFonts w:asciiTheme="majorHAnsi" w:eastAsia="Times New Roman" w:hAnsiTheme="majorHAnsi" w:cstheme="majorHAnsi"/>
          <w:bCs/>
          <w:sz w:val="22"/>
          <w:szCs w:val="22"/>
        </w:rPr>
        <w:t>Bloque 17 – Hormiguero</w:t>
      </w:r>
    </w:p>
    <w:p w14:paraId="22A66136" w14:textId="77777777" w:rsidR="002C72B0" w:rsidRPr="0077151D" w:rsidRDefault="002C72B0" w:rsidP="00566245">
      <w:pPr>
        <w:numPr>
          <w:ilvl w:val="0"/>
          <w:numId w:val="86"/>
        </w:numPr>
        <w:spacing w:before="100" w:beforeAutospacing="1" w:after="100" w:afterAutospacing="1" w:line="276" w:lineRule="auto"/>
        <w:jc w:val="both"/>
        <w:rPr>
          <w:rFonts w:asciiTheme="majorHAnsi" w:eastAsia="Times New Roman" w:hAnsiTheme="majorHAnsi" w:cstheme="majorHAnsi"/>
          <w:sz w:val="22"/>
          <w:szCs w:val="22"/>
        </w:rPr>
      </w:pPr>
      <w:r w:rsidRPr="0077151D">
        <w:rPr>
          <w:rFonts w:asciiTheme="majorHAnsi" w:eastAsia="Times New Roman" w:hAnsiTheme="majorHAnsi" w:cstheme="majorHAnsi"/>
          <w:bCs/>
          <w:sz w:val="22"/>
          <w:szCs w:val="22"/>
        </w:rPr>
        <w:t>Bloque 45 – Puma</w:t>
      </w:r>
    </w:p>
    <w:p w14:paraId="63EC1A86" w14:textId="77777777" w:rsidR="002C72B0" w:rsidRPr="0077151D" w:rsidRDefault="002C72B0" w:rsidP="00566245">
      <w:pPr>
        <w:numPr>
          <w:ilvl w:val="0"/>
          <w:numId w:val="86"/>
        </w:numPr>
        <w:spacing w:before="100" w:beforeAutospacing="1" w:after="100" w:afterAutospacing="1" w:line="276" w:lineRule="auto"/>
        <w:jc w:val="both"/>
        <w:rPr>
          <w:rFonts w:asciiTheme="majorHAnsi" w:eastAsia="Times New Roman" w:hAnsiTheme="majorHAnsi" w:cstheme="majorHAnsi"/>
          <w:sz w:val="22"/>
          <w:szCs w:val="22"/>
        </w:rPr>
      </w:pPr>
      <w:r w:rsidRPr="0077151D">
        <w:rPr>
          <w:rFonts w:asciiTheme="majorHAnsi" w:eastAsia="Times New Roman" w:hAnsiTheme="majorHAnsi" w:cstheme="majorHAnsi"/>
          <w:bCs/>
          <w:sz w:val="22"/>
          <w:szCs w:val="22"/>
        </w:rPr>
        <w:t>Bloque 46 – MDC</w:t>
      </w:r>
    </w:p>
    <w:p w14:paraId="73C27293" w14:textId="77777777" w:rsidR="002C72B0" w:rsidRPr="0077151D" w:rsidRDefault="002C72B0" w:rsidP="00566245">
      <w:pPr>
        <w:numPr>
          <w:ilvl w:val="0"/>
          <w:numId w:val="86"/>
        </w:numPr>
        <w:spacing w:before="100" w:beforeAutospacing="1" w:after="100" w:afterAutospacing="1" w:line="276" w:lineRule="auto"/>
        <w:jc w:val="both"/>
        <w:rPr>
          <w:rFonts w:asciiTheme="majorHAnsi" w:eastAsia="Times New Roman" w:hAnsiTheme="majorHAnsi" w:cstheme="majorHAnsi"/>
          <w:sz w:val="22"/>
          <w:szCs w:val="22"/>
        </w:rPr>
      </w:pPr>
      <w:r w:rsidRPr="0077151D">
        <w:rPr>
          <w:rFonts w:asciiTheme="majorHAnsi" w:eastAsia="Times New Roman" w:hAnsiTheme="majorHAnsi" w:cstheme="majorHAnsi"/>
          <w:bCs/>
          <w:sz w:val="22"/>
          <w:szCs w:val="22"/>
        </w:rPr>
        <w:t>Bloque 47 – PBHI</w:t>
      </w:r>
    </w:p>
    <w:p w14:paraId="05B260D3" w14:textId="77777777" w:rsidR="002C72B0" w:rsidRPr="0077151D" w:rsidRDefault="002C72B0" w:rsidP="00566245">
      <w:pPr>
        <w:numPr>
          <w:ilvl w:val="0"/>
          <w:numId w:val="86"/>
        </w:numPr>
        <w:spacing w:before="100" w:beforeAutospacing="1" w:after="100" w:afterAutospacing="1" w:line="276" w:lineRule="auto"/>
        <w:jc w:val="both"/>
        <w:rPr>
          <w:rFonts w:asciiTheme="majorHAnsi" w:eastAsia="Times New Roman" w:hAnsiTheme="majorHAnsi" w:cstheme="majorHAnsi"/>
          <w:sz w:val="22"/>
          <w:szCs w:val="22"/>
        </w:rPr>
      </w:pPr>
      <w:r w:rsidRPr="0077151D">
        <w:rPr>
          <w:rFonts w:asciiTheme="majorHAnsi" w:eastAsia="Times New Roman" w:hAnsiTheme="majorHAnsi" w:cstheme="majorHAnsi"/>
          <w:bCs/>
          <w:sz w:val="22"/>
          <w:szCs w:val="22"/>
        </w:rPr>
        <w:t>Bloque 52 – Ocano – Peña Blanca</w:t>
      </w:r>
    </w:p>
    <w:p w14:paraId="27393607" w14:textId="77777777" w:rsidR="002C72B0" w:rsidRPr="0077151D" w:rsidRDefault="002C72B0" w:rsidP="00566245">
      <w:pPr>
        <w:numPr>
          <w:ilvl w:val="0"/>
          <w:numId w:val="86"/>
        </w:numPr>
        <w:spacing w:before="100" w:beforeAutospacing="1" w:after="100" w:afterAutospacing="1" w:line="276" w:lineRule="auto"/>
        <w:jc w:val="both"/>
        <w:rPr>
          <w:rFonts w:asciiTheme="majorHAnsi" w:eastAsia="Times New Roman" w:hAnsiTheme="majorHAnsi" w:cstheme="majorHAnsi"/>
          <w:sz w:val="22"/>
          <w:szCs w:val="22"/>
        </w:rPr>
      </w:pPr>
      <w:r w:rsidRPr="0077151D">
        <w:rPr>
          <w:rFonts w:asciiTheme="majorHAnsi" w:eastAsia="Times New Roman" w:hAnsiTheme="majorHAnsi" w:cstheme="majorHAnsi"/>
          <w:bCs/>
          <w:sz w:val="22"/>
          <w:szCs w:val="22"/>
        </w:rPr>
        <w:t>Bloque 53 – Singue</w:t>
      </w:r>
    </w:p>
    <w:p w14:paraId="58DA66EF" w14:textId="77777777" w:rsidR="002C72B0" w:rsidRPr="0077151D" w:rsidRDefault="002C72B0" w:rsidP="00566245">
      <w:pPr>
        <w:numPr>
          <w:ilvl w:val="0"/>
          <w:numId w:val="86"/>
        </w:numPr>
        <w:spacing w:before="100" w:beforeAutospacing="1" w:after="100" w:afterAutospacing="1" w:line="276" w:lineRule="auto"/>
        <w:jc w:val="both"/>
        <w:rPr>
          <w:rFonts w:asciiTheme="majorHAnsi" w:eastAsia="Times New Roman" w:hAnsiTheme="majorHAnsi" w:cstheme="majorHAnsi"/>
          <w:sz w:val="22"/>
          <w:szCs w:val="22"/>
        </w:rPr>
      </w:pPr>
      <w:r w:rsidRPr="0077151D">
        <w:rPr>
          <w:rFonts w:asciiTheme="majorHAnsi" w:eastAsia="Times New Roman" w:hAnsiTheme="majorHAnsi" w:cstheme="majorHAnsi"/>
          <w:bCs/>
          <w:sz w:val="22"/>
          <w:szCs w:val="22"/>
        </w:rPr>
        <w:t>Bloque 54 – Eno Ron</w:t>
      </w:r>
    </w:p>
    <w:p w14:paraId="4DABC819" w14:textId="77777777" w:rsidR="002C72B0" w:rsidRPr="0077151D" w:rsidRDefault="002C72B0" w:rsidP="00566245">
      <w:pPr>
        <w:numPr>
          <w:ilvl w:val="0"/>
          <w:numId w:val="86"/>
        </w:numPr>
        <w:spacing w:before="100" w:beforeAutospacing="1" w:after="100" w:afterAutospacing="1" w:line="276" w:lineRule="auto"/>
        <w:jc w:val="both"/>
        <w:rPr>
          <w:rFonts w:asciiTheme="majorHAnsi" w:eastAsia="Times New Roman" w:hAnsiTheme="majorHAnsi" w:cstheme="majorHAnsi"/>
          <w:sz w:val="22"/>
          <w:szCs w:val="22"/>
        </w:rPr>
      </w:pPr>
      <w:r w:rsidRPr="0077151D">
        <w:rPr>
          <w:rFonts w:asciiTheme="majorHAnsi" w:eastAsia="Times New Roman" w:hAnsiTheme="majorHAnsi" w:cstheme="majorHAnsi"/>
          <w:bCs/>
          <w:sz w:val="22"/>
          <w:szCs w:val="22"/>
        </w:rPr>
        <w:t>Bloque 62 – Tarapoa</w:t>
      </w:r>
    </w:p>
    <w:p w14:paraId="522848CA" w14:textId="77777777" w:rsidR="002C72B0" w:rsidRPr="0077151D" w:rsidRDefault="002C72B0" w:rsidP="00566245">
      <w:pPr>
        <w:numPr>
          <w:ilvl w:val="0"/>
          <w:numId w:val="86"/>
        </w:numPr>
        <w:spacing w:before="100" w:beforeAutospacing="1" w:after="100" w:afterAutospacing="1" w:line="276" w:lineRule="auto"/>
        <w:jc w:val="both"/>
        <w:rPr>
          <w:rFonts w:asciiTheme="majorHAnsi" w:eastAsia="Times New Roman" w:hAnsiTheme="majorHAnsi" w:cstheme="majorHAnsi"/>
          <w:sz w:val="22"/>
          <w:szCs w:val="22"/>
        </w:rPr>
      </w:pPr>
      <w:r w:rsidRPr="0077151D">
        <w:rPr>
          <w:rFonts w:asciiTheme="majorHAnsi" w:eastAsia="Times New Roman" w:hAnsiTheme="majorHAnsi" w:cstheme="majorHAnsi"/>
          <w:bCs/>
          <w:sz w:val="22"/>
          <w:szCs w:val="22"/>
        </w:rPr>
        <w:t xml:space="preserve">Bloque 64 – </w:t>
      </w:r>
      <w:proofErr w:type="spellStart"/>
      <w:r w:rsidRPr="0077151D">
        <w:rPr>
          <w:rFonts w:asciiTheme="majorHAnsi" w:eastAsia="Times New Roman" w:hAnsiTheme="majorHAnsi" w:cstheme="majorHAnsi"/>
          <w:bCs/>
          <w:sz w:val="22"/>
          <w:szCs w:val="22"/>
        </w:rPr>
        <w:t>Palanda</w:t>
      </w:r>
      <w:proofErr w:type="spellEnd"/>
    </w:p>
    <w:p w14:paraId="6E7D41D3" w14:textId="77777777" w:rsidR="002C72B0" w:rsidRPr="0077151D" w:rsidRDefault="002C72B0" w:rsidP="00566245">
      <w:pPr>
        <w:numPr>
          <w:ilvl w:val="0"/>
          <w:numId w:val="86"/>
        </w:numPr>
        <w:spacing w:before="100" w:beforeAutospacing="1" w:after="100" w:afterAutospacing="1" w:line="276" w:lineRule="auto"/>
        <w:jc w:val="both"/>
        <w:rPr>
          <w:rFonts w:asciiTheme="majorHAnsi" w:eastAsia="Times New Roman" w:hAnsiTheme="majorHAnsi" w:cstheme="majorHAnsi"/>
          <w:sz w:val="22"/>
          <w:szCs w:val="22"/>
        </w:rPr>
      </w:pPr>
      <w:r w:rsidRPr="0077151D">
        <w:rPr>
          <w:rFonts w:asciiTheme="majorHAnsi" w:eastAsia="Times New Roman" w:hAnsiTheme="majorHAnsi" w:cstheme="majorHAnsi"/>
          <w:bCs/>
          <w:sz w:val="22"/>
          <w:szCs w:val="22"/>
        </w:rPr>
        <w:t>Bloque 65 – Pindo</w:t>
      </w:r>
    </w:p>
    <w:p w14:paraId="565330B0" w14:textId="77777777" w:rsidR="002C72B0" w:rsidRPr="0077151D" w:rsidRDefault="002C72B0" w:rsidP="00566245">
      <w:pPr>
        <w:numPr>
          <w:ilvl w:val="0"/>
          <w:numId w:val="86"/>
        </w:numPr>
        <w:spacing w:before="100" w:beforeAutospacing="1" w:after="100" w:afterAutospacing="1" w:line="276" w:lineRule="auto"/>
        <w:jc w:val="both"/>
        <w:rPr>
          <w:rFonts w:asciiTheme="majorHAnsi" w:eastAsia="Times New Roman" w:hAnsiTheme="majorHAnsi" w:cstheme="majorHAnsi"/>
          <w:sz w:val="22"/>
          <w:szCs w:val="22"/>
        </w:rPr>
      </w:pPr>
      <w:r w:rsidRPr="0077151D">
        <w:rPr>
          <w:rFonts w:asciiTheme="majorHAnsi" w:eastAsia="Times New Roman" w:hAnsiTheme="majorHAnsi" w:cstheme="majorHAnsi"/>
          <w:bCs/>
          <w:sz w:val="22"/>
          <w:szCs w:val="22"/>
        </w:rPr>
        <w:t xml:space="preserve">Bloque 66 – </w:t>
      </w:r>
      <w:proofErr w:type="spellStart"/>
      <w:r w:rsidRPr="0077151D">
        <w:rPr>
          <w:rFonts w:asciiTheme="majorHAnsi" w:eastAsia="Times New Roman" w:hAnsiTheme="majorHAnsi" w:cstheme="majorHAnsi"/>
          <w:bCs/>
          <w:sz w:val="22"/>
          <w:szCs w:val="22"/>
        </w:rPr>
        <w:t>Tiguino</w:t>
      </w:r>
      <w:proofErr w:type="spellEnd"/>
    </w:p>
    <w:p w14:paraId="507FC5A6" w14:textId="77777777" w:rsidR="002C72B0" w:rsidRPr="0077151D" w:rsidRDefault="002C72B0" w:rsidP="00566245">
      <w:pPr>
        <w:numPr>
          <w:ilvl w:val="0"/>
          <w:numId w:val="86"/>
        </w:numPr>
        <w:spacing w:before="100" w:beforeAutospacing="1" w:after="100" w:afterAutospacing="1" w:line="276" w:lineRule="auto"/>
        <w:jc w:val="both"/>
        <w:rPr>
          <w:rFonts w:asciiTheme="majorHAnsi" w:eastAsia="Times New Roman" w:hAnsiTheme="majorHAnsi" w:cstheme="majorHAnsi"/>
          <w:sz w:val="22"/>
          <w:szCs w:val="22"/>
        </w:rPr>
      </w:pPr>
      <w:r w:rsidRPr="0077151D">
        <w:rPr>
          <w:rFonts w:asciiTheme="majorHAnsi" w:eastAsia="Times New Roman" w:hAnsiTheme="majorHAnsi" w:cstheme="majorHAnsi"/>
          <w:bCs/>
          <w:sz w:val="22"/>
          <w:szCs w:val="22"/>
        </w:rPr>
        <w:t>Bloque 79</w:t>
      </w:r>
    </w:p>
    <w:p w14:paraId="50CE58DB" w14:textId="77777777" w:rsidR="002C72B0" w:rsidRPr="0077151D" w:rsidRDefault="002C72B0" w:rsidP="00566245">
      <w:pPr>
        <w:numPr>
          <w:ilvl w:val="0"/>
          <w:numId w:val="86"/>
        </w:numPr>
        <w:spacing w:before="100" w:beforeAutospacing="1" w:after="100" w:afterAutospacing="1" w:line="276" w:lineRule="auto"/>
        <w:jc w:val="both"/>
        <w:rPr>
          <w:rFonts w:asciiTheme="majorHAnsi" w:eastAsia="Times New Roman" w:hAnsiTheme="majorHAnsi" w:cstheme="majorHAnsi"/>
          <w:sz w:val="22"/>
          <w:szCs w:val="22"/>
        </w:rPr>
      </w:pPr>
      <w:r w:rsidRPr="0077151D">
        <w:rPr>
          <w:rFonts w:asciiTheme="majorHAnsi" w:eastAsia="Times New Roman" w:hAnsiTheme="majorHAnsi" w:cstheme="majorHAnsi"/>
          <w:bCs/>
          <w:sz w:val="22"/>
          <w:szCs w:val="22"/>
        </w:rPr>
        <w:t>Bloque 83</w:t>
      </w:r>
    </w:p>
    <w:p w14:paraId="113D7D0A" w14:textId="77777777" w:rsidR="00566245" w:rsidRDefault="00566245" w:rsidP="002C72B0">
      <w:pPr>
        <w:spacing w:before="100" w:beforeAutospacing="1" w:after="100" w:afterAutospacing="1" w:line="276" w:lineRule="auto"/>
        <w:jc w:val="both"/>
        <w:rPr>
          <w:rFonts w:asciiTheme="majorHAnsi" w:eastAsia="Times New Roman" w:hAnsiTheme="majorHAnsi" w:cstheme="majorHAnsi"/>
          <w:sz w:val="22"/>
          <w:szCs w:val="22"/>
        </w:rPr>
        <w:sectPr w:rsidR="00566245" w:rsidSect="00566245">
          <w:type w:val="continuous"/>
          <w:pgSz w:w="11906" w:h="16838"/>
          <w:pgMar w:top="1417" w:right="1701" w:bottom="1417" w:left="1701" w:header="708" w:footer="708" w:gutter="0"/>
          <w:pgNumType w:start="0"/>
          <w:cols w:num="2" w:space="708"/>
          <w:titlePg/>
          <w:docGrid w:linePitch="360"/>
        </w:sectPr>
      </w:pPr>
    </w:p>
    <w:p w14:paraId="1733A473" w14:textId="7ED37507" w:rsidR="002C72B0" w:rsidRPr="008F2DD6" w:rsidRDefault="002C72B0" w:rsidP="002C72B0">
      <w:pPr>
        <w:spacing w:before="100" w:beforeAutospacing="1" w:after="100" w:afterAutospacing="1" w:line="276" w:lineRule="auto"/>
        <w:jc w:val="both"/>
        <w:rPr>
          <w:rFonts w:asciiTheme="majorHAnsi" w:hAnsiTheme="majorHAnsi" w:cstheme="majorHAnsi"/>
          <w:b/>
          <w:sz w:val="22"/>
          <w:szCs w:val="22"/>
        </w:rPr>
      </w:pPr>
      <w:r w:rsidRPr="008F2DD6">
        <w:rPr>
          <w:rFonts w:asciiTheme="majorHAnsi" w:eastAsia="Times New Roman" w:hAnsiTheme="majorHAnsi" w:cstheme="majorHAnsi"/>
          <w:sz w:val="22"/>
          <w:szCs w:val="22"/>
        </w:rPr>
        <w:t xml:space="preserve">En total, se participó técnicamente de </w:t>
      </w:r>
      <w:r w:rsidRPr="008F2DD6">
        <w:rPr>
          <w:rFonts w:asciiTheme="majorHAnsi" w:eastAsia="Times New Roman" w:hAnsiTheme="majorHAnsi" w:cstheme="majorHAnsi"/>
          <w:b/>
          <w:bCs/>
          <w:sz w:val="22"/>
          <w:szCs w:val="22"/>
        </w:rPr>
        <w:t>16 comités mensuales</w:t>
      </w:r>
      <w:r w:rsidRPr="008F2DD6">
        <w:rPr>
          <w:rFonts w:asciiTheme="majorHAnsi" w:eastAsia="Times New Roman" w:hAnsiTheme="majorHAnsi" w:cstheme="majorHAnsi"/>
          <w:sz w:val="22"/>
          <w:szCs w:val="22"/>
        </w:rPr>
        <w:t xml:space="preserve"> (uno por cada bloque), lo que representa un total de </w:t>
      </w:r>
      <w:r w:rsidRPr="008F2DD6">
        <w:rPr>
          <w:rFonts w:asciiTheme="majorHAnsi" w:eastAsia="Times New Roman" w:hAnsiTheme="majorHAnsi" w:cstheme="majorHAnsi"/>
          <w:b/>
          <w:bCs/>
          <w:sz w:val="22"/>
          <w:szCs w:val="22"/>
        </w:rPr>
        <w:t>192 participaciones anuales</w:t>
      </w:r>
      <w:r w:rsidRPr="008F2DD6">
        <w:rPr>
          <w:rFonts w:asciiTheme="majorHAnsi" w:eastAsia="Times New Roman" w:hAnsiTheme="majorHAnsi" w:cstheme="majorHAnsi"/>
          <w:sz w:val="22"/>
          <w:szCs w:val="22"/>
        </w:rPr>
        <w:t xml:space="preserve">, fortaleciendo los mecanismos de gobernanza territorial y cumplimiento normativo del sector </w:t>
      </w:r>
      <w:proofErr w:type="spellStart"/>
      <w:r w:rsidRPr="008F2DD6">
        <w:rPr>
          <w:rFonts w:asciiTheme="majorHAnsi" w:eastAsia="Times New Roman" w:hAnsiTheme="majorHAnsi" w:cstheme="majorHAnsi"/>
          <w:sz w:val="22"/>
          <w:szCs w:val="22"/>
        </w:rPr>
        <w:t>hidrocarburífero</w:t>
      </w:r>
      <w:proofErr w:type="spellEnd"/>
      <w:r w:rsidRPr="008F2DD6">
        <w:rPr>
          <w:rFonts w:asciiTheme="majorHAnsi" w:eastAsia="Times New Roman" w:hAnsiTheme="majorHAnsi" w:cstheme="majorHAnsi"/>
          <w:sz w:val="22"/>
          <w:szCs w:val="22"/>
        </w:rPr>
        <w:t>.</w:t>
      </w:r>
      <w:r w:rsidRPr="008F2DD6">
        <w:rPr>
          <w:rFonts w:asciiTheme="majorHAnsi" w:hAnsiTheme="majorHAnsi" w:cstheme="majorHAnsi"/>
          <w:b/>
          <w:sz w:val="22"/>
          <w:szCs w:val="22"/>
        </w:rPr>
        <w:t xml:space="preserve"> </w:t>
      </w:r>
    </w:p>
    <w:p w14:paraId="271B3AFB" w14:textId="77777777" w:rsidR="00FD1FAB" w:rsidRPr="00190089" w:rsidRDefault="002C72B0" w:rsidP="00190089">
      <w:pPr>
        <w:pStyle w:val="Ttulo4"/>
        <w:rPr>
          <w:i w:val="0"/>
          <w:sz w:val="22"/>
          <w:szCs w:val="22"/>
        </w:rPr>
      </w:pPr>
      <w:r w:rsidRPr="00190089">
        <w:rPr>
          <w:i w:val="0"/>
          <w:sz w:val="22"/>
          <w:szCs w:val="22"/>
        </w:rPr>
        <w:t>Gestión de Territorio</w:t>
      </w:r>
    </w:p>
    <w:p w14:paraId="0965B4B9" w14:textId="77777777" w:rsidR="00FD1FAB" w:rsidRDefault="00FD1FAB" w:rsidP="00FD1FAB">
      <w:pPr>
        <w:pStyle w:val="Ttulo3"/>
        <w:rPr>
          <w:rFonts w:cstheme="majorHAnsi"/>
          <w:b/>
          <w:sz w:val="22"/>
          <w:szCs w:val="22"/>
        </w:rPr>
      </w:pPr>
    </w:p>
    <w:p w14:paraId="2EBD7EFA" w14:textId="5BB1071B" w:rsidR="002C72B0" w:rsidRPr="00190089" w:rsidRDefault="002C72B0" w:rsidP="00190089">
      <w:pPr>
        <w:pStyle w:val="Ttulo4"/>
        <w:rPr>
          <w:i w:val="0"/>
          <w:sz w:val="22"/>
          <w:szCs w:val="22"/>
        </w:rPr>
      </w:pPr>
      <w:r w:rsidRPr="00190089">
        <w:rPr>
          <w:i w:val="0"/>
          <w:sz w:val="22"/>
          <w:szCs w:val="22"/>
        </w:rPr>
        <w:t xml:space="preserve">Evacuación de sedimentos de Centrales Hidroeléctricas </w:t>
      </w:r>
    </w:p>
    <w:p w14:paraId="316A7632" w14:textId="77777777" w:rsidR="00FD1FAB" w:rsidRPr="00FD1FAB" w:rsidRDefault="00FD1FAB" w:rsidP="00FD1FAB"/>
    <w:p w14:paraId="2DB3B700" w14:textId="77777777" w:rsidR="002C72B0" w:rsidRPr="008F2DD6" w:rsidRDefault="002C72B0" w:rsidP="00FD1FAB">
      <w:pPr>
        <w:jc w:val="both"/>
        <w:rPr>
          <w:rFonts w:asciiTheme="majorHAnsi" w:hAnsiTheme="majorHAnsi" w:cstheme="majorHAnsi"/>
          <w:sz w:val="22"/>
          <w:szCs w:val="22"/>
        </w:rPr>
      </w:pPr>
      <w:r w:rsidRPr="008F2DD6">
        <w:rPr>
          <w:rFonts w:asciiTheme="majorHAnsi" w:hAnsiTheme="majorHAnsi" w:cstheme="majorHAnsi"/>
          <w:sz w:val="22"/>
          <w:szCs w:val="22"/>
        </w:rPr>
        <w:t xml:space="preserve">En el 2024 el Ministerio de Energía y Minas a través de la Dirección de Territorio, lideró el componente político de la Mesa Técnica Interinstitucional con el objetivo de articular acciones que permitieron la aprobación de la metodología para la evacuación de sedimentos de las siguientes centrales hidroeléctrica: </w:t>
      </w:r>
    </w:p>
    <w:p w14:paraId="62805476" w14:textId="77777777" w:rsidR="002C72B0" w:rsidRPr="008F2DD6" w:rsidRDefault="002C72B0" w:rsidP="002C72B0">
      <w:pPr>
        <w:pStyle w:val="Prrafodelista"/>
        <w:numPr>
          <w:ilvl w:val="1"/>
          <w:numId w:val="90"/>
        </w:numPr>
        <w:spacing w:line="276" w:lineRule="auto"/>
        <w:ind w:left="1276" w:hanging="196"/>
        <w:jc w:val="both"/>
        <w:rPr>
          <w:rFonts w:asciiTheme="majorHAnsi" w:hAnsiTheme="majorHAnsi" w:cstheme="majorHAnsi"/>
          <w:sz w:val="22"/>
          <w:szCs w:val="22"/>
        </w:rPr>
      </w:pPr>
      <w:proofErr w:type="spellStart"/>
      <w:r w:rsidRPr="008F2DD6">
        <w:rPr>
          <w:rFonts w:asciiTheme="majorHAnsi" w:hAnsiTheme="majorHAnsi" w:cstheme="majorHAnsi"/>
          <w:sz w:val="22"/>
          <w:szCs w:val="22"/>
        </w:rPr>
        <w:t>Delsitanisagua</w:t>
      </w:r>
      <w:proofErr w:type="spellEnd"/>
      <w:r w:rsidRPr="008F2DD6">
        <w:rPr>
          <w:rFonts w:asciiTheme="majorHAnsi" w:hAnsiTheme="majorHAnsi" w:cstheme="majorHAnsi"/>
          <w:sz w:val="22"/>
          <w:szCs w:val="22"/>
        </w:rPr>
        <w:t xml:space="preserve">: febrero – 2024, septiembre-2024 </w:t>
      </w:r>
    </w:p>
    <w:p w14:paraId="70352E6C" w14:textId="77777777" w:rsidR="002C72B0" w:rsidRPr="008F2DD6" w:rsidRDefault="002C72B0" w:rsidP="002C72B0">
      <w:pPr>
        <w:pStyle w:val="Prrafodelista"/>
        <w:numPr>
          <w:ilvl w:val="1"/>
          <w:numId w:val="90"/>
        </w:numPr>
        <w:spacing w:line="276" w:lineRule="auto"/>
        <w:ind w:left="1276" w:hanging="196"/>
        <w:jc w:val="both"/>
        <w:rPr>
          <w:rFonts w:asciiTheme="majorHAnsi" w:hAnsiTheme="majorHAnsi" w:cstheme="majorHAnsi"/>
          <w:sz w:val="22"/>
          <w:szCs w:val="22"/>
        </w:rPr>
      </w:pPr>
      <w:r w:rsidRPr="008F2DD6">
        <w:rPr>
          <w:rFonts w:asciiTheme="majorHAnsi" w:hAnsiTheme="majorHAnsi" w:cstheme="majorHAnsi"/>
          <w:sz w:val="22"/>
          <w:szCs w:val="22"/>
        </w:rPr>
        <w:t xml:space="preserve">Minas San Francisco: marzo – abril 2024 </w:t>
      </w:r>
    </w:p>
    <w:p w14:paraId="4342D33B" w14:textId="77777777" w:rsidR="002C72B0" w:rsidRPr="008F2DD6" w:rsidRDefault="002C72B0" w:rsidP="002C72B0">
      <w:pPr>
        <w:pStyle w:val="Prrafodelista"/>
        <w:numPr>
          <w:ilvl w:val="1"/>
          <w:numId w:val="90"/>
        </w:numPr>
        <w:spacing w:line="276" w:lineRule="auto"/>
        <w:ind w:left="1276" w:hanging="196"/>
        <w:jc w:val="both"/>
        <w:rPr>
          <w:rFonts w:asciiTheme="majorHAnsi" w:hAnsiTheme="majorHAnsi" w:cstheme="majorHAnsi"/>
          <w:sz w:val="22"/>
          <w:szCs w:val="22"/>
        </w:rPr>
      </w:pPr>
      <w:r w:rsidRPr="008F2DD6">
        <w:rPr>
          <w:rFonts w:asciiTheme="majorHAnsi" w:hAnsiTheme="majorHAnsi" w:cstheme="majorHAnsi"/>
          <w:sz w:val="22"/>
          <w:szCs w:val="22"/>
        </w:rPr>
        <w:t>Manduriacu: febrero – marzo 2024; septiembre 2024, acción que permitió precautelar la biodiversidad acuática, evitar el impacto en las comunidades ubicadas aguas abajo y precautelar la infraestructura técnica de las centrales hidroeléctricas.</w:t>
      </w:r>
    </w:p>
    <w:p w14:paraId="4863EF35" w14:textId="77777777" w:rsidR="002C72B0" w:rsidRPr="008F2DD6" w:rsidRDefault="002C72B0" w:rsidP="002C72B0">
      <w:pPr>
        <w:spacing w:line="276" w:lineRule="auto"/>
        <w:jc w:val="both"/>
        <w:rPr>
          <w:rFonts w:asciiTheme="majorHAnsi" w:hAnsiTheme="majorHAnsi" w:cstheme="majorHAnsi"/>
          <w:sz w:val="22"/>
          <w:szCs w:val="22"/>
        </w:rPr>
      </w:pPr>
    </w:p>
    <w:p w14:paraId="3CDCAB0E" w14:textId="77777777" w:rsidR="002C72B0" w:rsidRPr="008F2DD6" w:rsidRDefault="002C72B0" w:rsidP="002C72B0">
      <w:pPr>
        <w:spacing w:line="276" w:lineRule="auto"/>
        <w:jc w:val="both"/>
        <w:rPr>
          <w:rFonts w:asciiTheme="majorHAnsi" w:hAnsiTheme="majorHAnsi" w:cstheme="majorHAnsi"/>
          <w:sz w:val="22"/>
          <w:szCs w:val="22"/>
        </w:rPr>
      </w:pPr>
      <w:r w:rsidRPr="008F2DD6">
        <w:rPr>
          <w:rFonts w:asciiTheme="majorHAnsi" w:hAnsiTheme="majorHAnsi" w:cstheme="majorHAnsi"/>
          <w:b/>
          <w:sz w:val="22"/>
          <w:szCs w:val="22"/>
        </w:rPr>
        <w:t>Participación en el Consejo de Planificación de la Circunscripción Territorial Especial Amazónica (CTEA):</w:t>
      </w:r>
      <w:r w:rsidRPr="008F2DD6">
        <w:rPr>
          <w:rFonts w:asciiTheme="majorHAnsi" w:hAnsiTheme="majorHAnsi" w:cstheme="majorHAnsi"/>
          <w:sz w:val="22"/>
          <w:szCs w:val="22"/>
        </w:rPr>
        <w:t xml:space="preserve"> al ser el ministro/ a de Energía y Minas integrante del Consejo de Planificación de la CTEA, y en cumplimiento del Art. 13 de la Ley Reformatoria a la Ley Orgánica para la Planificación Integral de la CTEA. Esta autoridad delegó a dos funcionarios de la Subsecretaría de Territorio y Seguimiento Ambiental para que actúe en su representación como delegados principal y suplente respectivamente  </w:t>
      </w:r>
    </w:p>
    <w:p w14:paraId="7D41D759" w14:textId="77777777" w:rsidR="002C72B0" w:rsidRPr="008F2DD6" w:rsidRDefault="002C72B0" w:rsidP="002C72B0">
      <w:pPr>
        <w:spacing w:line="276" w:lineRule="auto"/>
        <w:jc w:val="both"/>
        <w:rPr>
          <w:rFonts w:asciiTheme="majorHAnsi" w:hAnsiTheme="majorHAnsi" w:cstheme="majorHAnsi"/>
          <w:b/>
          <w:color w:val="4472C4" w:themeColor="accent1"/>
          <w:sz w:val="22"/>
          <w:szCs w:val="22"/>
        </w:rPr>
      </w:pPr>
    </w:p>
    <w:p w14:paraId="61EF7D5F" w14:textId="77777777" w:rsidR="002C72B0" w:rsidRPr="00CA1FC5" w:rsidRDefault="002C72B0" w:rsidP="00CA1FC5">
      <w:pPr>
        <w:pStyle w:val="Ttulo4"/>
        <w:rPr>
          <w:i w:val="0"/>
          <w:sz w:val="22"/>
          <w:szCs w:val="22"/>
        </w:rPr>
      </w:pPr>
      <w:r w:rsidRPr="00CA1FC5">
        <w:rPr>
          <w:i w:val="0"/>
          <w:sz w:val="22"/>
          <w:szCs w:val="22"/>
        </w:rPr>
        <w:t>Gestión Seguimiento Ambiental</w:t>
      </w:r>
    </w:p>
    <w:p w14:paraId="1E1CB3D4" w14:textId="77777777" w:rsidR="002C72B0" w:rsidRPr="008F2DD6" w:rsidRDefault="002C72B0" w:rsidP="002C72B0">
      <w:pPr>
        <w:spacing w:before="100" w:beforeAutospacing="1" w:after="100" w:afterAutospacing="1" w:line="276" w:lineRule="auto"/>
        <w:jc w:val="both"/>
        <w:rPr>
          <w:rFonts w:asciiTheme="majorHAnsi" w:hAnsiTheme="majorHAnsi" w:cstheme="majorHAnsi"/>
          <w:sz w:val="22"/>
          <w:szCs w:val="22"/>
        </w:rPr>
      </w:pPr>
      <w:r w:rsidRPr="008F2DD6">
        <w:rPr>
          <w:rFonts w:asciiTheme="majorHAnsi" w:hAnsiTheme="majorHAnsi" w:cstheme="majorHAnsi"/>
          <w:sz w:val="22"/>
          <w:szCs w:val="22"/>
        </w:rPr>
        <w:t>Durante el año 2024, se alcanzaron los siguientes resultados de gestión:</w:t>
      </w:r>
    </w:p>
    <w:p w14:paraId="4E2B8EDA" w14:textId="77777777" w:rsidR="002C72B0" w:rsidRPr="00192E54" w:rsidRDefault="002C72B0" w:rsidP="00192E54">
      <w:pPr>
        <w:spacing w:before="100" w:beforeAutospacing="1" w:after="100" w:afterAutospacing="1" w:line="276" w:lineRule="auto"/>
        <w:jc w:val="both"/>
        <w:rPr>
          <w:rFonts w:asciiTheme="majorHAnsi" w:hAnsiTheme="majorHAnsi" w:cstheme="majorHAnsi"/>
          <w:sz w:val="22"/>
          <w:szCs w:val="22"/>
        </w:rPr>
      </w:pPr>
      <w:r w:rsidRPr="00192E54">
        <w:rPr>
          <w:rFonts w:asciiTheme="majorHAnsi" w:hAnsiTheme="majorHAnsi" w:cstheme="majorHAnsi"/>
          <w:b/>
          <w:sz w:val="22"/>
          <w:szCs w:val="22"/>
        </w:rPr>
        <w:t>Seguimiento a trámites de Regularización y control ante la Autoridad Ambiental Nacional</w:t>
      </w:r>
      <w:r w:rsidRPr="00192E54">
        <w:rPr>
          <w:rFonts w:asciiTheme="majorHAnsi" w:hAnsiTheme="majorHAnsi" w:cstheme="majorHAnsi"/>
          <w:sz w:val="22"/>
          <w:szCs w:val="22"/>
        </w:rPr>
        <w:t xml:space="preserve"> de los proyectos </w:t>
      </w:r>
      <w:proofErr w:type="spellStart"/>
      <w:r w:rsidRPr="00192E54">
        <w:rPr>
          <w:rFonts w:asciiTheme="majorHAnsi" w:hAnsiTheme="majorHAnsi" w:cstheme="majorHAnsi"/>
          <w:sz w:val="22"/>
          <w:szCs w:val="22"/>
        </w:rPr>
        <w:t>hidrocarburíferos</w:t>
      </w:r>
      <w:proofErr w:type="spellEnd"/>
      <w:r w:rsidRPr="00192E54">
        <w:rPr>
          <w:rFonts w:asciiTheme="majorHAnsi" w:hAnsiTheme="majorHAnsi" w:cstheme="majorHAnsi"/>
          <w:sz w:val="22"/>
          <w:szCs w:val="22"/>
        </w:rPr>
        <w:t xml:space="preserve"> para lo cual se llevó a cabo 13 mesas de trabajo con representantes del Ministerio de Ambiente, Agua y Transición Ecológica, de los cuales se ha gestionado los siguientes proyectos de inversión en la industria </w:t>
      </w:r>
      <w:proofErr w:type="spellStart"/>
      <w:r w:rsidRPr="00192E54">
        <w:rPr>
          <w:rFonts w:asciiTheme="majorHAnsi" w:hAnsiTheme="majorHAnsi" w:cstheme="majorHAnsi"/>
          <w:sz w:val="22"/>
          <w:szCs w:val="22"/>
        </w:rPr>
        <w:t>hidrocarburífera</w:t>
      </w:r>
      <w:proofErr w:type="spellEnd"/>
      <w:r w:rsidRPr="00192E54">
        <w:rPr>
          <w:rFonts w:asciiTheme="majorHAnsi" w:hAnsiTheme="majorHAnsi" w:cstheme="majorHAnsi"/>
          <w:sz w:val="22"/>
          <w:szCs w:val="22"/>
        </w:rPr>
        <w:t xml:space="preserve">. </w:t>
      </w:r>
    </w:p>
    <w:p w14:paraId="44EB59FB" w14:textId="011D7793" w:rsidR="00BE424E" w:rsidRPr="00BE424E" w:rsidRDefault="00BE424E" w:rsidP="00BE424E">
      <w:pPr>
        <w:pStyle w:val="Descripcin"/>
        <w:rPr>
          <w:rFonts w:asciiTheme="majorHAnsi" w:hAnsiTheme="majorHAnsi" w:cstheme="majorHAnsi"/>
        </w:rPr>
      </w:pPr>
      <w:bookmarkStart w:id="461" w:name="_Toc199759707"/>
      <w:r w:rsidRPr="00BE424E">
        <w:rPr>
          <w:rFonts w:asciiTheme="majorHAnsi" w:hAnsiTheme="majorHAnsi" w:cstheme="majorHAnsi"/>
        </w:rPr>
        <w:t xml:space="preserve">Tabla </w:t>
      </w:r>
      <w:r w:rsidRPr="00BE424E">
        <w:rPr>
          <w:rFonts w:asciiTheme="majorHAnsi" w:hAnsiTheme="majorHAnsi" w:cstheme="majorHAnsi"/>
        </w:rPr>
        <w:fldChar w:fldCharType="begin"/>
      </w:r>
      <w:r w:rsidRPr="00BE424E">
        <w:rPr>
          <w:rFonts w:asciiTheme="majorHAnsi" w:hAnsiTheme="majorHAnsi" w:cstheme="majorHAnsi"/>
        </w:rPr>
        <w:instrText xml:space="preserve"> SEQ Tabla \* ARABIC </w:instrText>
      </w:r>
      <w:r w:rsidRPr="00BE424E">
        <w:rPr>
          <w:rFonts w:asciiTheme="majorHAnsi" w:hAnsiTheme="majorHAnsi" w:cstheme="majorHAnsi"/>
        </w:rPr>
        <w:fldChar w:fldCharType="separate"/>
      </w:r>
      <w:r w:rsidR="00CF0AD2">
        <w:rPr>
          <w:rFonts w:asciiTheme="majorHAnsi" w:hAnsiTheme="majorHAnsi" w:cstheme="majorHAnsi"/>
          <w:noProof/>
        </w:rPr>
        <w:t>37</w:t>
      </w:r>
      <w:r w:rsidRPr="00BE424E">
        <w:rPr>
          <w:rFonts w:asciiTheme="majorHAnsi" w:hAnsiTheme="majorHAnsi" w:cstheme="majorHAnsi"/>
        </w:rPr>
        <w:fldChar w:fldCharType="end"/>
      </w:r>
      <w:r w:rsidR="00C751F5">
        <w:rPr>
          <w:rFonts w:asciiTheme="majorHAnsi" w:hAnsiTheme="majorHAnsi" w:cstheme="majorHAnsi"/>
        </w:rPr>
        <w:t>: T</w:t>
      </w:r>
      <w:r w:rsidRPr="00BE424E">
        <w:rPr>
          <w:rFonts w:asciiTheme="majorHAnsi" w:hAnsiTheme="majorHAnsi" w:cstheme="majorHAnsi"/>
        </w:rPr>
        <w:t>rámites de Regularización y control ante la Autoridad Ambiental Nacional</w:t>
      </w:r>
      <w:bookmarkEnd w:id="461"/>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241"/>
        <w:gridCol w:w="4429"/>
      </w:tblGrid>
      <w:tr w:rsidR="002C72B0" w:rsidRPr="008F2DD6" w14:paraId="3FB54CF3" w14:textId="77777777" w:rsidTr="004D1CC3">
        <w:trPr>
          <w:trHeight w:val="557"/>
          <w:tblHeader/>
          <w:jc w:val="center"/>
        </w:trPr>
        <w:tc>
          <w:tcPr>
            <w:tcW w:w="1838" w:type="dxa"/>
            <w:shd w:val="clear" w:color="auto" w:fill="D9E2F3" w:themeFill="accent1" w:themeFillTint="33"/>
            <w:noWrap/>
            <w:vAlign w:val="center"/>
            <w:hideMark/>
          </w:tcPr>
          <w:p w14:paraId="78141BEE" w14:textId="77777777" w:rsidR="002C72B0" w:rsidRPr="00BE424E" w:rsidRDefault="002C72B0" w:rsidP="000A4588">
            <w:pPr>
              <w:spacing w:line="276" w:lineRule="auto"/>
              <w:jc w:val="both"/>
              <w:rPr>
                <w:rFonts w:asciiTheme="majorHAnsi" w:eastAsia="Times New Roman" w:hAnsiTheme="majorHAnsi" w:cstheme="majorHAnsi"/>
                <w:b/>
                <w:bCs/>
                <w:sz w:val="16"/>
                <w:szCs w:val="16"/>
              </w:rPr>
            </w:pPr>
            <w:r w:rsidRPr="00BE424E">
              <w:rPr>
                <w:rFonts w:asciiTheme="majorHAnsi" w:eastAsia="Times New Roman" w:hAnsiTheme="majorHAnsi" w:cstheme="majorHAnsi"/>
                <w:b/>
                <w:bCs/>
                <w:sz w:val="16"/>
                <w:szCs w:val="16"/>
              </w:rPr>
              <w:t>OPERADORA</w:t>
            </w:r>
          </w:p>
        </w:tc>
        <w:tc>
          <w:tcPr>
            <w:tcW w:w="1241" w:type="dxa"/>
            <w:shd w:val="clear" w:color="auto" w:fill="D9E2F3" w:themeFill="accent1" w:themeFillTint="33"/>
            <w:noWrap/>
            <w:vAlign w:val="center"/>
            <w:hideMark/>
          </w:tcPr>
          <w:p w14:paraId="36807864" w14:textId="77777777" w:rsidR="002C72B0" w:rsidRPr="00BE424E" w:rsidRDefault="002C72B0" w:rsidP="000A4588">
            <w:pPr>
              <w:spacing w:line="276" w:lineRule="auto"/>
              <w:jc w:val="both"/>
              <w:rPr>
                <w:rFonts w:asciiTheme="majorHAnsi" w:eastAsia="Times New Roman" w:hAnsiTheme="majorHAnsi" w:cstheme="majorHAnsi"/>
                <w:b/>
                <w:bCs/>
                <w:sz w:val="16"/>
                <w:szCs w:val="16"/>
              </w:rPr>
            </w:pPr>
            <w:r w:rsidRPr="00BE424E">
              <w:rPr>
                <w:rFonts w:asciiTheme="majorHAnsi" w:eastAsia="Times New Roman" w:hAnsiTheme="majorHAnsi" w:cstheme="majorHAnsi"/>
                <w:b/>
                <w:bCs/>
                <w:sz w:val="16"/>
                <w:szCs w:val="16"/>
              </w:rPr>
              <w:t>NRO. BLOQUE</w:t>
            </w:r>
          </w:p>
        </w:tc>
        <w:tc>
          <w:tcPr>
            <w:tcW w:w="4429" w:type="dxa"/>
            <w:shd w:val="clear" w:color="auto" w:fill="D9E2F3" w:themeFill="accent1" w:themeFillTint="33"/>
            <w:noWrap/>
            <w:vAlign w:val="center"/>
            <w:hideMark/>
          </w:tcPr>
          <w:p w14:paraId="799762C6" w14:textId="77777777" w:rsidR="002C72B0" w:rsidRPr="00BE424E" w:rsidRDefault="002C72B0" w:rsidP="000A4588">
            <w:pPr>
              <w:spacing w:line="276" w:lineRule="auto"/>
              <w:jc w:val="both"/>
              <w:rPr>
                <w:rFonts w:asciiTheme="majorHAnsi" w:eastAsia="Times New Roman" w:hAnsiTheme="majorHAnsi" w:cstheme="majorHAnsi"/>
                <w:b/>
                <w:bCs/>
                <w:sz w:val="16"/>
                <w:szCs w:val="16"/>
              </w:rPr>
            </w:pPr>
            <w:r w:rsidRPr="00BE424E">
              <w:rPr>
                <w:rFonts w:asciiTheme="majorHAnsi" w:eastAsia="Times New Roman" w:hAnsiTheme="majorHAnsi" w:cstheme="majorHAnsi"/>
                <w:b/>
                <w:bCs/>
                <w:sz w:val="16"/>
                <w:szCs w:val="16"/>
              </w:rPr>
              <w:t>TRÁMITE (NOMBRE COMPLETO DEL PROYECTO)</w:t>
            </w:r>
          </w:p>
        </w:tc>
      </w:tr>
      <w:tr w:rsidR="002C72B0" w:rsidRPr="008F2DD6" w14:paraId="798F6D70" w14:textId="77777777" w:rsidTr="000A4588">
        <w:trPr>
          <w:trHeight w:val="282"/>
          <w:jc w:val="center"/>
        </w:trPr>
        <w:tc>
          <w:tcPr>
            <w:tcW w:w="1838" w:type="dxa"/>
            <w:shd w:val="clear" w:color="auto" w:fill="auto"/>
            <w:vAlign w:val="center"/>
            <w:hideMark/>
          </w:tcPr>
          <w:p w14:paraId="2955EC68"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 xml:space="preserve">Andes </w:t>
            </w:r>
            <w:proofErr w:type="spellStart"/>
            <w:r w:rsidRPr="00BE424E">
              <w:rPr>
                <w:rFonts w:asciiTheme="majorHAnsi" w:eastAsia="Times New Roman" w:hAnsiTheme="majorHAnsi" w:cstheme="majorHAnsi"/>
                <w:color w:val="000000"/>
                <w:sz w:val="16"/>
                <w:szCs w:val="16"/>
              </w:rPr>
              <w:t>Petroleum</w:t>
            </w:r>
            <w:proofErr w:type="spellEnd"/>
            <w:r w:rsidRPr="00BE424E">
              <w:rPr>
                <w:rFonts w:asciiTheme="majorHAnsi" w:eastAsia="Times New Roman" w:hAnsiTheme="majorHAnsi" w:cstheme="majorHAnsi"/>
                <w:color w:val="000000"/>
                <w:sz w:val="16"/>
                <w:szCs w:val="16"/>
              </w:rPr>
              <w:t xml:space="preserve"> Ecuador Ltd.</w:t>
            </w:r>
          </w:p>
        </w:tc>
        <w:tc>
          <w:tcPr>
            <w:tcW w:w="1241" w:type="dxa"/>
            <w:shd w:val="clear" w:color="auto" w:fill="auto"/>
            <w:vAlign w:val="center"/>
            <w:hideMark/>
          </w:tcPr>
          <w:p w14:paraId="605B1B5C"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62</w:t>
            </w:r>
          </w:p>
        </w:tc>
        <w:tc>
          <w:tcPr>
            <w:tcW w:w="4429" w:type="dxa"/>
            <w:shd w:val="clear" w:color="auto" w:fill="auto"/>
            <w:vAlign w:val="center"/>
            <w:hideMark/>
          </w:tcPr>
          <w:p w14:paraId="22358080"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 xml:space="preserve">Presentación de la Actualización del Plan de Manejo Ambiental para la obtención del permiso administrativo para Ampliación de la Plataforma </w:t>
            </w:r>
            <w:proofErr w:type="spellStart"/>
            <w:r w:rsidRPr="00BE424E">
              <w:rPr>
                <w:rFonts w:asciiTheme="majorHAnsi" w:eastAsia="Times New Roman" w:hAnsiTheme="majorHAnsi" w:cstheme="majorHAnsi"/>
                <w:color w:val="000000"/>
                <w:sz w:val="16"/>
                <w:szCs w:val="16"/>
              </w:rPr>
              <w:t>Mariann</w:t>
            </w:r>
            <w:proofErr w:type="spellEnd"/>
            <w:r w:rsidRPr="00BE424E">
              <w:rPr>
                <w:rFonts w:asciiTheme="majorHAnsi" w:eastAsia="Times New Roman" w:hAnsiTheme="majorHAnsi" w:cstheme="majorHAnsi"/>
                <w:color w:val="000000"/>
                <w:sz w:val="16"/>
                <w:szCs w:val="16"/>
              </w:rPr>
              <w:t xml:space="preserve"> 9 y Perforación de pozos de Desarrollo</w:t>
            </w:r>
          </w:p>
        </w:tc>
      </w:tr>
      <w:tr w:rsidR="002C72B0" w:rsidRPr="008F2DD6" w14:paraId="1F760326" w14:textId="77777777" w:rsidTr="000A4588">
        <w:trPr>
          <w:trHeight w:val="378"/>
          <w:jc w:val="center"/>
        </w:trPr>
        <w:tc>
          <w:tcPr>
            <w:tcW w:w="1838" w:type="dxa"/>
            <w:shd w:val="clear" w:color="auto" w:fill="auto"/>
            <w:vAlign w:val="center"/>
            <w:hideMark/>
          </w:tcPr>
          <w:p w14:paraId="0E6651B5"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 xml:space="preserve">Gente </w:t>
            </w:r>
            <w:proofErr w:type="spellStart"/>
            <w:r w:rsidRPr="00BE424E">
              <w:rPr>
                <w:rFonts w:asciiTheme="majorHAnsi" w:eastAsia="Times New Roman" w:hAnsiTheme="majorHAnsi" w:cstheme="majorHAnsi"/>
                <w:color w:val="000000"/>
                <w:sz w:val="16"/>
                <w:szCs w:val="16"/>
              </w:rPr>
              <w:t>Oil</w:t>
            </w:r>
            <w:proofErr w:type="spellEnd"/>
            <w:r w:rsidRPr="00BE424E">
              <w:rPr>
                <w:rFonts w:asciiTheme="majorHAnsi" w:eastAsia="Times New Roman" w:hAnsiTheme="majorHAnsi" w:cstheme="majorHAnsi"/>
                <w:color w:val="000000"/>
                <w:sz w:val="16"/>
                <w:szCs w:val="16"/>
              </w:rPr>
              <w:t xml:space="preserve"> Ecuador</w:t>
            </w:r>
          </w:p>
        </w:tc>
        <w:tc>
          <w:tcPr>
            <w:tcW w:w="1241" w:type="dxa"/>
            <w:shd w:val="clear" w:color="auto" w:fill="auto"/>
            <w:vAlign w:val="center"/>
            <w:hideMark/>
          </w:tcPr>
          <w:p w14:paraId="06595583"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Bloque 53 Singue</w:t>
            </w:r>
          </w:p>
        </w:tc>
        <w:tc>
          <w:tcPr>
            <w:tcW w:w="4429" w:type="dxa"/>
            <w:shd w:val="clear" w:color="auto" w:fill="auto"/>
            <w:vAlign w:val="center"/>
            <w:hideMark/>
          </w:tcPr>
          <w:p w14:paraId="2C324461"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Actualización del Plan de Manejo Ambiental para la Unificación de Licencias Ambientales del Bloque 53 – Singue.</w:t>
            </w:r>
          </w:p>
        </w:tc>
      </w:tr>
      <w:tr w:rsidR="002C72B0" w:rsidRPr="008F2DD6" w14:paraId="3C6669E0" w14:textId="77777777" w:rsidTr="000A4588">
        <w:trPr>
          <w:trHeight w:val="244"/>
          <w:jc w:val="center"/>
        </w:trPr>
        <w:tc>
          <w:tcPr>
            <w:tcW w:w="1838" w:type="dxa"/>
            <w:shd w:val="clear" w:color="auto" w:fill="auto"/>
            <w:vAlign w:val="center"/>
            <w:hideMark/>
          </w:tcPr>
          <w:p w14:paraId="0D638E57"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PCR ECUADOR</w:t>
            </w:r>
          </w:p>
        </w:tc>
        <w:tc>
          <w:tcPr>
            <w:tcW w:w="1241" w:type="dxa"/>
            <w:shd w:val="clear" w:color="auto" w:fill="auto"/>
            <w:vAlign w:val="center"/>
            <w:hideMark/>
          </w:tcPr>
          <w:p w14:paraId="3F5868A9"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91</w:t>
            </w:r>
          </w:p>
        </w:tc>
        <w:tc>
          <w:tcPr>
            <w:tcW w:w="4429" w:type="dxa"/>
            <w:shd w:val="clear" w:color="auto" w:fill="auto"/>
            <w:vAlign w:val="center"/>
            <w:hideMark/>
          </w:tcPr>
          <w:p w14:paraId="3DB3F90E"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Cambio de titularidad de licencia 058-SUIA</w:t>
            </w:r>
          </w:p>
        </w:tc>
      </w:tr>
      <w:tr w:rsidR="002C72B0" w:rsidRPr="008F2DD6" w14:paraId="7C3561C7" w14:textId="77777777" w:rsidTr="000A4588">
        <w:trPr>
          <w:trHeight w:val="701"/>
          <w:jc w:val="center"/>
        </w:trPr>
        <w:tc>
          <w:tcPr>
            <w:tcW w:w="1838" w:type="dxa"/>
            <w:shd w:val="clear" w:color="auto" w:fill="auto"/>
            <w:vAlign w:val="center"/>
            <w:hideMark/>
          </w:tcPr>
          <w:p w14:paraId="3FF87D68"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 xml:space="preserve">Consorcio </w:t>
            </w:r>
            <w:proofErr w:type="spellStart"/>
            <w:r w:rsidRPr="00BE424E">
              <w:rPr>
                <w:rFonts w:asciiTheme="majorHAnsi" w:eastAsia="Times New Roman" w:hAnsiTheme="majorHAnsi" w:cstheme="majorHAnsi"/>
                <w:color w:val="000000"/>
                <w:sz w:val="16"/>
                <w:szCs w:val="16"/>
              </w:rPr>
              <w:t>GeoPark</w:t>
            </w:r>
            <w:proofErr w:type="spellEnd"/>
            <w:r w:rsidRPr="00BE424E">
              <w:rPr>
                <w:rFonts w:asciiTheme="majorHAnsi" w:eastAsia="Times New Roman" w:hAnsiTheme="majorHAnsi" w:cstheme="majorHAnsi"/>
                <w:color w:val="000000"/>
                <w:sz w:val="16"/>
                <w:szCs w:val="16"/>
              </w:rPr>
              <w:t xml:space="preserve"> Frontera Bloque Espejo</w:t>
            </w:r>
          </w:p>
        </w:tc>
        <w:tc>
          <w:tcPr>
            <w:tcW w:w="1241" w:type="dxa"/>
            <w:shd w:val="clear" w:color="auto" w:fill="auto"/>
            <w:vAlign w:val="center"/>
            <w:hideMark/>
          </w:tcPr>
          <w:p w14:paraId="3AEFE01D"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92</w:t>
            </w:r>
          </w:p>
        </w:tc>
        <w:tc>
          <w:tcPr>
            <w:tcW w:w="4429" w:type="dxa"/>
            <w:shd w:val="clear" w:color="auto" w:fill="auto"/>
            <w:vAlign w:val="center"/>
            <w:hideMark/>
          </w:tcPr>
          <w:p w14:paraId="1F759081"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Ingreso para revisión y aprobación el Informe Ambiental de Bajo Impacto para la Reubicación de API y Acceso del PAD B en el Bloque Espejo.</w:t>
            </w:r>
          </w:p>
        </w:tc>
      </w:tr>
      <w:tr w:rsidR="002C72B0" w:rsidRPr="008F2DD6" w14:paraId="1FF66F39" w14:textId="77777777" w:rsidTr="000A4588">
        <w:trPr>
          <w:trHeight w:val="427"/>
          <w:jc w:val="center"/>
        </w:trPr>
        <w:tc>
          <w:tcPr>
            <w:tcW w:w="1838" w:type="dxa"/>
            <w:shd w:val="clear" w:color="auto" w:fill="auto"/>
            <w:vAlign w:val="center"/>
            <w:hideMark/>
          </w:tcPr>
          <w:p w14:paraId="26F502FC"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EP PETROECUADOR</w:t>
            </w:r>
          </w:p>
        </w:tc>
        <w:tc>
          <w:tcPr>
            <w:tcW w:w="1241" w:type="dxa"/>
            <w:shd w:val="clear" w:color="auto" w:fill="auto"/>
            <w:vAlign w:val="center"/>
            <w:hideMark/>
          </w:tcPr>
          <w:p w14:paraId="20804269"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60</w:t>
            </w:r>
          </w:p>
        </w:tc>
        <w:tc>
          <w:tcPr>
            <w:tcW w:w="4429" w:type="dxa"/>
            <w:shd w:val="clear" w:color="auto" w:fill="auto"/>
            <w:vAlign w:val="center"/>
            <w:hideMark/>
          </w:tcPr>
          <w:p w14:paraId="738066D8"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Solicitud de Traspaso de las Licencias Ambientales de Rio Napo a EP Petroecuador</w:t>
            </w:r>
          </w:p>
        </w:tc>
      </w:tr>
      <w:tr w:rsidR="002C72B0" w:rsidRPr="008F2DD6" w14:paraId="4E6525F1" w14:textId="77777777" w:rsidTr="000A4588">
        <w:trPr>
          <w:trHeight w:val="263"/>
          <w:jc w:val="center"/>
        </w:trPr>
        <w:tc>
          <w:tcPr>
            <w:tcW w:w="1838" w:type="dxa"/>
            <w:shd w:val="clear" w:color="auto" w:fill="auto"/>
            <w:vAlign w:val="center"/>
            <w:hideMark/>
          </w:tcPr>
          <w:p w14:paraId="4C158FD5"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EP PETROECUADOR</w:t>
            </w:r>
          </w:p>
        </w:tc>
        <w:tc>
          <w:tcPr>
            <w:tcW w:w="1241" w:type="dxa"/>
            <w:shd w:val="clear" w:color="auto" w:fill="auto"/>
            <w:vAlign w:val="center"/>
            <w:hideMark/>
          </w:tcPr>
          <w:p w14:paraId="723BCC12"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60</w:t>
            </w:r>
          </w:p>
        </w:tc>
        <w:tc>
          <w:tcPr>
            <w:tcW w:w="4429" w:type="dxa"/>
            <w:shd w:val="clear" w:color="auto" w:fill="auto"/>
            <w:vAlign w:val="center"/>
            <w:hideMark/>
          </w:tcPr>
          <w:p w14:paraId="7B10CBBE"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Análisis Técnico: Implementación De 8 Generadores Para Bloque 60- Sacha Sur Plataforma 198. BLOQUE 60</w:t>
            </w:r>
          </w:p>
        </w:tc>
      </w:tr>
      <w:tr w:rsidR="002C72B0" w:rsidRPr="008F2DD6" w14:paraId="20D59638" w14:textId="77777777" w:rsidTr="000A4588">
        <w:trPr>
          <w:trHeight w:val="594"/>
          <w:jc w:val="center"/>
        </w:trPr>
        <w:tc>
          <w:tcPr>
            <w:tcW w:w="1838" w:type="dxa"/>
            <w:shd w:val="clear" w:color="auto" w:fill="auto"/>
            <w:vAlign w:val="center"/>
            <w:hideMark/>
          </w:tcPr>
          <w:p w14:paraId="196D7A60"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EP PETROECUADOR</w:t>
            </w:r>
          </w:p>
        </w:tc>
        <w:tc>
          <w:tcPr>
            <w:tcW w:w="1241" w:type="dxa"/>
            <w:shd w:val="clear" w:color="auto" w:fill="auto"/>
            <w:vAlign w:val="center"/>
            <w:hideMark/>
          </w:tcPr>
          <w:p w14:paraId="17FC76F7"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58</w:t>
            </w:r>
          </w:p>
        </w:tc>
        <w:tc>
          <w:tcPr>
            <w:tcW w:w="4429" w:type="dxa"/>
            <w:shd w:val="clear" w:color="auto" w:fill="auto"/>
            <w:vAlign w:val="center"/>
            <w:hideMark/>
          </w:tcPr>
          <w:p w14:paraId="4B6C9D26"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Solicitud de Traspaso De Las Licencias Ambientales De City Oriente a EP Petroecuador (CAMPOS BLANCA - TIPISHCA)</w:t>
            </w:r>
          </w:p>
        </w:tc>
      </w:tr>
      <w:tr w:rsidR="002C72B0" w:rsidRPr="008F2DD6" w14:paraId="47D2B73B" w14:textId="77777777" w:rsidTr="000A4588">
        <w:trPr>
          <w:trHeight w:val="703"/>
          <w:jc w:val="center"/>
        </w:trPr>
        <w:tc>
          <w:tcPr>
            <w:tcW w:w="1838" w:type="dxa"/>
            <w:shd w:val="clear" w:color="auto" w:fill="auto"/>
            <w:vAlign w:val="center"/>
            <w:hideMark/>
          </w:tcPr>
          <w:p w14:paraId="3CF0ACE6"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EP PETROECUADOR</w:t>
            </w:r>
          </w:p>
        </w:tc>
        <w:tc>
          <w:tcPr>
            <w:tcW w:w="1241" w:type="dxa"/>
            <w:shd w:val="clear" w:color="auto" w:fill="auto"/>
            <w:vAlign w:val="center"/>
            <w:hideMark/>
          </w:tcPr>
          <w:p w14:paraId="7825C320"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58</w:t>
            </w:r>
          </w:p>
        </w:tc>
        <w:tc>
          <w:tcPr>
            <w:tcW w:w="4429" w:type="dxa"/>
            <w:shd w:val="clear" w:color="auto" w:fill="auto"/>
            <w:vAlign w:val="center"/>
            <w:hideMark/>
          </w:tcPr>
          <w:p w14:paraId="5BBB9F14"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 xml:space="preserve">Estudio Técnico Para La Aprobación Ambiental De Reinyección De Fluidos En El Pozo </w:t>
            </w:r>
            <w:proofErr w:type="spellStart"/>
            <w:r w:rsidRPr="00BE424E">
              <w:rPr>
                <w:rFonts w:asciiTheme="majorHAnsi" w:eastAsia="Times New Roman" w:hAnsiTheme="majorHAnsi" w:cstheme="majorHAnsi"/>
                <w:color w:val="000000"/>
                <w:sz w:val="16"/>
                <w:szCs w:val="16"/>
              </w:rPr>
              <w:t>Sansahuari</w:t>
            </w:r>
            <w:proofErr w:type="spellEnd"/>
            <w:r w:rsidRPr="00BE424E">
              <w:rPr>
                <w:rFonts w:asciiTheme="majorHAnsi" w:eastAsia="Times New Roman" w:hAnsiTheme="majorHAnsi" w:cstheme="majorHAnsi"/>
                <w:color w:val="000000"/>
                <w:sz w:val="16"/>
                <w:szCs w:val="16"/>
              </w:rPr>
              <w:t xml:space="preserve"> 23 En La Formación Napo En La Arenisca T Inferior, Bloque 58</w:t>
            </w:r>
          </w:p>
        </w:tc>
      </w:tr>
      <w:tr w:rsidR="002C72B0" w:rsidRPr="008F2DD6" w14:paraId="7868092F" w14:textId="77777777" w:rsidTr="000A4588">
        <w:trPr>
          <w:trHeight w:val="840"/>
          <w:jc w:val="center"/>
        </w:trPr>
        <w:tc>
          <w:tcPr>
            <w:tcW w:w="1838" w:type="dxa"/>
            <w:shd w:val="clear" w:color="auto" w:fill="auto"/>
            <w:vAlign w:val="center"/>
            <w:hideMark/>
          </w:tcPr>
          <w:p w14:paraId="79CC1AA9"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EP PETROECUADOR</w:t>
            </w:r>
          </w:p>
        </w:tc>
        <w:tc>
          <w:tcPr>
            <w:tcW w:w="1241" w:type="dxa"/>
            <w:shd w:val="clear" w:color="auto" w:fill="auto"/>
            <w:vAlign w:val="center"/>
            <w:hideMark/>
          </w:tcPr>
          <w:p w14:paraId="2627C97F"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43</w:t>
            </w:r>
          </w:p>
        </w:tc>
        <w:tc>
          <w:tcPr>
            <w:tcW w:w="4429" w:type="dxa"/>
            <w:shd w:val="clear" w:color="auto" w:fill="auto"/>
            <w:vAlign w:val="center"/>
            <w:hideMark/>
          </w:tcPr>
          <w:p w14:paraId="5F69C99A"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 xml:space="preserve">Estudio Complementario al Estudio de Impacto y Plan de Manejo Ambiental del Proyecto Desarrollo y Producción de los Campos: Tiputini y </w:t>
            </w:r>
            <w:proofErr w:type="spellStart"/>
            <w:r w:rsidRPr="00BE424E">
              <w:rPr>
                <w:rFonts w:asciiTheme="majorHAnsi" w:eastAsia="Times New Roman" w:hAnsiTheme="majorHAnsi" w:cstheme="majorHAnsi"/>
                <w:color w:val="000000"/>
                <w:sz w:val="16"/>
                <w:szCs w:val="16"/>
              </w:rPr>
              <w:t>Tambococha</w:t>
            </w:r>
            <w:proofErr w:type="spellEnd"/>
            <w:r w:rsidRPr="00BE424E">
              <w:rPr>
                <w:rFonts w:asciiTheme="majorHAnsi" w:eastAsia="Times New Roman" w:hAnsiTheme="majorHAnsi" w:cstheme="majorHAnsi"/>
                <w:color w:val="000000"/>
                <w:sz w:val="16"/>
                <w:szCs w:val="16"/>
              </w:rPr>
              <w:t xml:space="preserve">, para la Construcción de la Línea de Flujo </w:t>
            </w:r>
            <w:proofErr w:type="spellStart"/>
            <w:r w:rsidRPr="00BE424E">
              <w:rPr>
                <w:rFonts w:asciiTheme="majorHAnsi" w:eastAsia="Times New Roman" w:hAnsiTheme="majorHAnsi" w:cstheme="majorHAnsi"/>
                <w:color w:val="000000"/>
                <w:sz w:val="16"/>
                <w:szCs w:val="16"/>
              </w:rPr>
              <w:t>Tambococha</w:t>
            </w:r>
            <w:proofErr w:type="spellEnd"/>
            <w:r w:rsidRPr="00BE424E">
              <w:rPr>
                <w:rFonts w:asciiTheme="majorHAnsi" w:eastAsia="Times New Roman" w:hAnsiTheme="majorHAnsi" w:cstheme="majorHAnsi"/>
                <w:color w:val="000000"/>
                <w:sz w:val="16"/>
                <w:szCs w:val="16"/>
              </w:rPr>
              <w:t xml:space="preserve"> B - Central de Procesos Tiputini. Bloque 43</w:t>
            </w:r>
          </w:p>
        </w:tc>
      </w:tr>
      <w:tr w:rsidR="002C72B0" w:rsidRPr="008F2DD6" w14:paraId="01A25905" w14:textId="77777777" w:rsidTr="000A4588">
        <w:trPr>
          <w:trHeight w:val="359"/>
          <w:jc w:val="center"/>
        </w:trPr>
        <w:tc>
          <w:tcPr>
            <w:tcW w:w="1838" w:type="dxa"/>
            <w:shd w:val="clear" w:color="auto" w:fill="auto"/>
            <w:vAlign w:val="center"/>
            <w:hideMark/>
          </w:tcPr>
          <w:p w14:paraId="4A355406"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EP PETROECUADOR</w:t>
            </w:r>
          </w:p>
        </w:tc>
        <w:tc>
          <w:tcPr>
            <w:tcW w:w="1241" w:type="dxa"/>
            <w:shd w:val="clear" w:color="auto" w:fill="auto"/>
            <w:vAlign w:val="center"/>
            <w:hideMark/>
          </w:tcPr>
          <w:p w14:paraId="7AE53F12"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43</w:t>
            </w:r>
          </w:p>
        </w:tc>
        <w:tc>
          <w:tcPr>
            <w:tcW w:w="4429" w:type="dxa"/>
            <w:shd w:val="clear" w:color="auto" w:fill="auto"/>
            <w:vAlign w:val="center"/>
            <w:hideMark/>
          </w:tcPr>
          <w:p w14:paraId="47B18E06"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 xml:space="preserve">Estudio de Impacto Ambiental EX-POST para el desarrollo y producción de los campos Tiputini y </w:t>
            </w:r>
            <w:proofErr w:type="spellStart"/>
            <w:r w:rsidRPr="00BE424E">
              <w:rPr>
                <w:rFonts w:asciiTheme="majorHAnsi" w:eastAsia="Times New Roman" w:hAnsiTheme="majorHAnsi" w:cstheme="majorHAnsi"/>
                <w:color w:val="000000"/>
                <w:sz w:val="16"/>
                <w:szCs w:val="16"/>
              </w:rPr>
              <w:t>Tambococha</w:t>
            </w:r>
            <w:proofErr w:type="spellEnd"/>
            <w:r w:rsidRPr="00BE424E">
              <w:rPr>
                <w:rFonts w:asciiTheme="majorHAnsi" w:eastAsia="Times New Roman" w:hAnsiTheme="majorHAnsi" w:cstheme="majorHAnsi"/>
                <w:color w:val="000000"/>
                <w:sz w:val="16"/>
                <w:szCs w:val="16"/>
              </w:rPr>
              <w:t>, Bloque 43</w:t>
            </w:r>
          </w:p>
        </w:tc>
      </w:tr>
      <w:tr w:rsidR="002C72B0" w:rsidRPr="008F2DD6" w14:paraId="0C71FED5" w14:textId="77777777" w:rsidTr="000A4588">
        <w:trPr>
          <w:trHeight w:val="882"/>
          <w:jc w:val="center"/>
        </w:trPr>
        <w:tc>
          <w:tcPr>
            <w:tcW w:w="1838" w:type="dxa"/>
            <w:shd w:val="clear" w:color="auto" w:fill="auto"/>
            <w:vAlign w:val="center"/>
            <w:hideMark/>
          </w:tcPr>
          <w:p w14:paraId="4C3DCA51"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EP PETROECUADOR</w:t>
            </w:r>
          </w:p>
        </w:tc>
        <w:tc>
          <w:tcPr>
            <w:tcW w:w="1241" w:type="dxa"/>
            <w:shd w:val="clear" w:color="auto" w:fill="auto"/>
            <w:vAlign w:val="center"/>
            <w:hideMark/>
          </w:tcPr>
          <w:p w14:paraId="7987536D"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58, 62 Y 57 (RODA)</w:t>
            </w:r>
          </w:p>
        </w:tc>
        <w:tc>
          <w:tcPr>
            <w:tcW w:w="4429" w:type="dxa"/>
            <w:shd w:val="clear" w:color="auto" w:fill="auto"/>
            <w:vAlign w:val="center"/>
            <w:hideMark/>
          </w:tcPr>
          <w:p w14:paraId="57986545"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 xml:space="preserve">Estudio De Impacto Ambiental </w:t>
            </w:r>
            <w:proofErr w:type="spellStart"/>
            <w:r w:rsidRPr="00BE424E">
              <w:rPr>
                <w:rFonts w:asciiTheme="majorHAnsi" w:eastAsia="Times New Roman" w:hAnsiTheme="majorHAnsi" w:cstheme="majorHAnsi"/>
                <w:color w:val="000000"/>
                <w:sz w:val="16"/>
                <w:szCs w:val="16"/>
              </w:rPr>
              <w:t>Expost</w:t>
            </w:r>
            <w:proofErr w:type="spellEnd"/>
            <w:r w:rsidRPr="00BE424E">
              <w:rPr>
                <w:rFonts w:asciiTheme="majorHAnsi" w:eastAsia="Times New Roman" w:hAnsiTheme="majorHAnsi" w:cstheme="majorHAnsi"/>
                <w:color w:val="000000"/>
                <w:sz w:val="16"/>
                <w:szCs w:val="16"/>
              </w:rPr>
              <w:t xml:space="preserve"> Del Tramo Comprendido Entre La Abscisa 45+600 Y La Abscisa 98+500, De La Red De Oleoductos Secundarios (Roda), De </w:t>
            </w:r>
            <w:proofErr w:type="spellStart"/>
            <w:r w:rsidRPr="00BE424E">
              <w:rPr>
                <w:rFonts w:asciiTheme="majorHAnsi" w:eastAsia="Times New Roman" w:hAnsiTheme="majorHAnsi" w:cstheme="majorHAnsi"/>
                <w:color w:val="000000"/>
                <w:sz w:val="16"/>
                <w:szCs w:val="16"/>
              </w:rPr>
              <w:t>Ep</w:t>
            </w:r>
            <w:proofErr w:type="spellEnd"/>
            <w:r w:rsidRPr="00BE424E">
              <w:rPr>
                <w:rFonts w:asciiTheme="majorHAnsi" w:eastAsia="Times New Roman" w:hAnsiTheme="majorHAnsi" w:cstheme="majorHAnsi"/>
                <w:color w:val="000000"/>
                <w:sz w:val="16"/>
                <w:szCs w:val="16"/>
              </w:rPr>
              <w:t xml:space="preserve"> Petroecuador</w:t>
            </w:r>
          </w:p>
        </w:tc>
      </w:tr>
      <w:tr w:rsidR="002C72B0" w:rsidRPr="008F2DD6" w14:paraId="0AB6D18A" w14:textId="77777777" w:rsidTr="000A4588">
        <w:trPr>
          <w:trHeight w:val="718"/>
          <w:jc w:val="center"/>
        </w:trPr>
        <w:tc>
          <w:tcPr>
            <w:tcW w:w="1838" w:type="dxa"/>
            <w:shd w:val="clear" w:color="auto" w:fill="auto"/>
            <w:vAlign w:val="center"/>
            <w:hideMark/>
          </w:tcPr>
          <w:p w14:paraId="0C49E109"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EP PETROECUADOR</w:t>
            </w:r>
          </w:p>
        </w:tc>
        <w:tc>
          <w:tcPr>
            <w:tcW w:w="1241" w:type="dxa"/>
            <w:shd w:val="clear" w:color="auto" w:fill="auto"/>
            <w:vAlign w:val="center"/>
            <w:hideMark/>
          </w:tcPr>
          <w:p w14:paraId="094ADDD4"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B 57</w:t>
            </w:r>
          </w:p>
        </w:tc>
        <w:tc>
          <w:tcPr>
            <w:tcW w:w="4429" w:type="dxa"/>
            <w:shd w:val="clear" w:color="auto" w:fill="auto"/>
            <w:vAlign w:val="center"/>
            <w:hideMark/>
          </w:tcPr>
          <w:p w14:paraId="182CD367"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Análisis Técnico para la Instalación de línea de producción en derecho de vía existente desde la Plataforma Aguarico 003 (AGRA) hacia la Estación Aguarico (AGP).</w:t>
            </w:r>
          </w:p>
        </w:tc>
      </w:tr>
      <w:tr w:rsidR="002C72B0" w:rsidRPr="008F2DD6" w14:paraId="3600154B" w14:textId="77777777" w:rsidTr="000A4588">
        <w:trPr>
          <w:trHeight w:val="274"/>
          <w:jc w:val="center"/>
        </w:trPr>
        <w:tc>
          <w:tcPr>
            <w:tcW w:w="1838" w:type="dxa"/>
            <w:shd w:val="clear" w:color="auto" w:fill="auto"/>
            <w:vAlign w:val="center"/>
            <w:hideMark/>
          </w:tcPr>
          <w:p w14:paraId="22915AAD"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ENAP</w:t>
            </w:r>
          </w:p>
        </w:tc>
        <w:tc>
          <w:tcPr>
            <w:tcW w:w="1241" w:type="dxa"/>
            <w:shd w:val="clear" w:color="auto" w:fill="auto"/>
            <w:vAlign w:val="center"/>
            <w:hideMark/>
          </w:tcPr>
          <w:p w14:paraId="3D505386"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PBHI</w:t>
            </w:r>
          </w:p>
        </w:tc>
        <w:tc>
          <w:tcPr>
            <w:tcW w:w="4429" w:type="dxa"/>
            <w:shd w:val="clear" w:color="auto" w:fill="auto"/>
            <w:vAlign w:val="center"/>
            <w:hideMark/>
          </w:tcPr>
          <w:p w14:paraId="4DA109C1"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 xml:space="preserve">Estudio Complementario Al Estudio De Impacto Ambiental </w:t>
            </w:r>
            <w:proofErr w:type="spellStart"/>
            <w:r w:rsidRPr="00BE424E">
              <w:rPr>
                <w:rFonts w:asciiTheme="majorHAnsi" w:eastAsia="Times New Roman" w:hAnsiTheme="majorHAnsi" w:cstheme="majorHAnsi"/>
                <w:color w:val="000000"/>
                <w:sz w:val="16"/>
                <w:szCs w:val="16"/>
              </w:rPr>
              <w:t>Expost</w:t>
            </w:r>
            <w:proofErr w:type="spellEnd"/>
            <w:r w:rsidRPr="00BE424E">
              <w:rPr>
                <w:rFonts w:asciiTheme="majorHAnsi" w:eastAsia="Times New Roman" w:hAnsiTheme="majorHAnsi" w:cstheme="majorHAnsi"/>
                <w:color w:val="000000"/>
                <w:sz w:val="16"/>
                <w:szCs w:val="16"/>
              </w:rPr>
              <w:t xml:space="preserve"> Y Plan De Manejo Para La Fase De Desarrollo Y Producción Del Área </w:t>
            </w:r>
            <w:r w:rsidRPr="00BE424E">
              <w:rPr>
                <w:rFonts w:asciiTheme="majorHAnsi" w:eastAsia="Times New Roman" w:hAnsiTheme="majorHAnsi" w:cstheme="majorHAnsi"/>
                <w:color w:val="000000"/>
                <w:sz w:val="16"/>
                <w:szCs w:val="16"/>
              </w:rPr>
              <w:lastRenderedPageBreak/>
              <w:t xml:space="preserve">Denominada </w:t>
            </w:r>
            <w:proofErr w:type="spellStart"/>
            <w:r w:rsidRPr="00BE424E">
              <w:rPr>
                <w:rFonts w:asciiTheme="majorHAnsi" w:eastAsia="Times New Roman" w:hAnsiTheme="majorHAnsi" w:cstheme="majorHAnsi"/>
                <w:color w:val="000000"/>
                <w:sz w:val="16"/>
                <w:szCs w:val="16"/>
              </w:rPr>
              <w:t>Intracampos</w:t>
            </w:r>
            <w:proofErr w:type="spellEnd"/>
            <w:r w:rsidRPr="00BE424E">
              <w:rPr>
                <w:rFonts w:asciiTheme="majorHAnsi" w:eastAsia="Times New Roman" w:hAnsiTheme="majorHAnsi" w:cstheme="majorHAnsi"/>
                <w:color w:val="000000"/>
                <w:sz w:val="16"/>
                <w:szCs w:val="16"/>
              </w:rPr>
              <w:t xml:space="preserve"> En El Bloque </w:t>
            </w:r>
            <w:proofErr w:type="spellStart"/>
            <w:r w:rsidRPr="00BE424E">
              <w:rPr>
                <w:rFonts w:asciiTheme="majorHAnsi" w:eastAsia="Times New Roman" w:hAnsiTheme="majorHAnsi" w:cstheme="majorHAnsi"/>
                <w:color w:val="000000"/>
                <w:sz w:val="16"/>
                <w:szCs w:val="16"/>
              </w:rPr>
              <w:t>Pbhi</w:t>
            </w:r>
            <w:proofErr w:type="spellEnd"/>
            <w:r w:rsidRPr="00BE424E">
              <w:rPr>
                <w:rFonts w:asciiTheme="majorHAnsi" w:eastAsia="Times New Roman" w:hAnsiTheme="majorHAnsi" w:cstheme="majorHAnsi"/>
                <w:color w:val="000000"/>
                <w:sz w:val="16"/>
                <w:szCs w:val="16"/>
              </w:rPr>
              <w:t xml:space="preserve"> Aprobado Mediante La Resolución Ministerial No.232 Del 8 De </w:t>
            </w:r>
            <w:proofErr w:type="gramStart"/>
            <w:r w:rsidRPr="00BE424E">
              <w:rPr>
                <w:rFonts w:asciiTheme="majorHAnsi" w:eastAsia="Times New Roman" w:hAnsiTheme="majorHAnsi" w:cstheme="majorHAnsi"/>
                <w:color w:val="000000"/>
                <w:sz w:val="16"/>
                <w:szCs w:val="16"/>
              </w:rPr>
              <w:t>Agosto</w:t>
            </w:r>
            <w:proofErr w:type="gramEnd"/>
            <w:r w:rsidRPr="00BE424E">
              <w:rPr>
                <w:rFonts w:asciiTheme="majorHAnsi" w:eastAsia="Times New Roman" w:hAnsiTheme="majorHAnsi" w:cstheme="majorHAnsi"/>
                <w:color w:val="000000"/>
                <w:sz w:val="16"/>
                <w:szCs w:val="16"/>
              </w:rPr>
              <w:t xml:space="preserve"> De 2016, Para La Construcción De La Plataforma Pambil A, Vía De Acceso Y Perforación De Pozos</w:t>
            </w:r>
          </w:p>
        </w:tc>
      </w:tr>
      <w:tr w:rsidR="002C72B0" w:rsidRPr="008F2DD6" w14:paraId="05F984D4" w14:textId="77777777" w:rsidTr="000A4588">
        <w:trPr>
          <w:trHeight w:val="983"/>
          <w:jc w:val="center"/>
        </w:trPr>
        <w:tc>
          <w:tcPr>
            <w:tcW w:w="1838" w:type="dxa"/>
            <w:shd w:val="clear" w:color="auto" w:fill="auto"/>
            <w:vAlign w:val="center"/>
            <w:hideMark/>
          </w:tcPr>
          <w:p w14:paraId="3C3DB277"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lastRenderedPageBreak/>
              <w:t>PLUSPETROL ECUADOR B.V.</w:t>
            </w:r>
          </w:p>
        </w:tc>
        <w:tc>
          <w:tcPr>
            <w:tcW w:w="1241" w:type="dxa"/>
            <w:shd w:val="clear" w:color="auto" w:fill="auto"/>
            <w:vAlign w:val="center"/>
            <w:hideMark/>
          </w:tcPr>
          <w:p w14:paraId="25F45F5E"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10</w:t>
            </w:r>
          </w:p>
        </w:tc>
        <w:tc>
          <w:tcPr>
            <w:tcW w:w="4429" w:type="dxa"/>
            <w:shd w:val="clear" w:color="auto" w:fill="auto"/>
            <w:vAlign w:val="center"/>
            <w:hideMark/>
          </w:tcPr>
          <w:p w14:paraId="2AFB4E59"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 xml:space="preserve">Estudio de Impacto Ambiental y Plan de Manejo Ambiental Para El Proyecto de Optimización De Matriz Energética De Pluspetrol Ecuador, Para La Construcción Y Operación De La Línea de Transmisión </w:t>
            </w:r>
            <w:proofErr w:type="spellStart"/>
            <w:r w:rsidRPr="00BE424E">
              <w:rPr>
                <w:rFonts w:asciiTheme="majorHAnsi" w:eastAsia="Times New Roman" w:hAnsiTheme="majorHAnsi" w:cstheme="majorHAnsi"/>
                <w:color w:val="000000"/>
                <w:sz w:val="16"/>
                <w:szCs w:val="16"/>
              </w:rPr>
              <w:t>Cpf</w:t>
            </w:r>
            <w:proofErr w:type="spellEnd"/>
            <w:r w:rsidRPr="00BE424E">
              <w:rPr>
                <w:rFonts w:asciiTheme="majorHAnsi" w:eastAsia="Times New Roman" w:hAnsiTheme="majorHAnsi" w:cstheme="majorHAnsi"/>
                <w:color w:val="000000"/>
                <w:sz w:val="16"/>
                <w:szCs w:val="16"/>
              </w:rPr>
              <w:t xml:space="preserve"> – Se Puyo Y de la Subestación Reductora de CPF</w:t>
            </w:r>
          </w:p>
        </w:tc>
      </w:tr>
      <w:tr w:rsidR="002C72B0" w:rsidRPr="008F2DD6" w14:paraId="6A376820" w14:textId="77777777" w:rsidTr="000A4588">
        <w:trPr>
          <w:trHeight w:val="392"/>
          <w:jc w:val="center"/>
        </w:trPr>
        <w:tc>
          <w:tcPr>
            <w:tcW w:w="1838" w:type="dxa"/>
            <w:shd w:val="clear" w:color="auto" w:fill="auto"/>
            <w:vAlign w:val="center"/>
            <w:hideMark/>
          </w:tcPr>
          <w:p w14:paraId="506959FC"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EP PETROECUADOR</w:t>
            </w:r>
          </w:p>
        </w:tc>
        <w:tc>
          <w:tcPr>
            <w:tcW w:w="1241" w:type="dxa"/>
            <w:shd w:val="clear" w:color="auto" w:fill="auto"/>
            <w:vAlign w:val="center"/>
            <w:hideMark/>
          </w:tcPr>
          <w:p w14:paraId="74ADEF63"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57-LIB</w:t>
            </w:r>
          </w:p>
        </w:tc>
        <w:tc>
          <w:tcPr>
            <w:tcW w:w="4429" w:type="dxa"/>
            <w:shd w:val="clear" w:color="auto" w:fill="auto"/>
            <w:vAlign w:val="center"/>
            <w:hideMark/>
          </w:tcPr>
          <w:p w14:paraId="4FC596CF"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Estudio Técnico Para Reinyección de Fluidos Secoya 43d</w:t>
            </w:r>
          </w:p>
        </w:tc>
      </w:tr>
      <w:tr w:rsidR="002C72B0" w:rsidRPr="008F2DD6" w14:paraId="0932CC7A" w14:textId="77777777" w:rsidTr="000A4588">
        <w:trPr>
          <w:trHeight w:val="427"/>
          <w:jc w:val="center"/>
        </w:trPr>
        <w:tc>
          <w:tcPr>
            <w:tcW w:w="1838" w:type="dxa"/>
            <w:shd w:val="clear" w:color="auto" w:fill="auto"/>
            <w:vAlign w:val="center"/>
            <w:hideMark/>
          </w:tcPr>
          <w:p w14:paraId="6AA2872A"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EP PETROECUADOR</w:t>
            </w:r>
          </w:p>
        </w:tc>
        <w:tc>
          <w:tcPr>
            <w:tcW w:w="1241" w:type="dxa"/>
            <w:shd w:val="clear" w:color="auto" w:fill="auto"/>
            <w:vAlign w:val="center"/>
            <w:hideMark/>
          </w:tcPr>
          <w:p w14:paraId="7828338A"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15</w:t>
            </w:r>
          </w:p>
        </w:tc>
        <w:tc>
          <w:tcPr>
            <w:tcW w:w="4429" w:type="dxa"/>
            <w:shd w:val="clear" w:color="auto" w:fill="auto"/>
            <w:vAlign w:val="center"/>
            <w:hideMark/>
          </w:tcPr>
          <w:p w14:paraId="394E3ACE" w14:textId="77777777" w:rsidR="002C72B0" w:rsidRPr="00BE424E" w:rsidRDefault="002C72B0" w:rsidP="000A4588">
            <w:pPr>
              <w:spacing w:line="276" w:lineRule="auto"/>
              <w:jc w:val="both"/>
              <w:rPr>
                <w:rFonts w:asciiTheme="majorHAnsi" w:eastAsia="Times New Roman" w:hAnsiTheme="majorHAnsi" w:cstheme="majorHAnsi"/>
                <w:color w:val="000000"/>
                <w:sz w:val="16"/>
                <w:szCs w:val="16"/>
              </w:rPr>
            </w:pPr>
            <w:r w:rsidRPr="00BE424E">
              <w:rPr>
                <w:rFonts w:asciiTheme="majorHAnsi" w:eastAsia="Times New Roman" w:hAnsiTheme="majorHAnsi" w:cstheme="majorHAnsi"/>
                <w:color w:val="000000"/>
                <w:sz w:val="16"/>
                <w:szCs w:val="16"/>
              </w:rPr>
              <w:t xml:space="preserve">Estudio Técnico para Reclasificar el Pozo Jivino-A7wdw, De Pozo Productor A </w:t>
            </w:r>
            <w:proofErr w:type="spellStart"/>
            <w:r w:rsidRPr="00BE424E">
              <w:rPr>
                <w:rFonts w:asciiTheme="majorHAnsi" w:eastAsia="Times New Roman" w:hAnsiTheme="majorHAnsi" w:cstheme="majorHAnsi"/>
                <w:color w:val="000000"/>
                <w:sz w:val="16"/>
                <w:szCs w:val="16"/>
              </w:rPr>
              <w:t>Reinyector</w:t>
            </w:r>
            <w:proofErr w:type="spellEnd"/>
            <w:r w:rsidRPr="00BE424E">
              <w:rPr>
                <w:rFonts w:asciiTheme="majorHAnsi" w:eastAsia="Times New Roman" w:hAnsiTheme="majorHAnsi" w:cstheme="majorHAnsi"/>
                <w:color w:val="000000"/>
                <w:sz w:val="16"/>
                <w:szCs w:val="16"/>
              </w:rPr>
              <w:t xml:space="preserve"> De Agua, La Arenisca M1</w:t>
            </w:r>
          </w:p>
        </w:tc>
      </w:tr>
    </w:tbl>
    <w:p w14:paraId="3B3DB923" w14:textId="7D739AF4" w:rsidR="00CA1FC5" w:rsidRPr="00190089" w:rsidRDefault="00BE424E" w:rsidP="00190089">
      <w:pPr>
        <w:spacing w:line="276" w:lineRule="auto"/>
        <w:ind w:left="720"/>
        <w:jc w:val="both"/>
        <w:rPr>
          <w:rFonts w:asciiTheme="majorHAnsi" w:hAnsiTheme="majorHAnsi" w:cstheme="majorHAnsi"/>
          <w:i/>
          <w:iCs/>
          <w:color w:val="44546A" w:themeColor="text2"/>
          <w:sz w:val="16"/>
          <w:szCs w:val="16"/>
        </w:rPr>
      </w:pPr>
      <w:r w:rsidRPr="00BE424E">
        <w:rPr>
          <w:rFonts w:asciiTheme="majorHAnsi" w:hAnsiTheme="majorHAnsi" w:cstheme="majorHAnsi"/>
          <w:i/>
          <w:sz w:val="16"/>
          <w:szCs w:val="16"/>
        </w:rPr>
        <w:t xml:space="preserve">Fuente: </w:t>
      </w:r>
      <w:r w:rsidRPr="00BE424E">
        <w:rPr>
          <w:rFonts w:asciiTheme="majorHAnsi" w:hAnsiTheme="majorHAnsi" w:cstheme="majorHAnsi"/>
          <w:i/>
          <w:iCs/>
          <w:color w:val="44546A" w:themeColor="text2"/>
          <w:sz w:val="16"/>
          <w:szCs w:val="16"/>
        </w:rPr>
        <w:t>TERRITORIO Y SEGUIMIENTO AMBIENTAL</w:t>
      </w:r>
    </w:p>
    <w:p w14:paraId="3B8C9B0D" w14:textId="77777777" w:rsidR="00CA1FC5" w:rsidRDefault="00CA1FC5" w:rsidP="00FD1FAB">
      <w:pPr>
        <w:spacing w:line="276" w:lineRule="auto"/>
        <w:jc w:val="both"/>
        <w:rPr>
          <w:rFonts w:asciiTheme="majorHAnsi" w:hAnsiTheme="majorHAnsi" w:cstheme="majorHAnsi"/>
          <w:b/>
          <w:sz w:val="22"/>
          <w:szCs w:val="22"/>
        </w:rPr>
      </w:pPr>
    </w:p>
    <w:p w14:paraId="668B8E52" w14:textId="49F44875" w:rsidR="002C72B0" w:rsidRPr="00FD1FAB" w:rsidRDefault="002C72B0" w:rsidP="00FD1FAB">
      <w:pPr>
        <w:spacing w:line="276" w:lineRule="auto"/>
        <w:jc w:val="both"/>
        <w:rPr>
          <w:rFonts w:asciiTheme="majorHAnsi" w:hAnsiTheme="majorHAnsi" w:cstheme="majorHAnsi"/>
          <w:sz w:val="22"/>
          <w:szCs w:val="22"/>
        </w:rPr>
      </w:pPr>
      <w:r w:rsidRPr="008F2DD6">
        <w:rPr>
          <w:rFonts w:asciiTheme="majorHAnsi" w:hAnsiTheme="majorHAnsi" w:cstheme="majorHAnsi"/>
          <w:b/>
          <w:sz w:val="22"/>
          <w:szCs w:val="22"/>
        </w:rPr>
        <w:t>Ejecución de la instrumentación del proceso de Consulta Previa e Informada</w:t>
      </w:r>
      <w:r w:rsidRPr="008F2DD6">
        <w:rPr>
          <w:rFonts w:asciiTheme="majorHAnsi" w:hAnsiTheme="majorHAnsi" w:cstheme="majorHAnsi"/>
          <w:sz w:val="22"/>
          <w:szCs w:val="22"/>
        </w:rPr>
        <w:t xml:space="preserve"> </w:t>
      </w:r>
      <w:r w:rsidRPr="008F2DD6">
        <w:rPr>
          <w:rFonts w:asciiTheme="majorHAnsi" w:hAnsiTheme="majorHAnsi" w:cstheme="majorHAnsi"/>
          <w:b/>
          <w:sz w:val="22"/>
          <w:szCs w:val="22"/>
        </w:rPr>
        <w:t xml:space="preserve">en la Comunidad Escaleras, con domicilio en la provincia del Azuay, cantón Cuenca, parroquias de Victoria del Portete y Tarqui </w:t>
      </w:r>
      <w:r w:rsidRPr="008F2DD6">
        <w:rPr>
          <w:rFonts w:asciiTheme="majorHAnsi" w:hAnsiTheme="majorHAnsi" w:cstheme="majorHAnsi"/>
          <w:sz w:val="22"/>
          <w:szCs w:val="22"/>
        </w:rPr>
        <w:t>en cumplimiento de Acción de Protección Nro. 01371-2022-00067, dictada por la Sala multicompetente de lo Civil y Mercantil de la Provincia del Azuay.</w:t>
      </w:r>
    </w:p>
    <w:p w14:paraId="12DFD8CD" w14:textId="77777777" w:rsidR="002C72B0" w:rsidRPr="008F2DD6" w:rsidRDefault="002C72B0" w:rsidP="00192E54">
      <w:pPr>
        <w:spacing w:line="276" w:lineRule="auto"/>
        <w:jc w:val="both"/>
        <w:rPr>
          <w:rFonts w:asciiTheme="majorHAnsi" w:hAnsiTheme="majorHAnsi" w:cstheme="majorHAnsi"/>
          <w:sz w:val="22"/>
          <w:szCs w:val="22"/>
        </w:rPr>
      </w:pPr>
      <w:r w:rsidRPr="008F2DD6">
        <w:rPr>
          <w:rFonts w:asciiTheme="majorHAnsi" w:hAnsiTheme="majorHAnsi" w:cstheme="majorHAnsi"/>
          <w:bCs/>
          <w:sz w:val="22"/>
          <w:szCs w:val="22"/>
        </w:rPr>
        <w:t>El cumplimiento de la medida de reparación se encuentra publicada en la página institucional del Ministerio de Energía y Minas, en el siguiente enlace:</w:t>
      </w:r>
      <w:r w:rsidRPr="008F2DD6">
        <w:rPr>
          <w:rFonts w:asciiTheme="majorHAnsi" w:hAnsiTheme="majorHAnsi" w:cstheme="majorHAnsi"/>
          <w:sz w:val="22"/>
          <w:szCs w:val="22"/>
        </w:rPr>
        <w:t xml:space="preserve"> </w:t>
      </w:r>
      <w:hyperlink r:id="rId57" w:history="1">
        <w:r w:rsidRPr="008F2DD6">
          <w:rPr>
            <w:rStyle w:val="Hipervnculo"/>
            <w:rFonts w:asciiTheme="majorHAnsi" w:hAnsiTheme="majorHAnsi" w:cstheme="majorHAnsi"/>
            <w:sz w:val="22"/>
            <w:szCs w:val="22"/>
          </w:rPr>
          <w:t>https://www.recursosyenergia.gob.ec/consulta-previa-libre-e-informada/</w:t>
        </w:r>
      </w:hyperlink>
    </w:p>
    <w:p w14:paraId="308CF15D" w14:textId="77777777" w:rsidR="002C72B0" w:rsidRPr="008F2DD6" w:rsidRDefault="002C72B0" w:rsidP="002C72B0">
      <w:pPr>
        <w:spacing w:line="276" w:lineRule="auto"/>
        <w:jc w:val="both"/>
        <w:rPr>
          <w:rFonts w:asciiTheme="majorHAnsi" w:hAnsiTheme="majorHAnsi" w:cstheme="majorHAnsi"/>
          <w:sz w:val="22"/>
          <w:szCs w:val="22"/>
        </w:rPr>
      </w:pPr>
    </w:p>
    <w:p w14:paraId="2A143BCD" w14:textId="77777777" w:rsidR="002C72B0" w:rsidRPr="00192E54" w:rsidRDefault="002C72B0" w:rsidP="00192E54">
      <w:pPr>
        <w:spacing w:line="276" w:lineRule="auto"/>
        <w:jc w:val="both"/>
        <w:rPr>
          <w:rFonts w:asciiTheme="majorHAnsi" w:hAnsiTheme="majorHAnsi" w:cstheme="majorHAnsi"/>
          <w:sz w:val="22"/>
          <w:szCs w:val="22"/>
        </w:rPr>
      </w:pPr>
      <w:r w:rsidRPr="00192E54">
        <w:rPr>
          <w:rStyle w:val="Textoennegrita"/>
          <w:rFonts w:asciiTheme="majorHAnsi" w:hAnsiTheme="majorHAnsi" w:cstheme="majorHAnsi"/>
          <w:sz w:val="22"/>
          <w:szCs w:val="22"/>
        </w:rPr>
        <w:t>Asesoramiento en comités de supervisión de contratos petroleros – Componente Ambiental.</w:t>
      </w:r>
    </w:p>
    <w:p w14:paraId="6546F818" w14:textId="77777777" w:rsidR="002C72B0" w:rsidRPr="008F2DD6" w:rsidRDefault="002C72B0" w:rsidP="002C72B0">
      <w:pPr>
        <w:spacing w:before="100" w:beforeAutospacing="1" w:after="100" w:afterAutospacing="1" w:line="276" w:lineRule="auto"/>
        <w:jc w:val="both"/>
        <w:rPr>
          <w:rFonts w:asciiTheme="majorHAnsi" w:eastAsia="Times New Roman" w:hAnsiTheme="majorHAnsi" w:cstheme="majorHAnsi"/>
          <w:sz w:val="22"/>
          <w:szCs w:val="22"/>
        </w:rPr>
      </w:pPr>
      <w:r w:rsidRPr="008F2DD6">
        <w:rPr>
          <w:rFonts w:asciiTheme="majorHAnsi" w:eastAsia="Times New Roman" w:hAnsiTheme="majorHAnsi" w:cstheme="majorHAnsi"/>
          <w:sz w:val="22"/>
          <w:szCs w:val="22"/>
        </w:rPr>
        <w:t>En cumplimiento de la cláusula contractual que establece la conformación y operatividad de los comités de supervisión, brindando asesoría técnica y acompañamiento especializado en el componente ambiental correspondiente al estricto cumplimiento al Plan de Manejo Ambiental y la normativa ambiental vigente de los siguientes bloques petroleros: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186095" w14:paraId="0571F1D6" w14:textId="77777777" w:rsidTr="00186095">
        <w:tc>
          <w:tcPr>
            <w:tcW w:w="4247" w:type="dxa"/>
          </w:tcPr>
          <w:p w14:paraId="43BB8AB6" w14:textId="26921E9E" w:rsidR="00186095" w:rsidRDefault="00186095" w:rsidP="00186095">
            <w:pPr>
              <w:spacing w:before="100" w:beforeAutospacing="1" w:after="100" w:afterAutospacing="1" w:line="276" w:lineRule="auto"/>
              <w:jc w:val="both"/>
              <w:rPr>
                <w:rFonts w:asciiTheme="majorHAnsi" w:eastAsia="Times New Roman" w:hAnsiTheme="majorHAnsi" w:cstheme="majorHAnsi"/>
                <w:sz w:val="22"/>
                <w:szCs w:val="22"/>
              </w:rPr>
            </w:pPr>
            <w:r w:rsidRPr="00BC0CCD">
              <w:rPr>
                <w:rFonts w:asciiTheme="majorHAnsi" w:eastAsia="Times New Roman" w:hAnsiTheme="majorHAnsi" w:cstheme="majorHAnsi"/>
                <w:bCs/>
                <w:sz w:val="22"/>
                <w:szCs w:val="22"/>
              </w:rPr>
              <w:t>Bloque 2 – Gustavo Galindo</w:t>
            </w:r>
          </w:p>
        </w:tc>
        <w:tc>
          <w:tcPr>
            <w:tcW w:w="4247" w:type="dxa"/>
          </w:tcPr>
          <w:p w14:paraId="0CC53AEB" w14:textId="34C05BEE" w:rsidR="00186095" w:rsidRDefault="00186095" w:rsidP="00186095">
            <w:pPr>
              <w:spacing w:before="100" w:beforeAutospacing="1" w:after="100" w:afterAutospacing="1" w:line="276" w:lineRule="auto"/>
              <w:jc w:val="both"/>
              <w:rPr>
                <w:rFonts w:asciiTheme="majorHAnsi" w:eastAsia="Times New Roman" w:hAnsiTheme="majorHAnsi" w:cstheme="majorHAnsi"/>
                <w:sz w:val="22"/>
                <w:szCs w:val="22"/>
              </w:rPr>
            </w:pPr>
            <w:r w:rsidRPr="00B417E0">
              <w:rPr>
                <w:rFonts w:asciiTheme="majorHAnsi" w:eastAsia="Times New Roman" w:hAnsiTheme="majorHAnsi" w:cstheme="majorHAnsi"/>
                <w:bCs/>
                <w:sz w:val="22"/>
                <w:szCs w:val="22"/>
              </w:rPr>
              <w:t>Bloque 53 – Singue</w:t>
            </w:r>
          </w:p>
        </w:tc>
      </w:tr>
      <w:tr w:rsidR="00186095" w14:paraId="2CF9A62F" w14:textId="77777777" w:rsidTr="00186095">
        <w:tc>
          <w:tcPr>
            <w:tcW w:w="4247" w:type="dxa"/>
          </w:tcPr>
          <w:p w14:paraId="7F575583" w14:textId="4EAD66C1" w:rsidR="00186095" w:rsidRDefault="00186095" w:rsidP="00186095">
            <w:pPr>
              <w:spacing w:before="100" w:beforeAutospacing="1" w:after="100" w:afterAutospacing="1" w:line="276" w:lineRule="auto"/>
              <w:jc w:val="both"/>
              <w:rPr>
                <w:rFonts w:asciiTheme="majorHAnsi" w:eastAsia="Times New Roman" w:hAnsiTheme="majorHAnsi" w:cstheme="majorHAnsi"/>
                <w:sz w:val="22"/>
                <w:szCs w:val="22"/>
              </w:rPr>
            </w:pPr>
            <w:r w:rsidRPr="00BC0CCD">
              <w:rPr>
                <w:rFonts w:asciiTheme="majorHAnsi" w:eastAsia="Times New Roman" w:hAnsiTheme="majorHAnsi" w:cstheme="majorHAnsi"/>
                <w:bCs/>
                <w:sz w:val="22"/>
                <w:szCs w:val="22"/>
              </w:rPr>
              <w:t>Bloque 10 – Villano</w:t>
            </w:r>
          </w:p>
        </w:tc>
        <w:tc>
          <w:tcPr>
            <w:tcW w:w="4247" w:type="dxa"/>
          </w:tcPr>
          <w:p w14:paraId="54787A53" w14:textId="52938CB5" w:rsidR="00186095" w:rsidRDefault="00186095" w:rsidP="00186095">
            <w:pPr>
              <w:spacing w:before="100" w:beforeAutospacing="1" w:after="100" w:afterAutospacing="1" w:line="276" w:lineRule="auto"/>
              <w:jc w:val="both"/>
              <w:rPr>
                <w:rFonts w:asciiTheme="majorHAnsi" w:eastAsia="Times New Roman" w:hAnsiTheme="majorHAnsi" w:cstheme="majorHAnsi"/>
                <w:sz w:val="22"/>
                <w:szCs w:val="22"/>
              </w:rPr>
            </w:pPr>
            <w:r w:rsidRPr="00B417E0">
              <w:rPr>
                <w:rFonts w:asciiTheme="majorHAnsi" w:eastAsia="Times New Roman" w:hAnsiTheme="majorHAnsi" w:cstheme="majorHAnsi"/>
                <w:bCs/>
                <w:sz w:val="22"/>
                <w:szCs w:val="22"/>
              </w:rPr>
              <w:t>Bloque 54 – Eno Ron</w:t>
            </w:r>
          </w:p>
        </w:tc>
      </w:tr>
      <w:tr w:rsidR="00186095" w14:paraId="73D05323" w14:textId="77777777" w:rsidTr="00186095">
        <w:tc>
          <w:tcPr>
            <w:tcW w:w="4247" w:type="dxa"/>
          </w:tcPr>
          <w:p w14:paraId="00691F5C" w14:textId="6D4BEA04" w:rsidR="00186095" w:rsidRDefault="00186095" w:rsidP="00186095">
            <w:pPr>
              <w:spacing w:before="100" w:beforeAutospacing="1" w:after="100" w:afterAutospacing="1" w:line="276" w:lineRule="auto"/>
              <w:jc w:val="both"/>
              <w:rPr>
                <w:rFonts w:asciiTheme="majorHAnsi" w:eastAsia="Times New Roman" w:hAnsiTheme="majorHAnsi" w:cstheme="majorHAnsi"/>
                <w:sz w:val="22"/>
                <w:szCs w:val="22"/>
              </w:rPr>
            </w:pPr>
            <w:r w:rsidRPr="00BC0CCD">
              <w:rPr>
                <w:rFonts w:asciiTheme="majorHAnsi" w:eastAsia="Times New Roman" w:hAnsiTheme="majorHAnsi" w:cstheme="majorHAnsi"/>
                <w:bCs/>
                <w:sz w:val="22"/>
                <w:szCs w:val="22"/>
              </w:rPr>
              <w:t xml:space="preserve">Bloque 14 – </w:t>
            </w:r>
            <w:proofErr w:type="spellStart"/>
            <w:r w:rsidRPr="00BC0CCD">
              <w:rPr>
                <w:rFonts w:asciiTheme="majorHAnsi" w:eastAsia="Times New Roman" w:hAnsiTheme="majorHAnsi" w:cstheme="majorHAnsi"/>
                <w:bCs/>
                <w:sz w:val="22"/>
                <w:szCs w:val="22"/>
              </w:rPr>
              <w:t>Nantu</w:t>
            </w:r>
            <w:proofErr w:type="spellEnd"/>
          </w:p>
        </w:tc>
        <w:tc>
          <w:tcPr>
            <w:tcW w:w="4247" w:type="dxa"/>
          </w:tcPr>
          <w:p w14:paraId="5BE4CE6F" w14:textId="0189CE08" w:rsidR="00186095" w:rsidRDefault="00186095" w:rsidP="00186095">
            <w:pPr>
              <w:spacing w:before="100" w:beforeAutospacing="1" w:after="100" w:afterAutospacing="1" w:line="276" w:lineRule="auto"/>
              <w:jc w:val="both"/>
              <w:rPr>
                <w:rFonts w:asciiTheme="majorHAnsi" w:eastAsia="Times New Roman" w:hAnsiTheme="majorHAnsi" w:cstheme="majorHAnsi"/>
                <w:sz w:val="22"/>
                <w:szCs w:val="22"/>
              </w:rPr>
            </w:pPr>
            <w:r w:rsidRPr="00B417E0">
              <w:rPr>
                <w:rFonts w:asciiTheme="majorHAnsi" w:eastAsia="Times New Roman" w:hAnsiTheme="majorHAnsi" w:cstheme="majorHAnsi"/>
                <w:bCs/>
                <w:sz w:val="22"/>
                <w:szCs w:val="22"/>
              </w:rPr>
              <w:t>Bloque 62 – Tarapoa</w:t>
            </w:r>
          </w:p>
        </w:tc>
      </w:tr>
      <w:tr w:rsidR="00186095" w14:paraId="69C003EF" w14:textId="77777777" w:rsidTr="00186095">
        <w:tc>
          <w:tcPr>
            <w:tcW w:w="4247" w:type="dxa"/>
          </w:tcPr>
          <w:p w14:paraId="1A1253A3" w14:textId="145D9331" w:rsidR="00186095" w:rsidRDefault="00186095" w:rsidP="00186095">
            <w:pPr>
              <w:spacing w:before="100" w:beforeAutospacing="1" w:after="100" w:afterAutospacing="1" w:line="276" w:lineRule="auto"/>
              <w:jc w:val="both"/>
              <w:rPr>
                <w:rFonts w:asciiTheme="majorHAnsi" w:eastAsia="Times New Roman" w:hAnsiTheme="majorHAnsi" w:cstheme="majorHAnsi"/>
                <w:sz w:val="22"/>
                <w:szCs w:val="22"/>
              </w:rPr>
            </w:pPr>
            <w:r w:rsidRPr="00BC0CCD">
              <w:rPr>
                <w:rFonts w:asciiTheme="majorHAnsi" w:eastAsia="Times New Roman" w:hAnsiTheme="majorHAnsi" w:cstheme="majorHAnsi"/>
                <w:bCs/>
                <w:sz w:val="22"/>
                <w:szCs w:val="22"/>
              </w:rPr>
              <w:t>Bloque 17 – Hormiguero</w:t>
            </w:r>
          </w:p>
        </w:tc>
        <w:tc>
          <w:tcPr>
            <w:tcW w:w="4247" w:type="dxa"/>
          </w:tcPr>
          <w:p w14:paraId="4C1F59AC" w14:textId="1EB1A6F4" w:rsidR="00186095" w:rsidRDefault="00186095" w:rsidP="00186095">
            <w:pPr>
              <w:spacing w:before="100" w:beforeAutospacing="1" w:after="100" w:afterAutospacing="1" w:line="276" w:lineRule="auto"/>
              <w:jc w:val="both"/>
              <w:rPr>
                <w:rFonts w:asciiTheme="majorHAnsi" w:eastAsia="Times New Roman" w:hAnsiTheme="majorHAnsi" w:cstheme="majorHAnsi"/>
                <w:sz w:val="22"/>
                <w:szCs w:val="22"/>
              </w:rPr>
            </w:pPr>
            <w:r w:rsidRPr="00B417E0">
              <w:rPr>
                <w:rFonts w:asciiTheme="majorHAnsi" w:eastAsia="Times New Roman" w:hAnsiTheme="majorHAnsi" w:cstheme="majorHAnsi"/>
                <w:bCs/>
                <w:sz w:val="22"/>
                <w:szCs w:val="22"/>
              </w:rPr>
              <w:t xml:space="preserve">Bloque 64 – </w:t>
            </w:r>
            <w:proofErr w:type="spellStart"/>
            <w:r w:rsidRPr="00B417E0">
              <w:rPr>
                <w:rFonts w:asciiTheme="majorHAnsi" w:eastAsia="Times New Roman" w:hAnsiTheme="majorHAnsi" w:cstheme="majorHAnsi"/>
                <w:bCs/>
                <w:sz w:val="22"/>
                <w:szCs w:val="22"/>
              </w:rPr>
              <w:t>Palanda</w:t>
            </w:r>
            <w:proofErr w:type="spellEnd"/>
          </w:p>
        </w:tc>
      </w:tr>
      <w:tr w:rsidR="00186095" w14:paraId="791FF5C2" w14:textId="77777777" w:rsidTr="00186095">
        <w:tc>
          <w:tcPr>
            <w:tcW w:w="4247" w:type="dxa"/>
          </w:tcPr>
          <w:p w14:paraId="0663C99C" w14:textId="64E47C77" w:rsidR="00186095" w:rsidRDefault="00186095" w:rsidP="00186095">
            <w:pPr>
              <w:spacing w:before="100" w:beforeAutospacing="1" w:after="100" w:afterAutospacing="1" w:line="276" w:lineRule="auto"/>
              <w:jc w:val="both"/>
              <w:rPr>
                <w:rFonts w:asciiTheme="majorHAnsi" w:eastAsia="Times New Roman" w:hAnsiTheme="majorHAnsi" w:cstheme="majorHAnsi"/>
                <w:sz w:val="22"/>
                <w:szCs w:val="22"/>
              </w:rPr>
            </w:pPr>
            <w:r w:rsidRPr="00BC0CCD">
              <w:rPr>
                <w:rFonts w:asciiTheme="majorHAnsi" w:eastAsia="Times New Roman" w:hAnsiTheme="majorHAnsi" w:cstheme="majorHAnsi"/>
                <w:bCs/>
                <w:sz w:val="22"/>
                <w:szCs w:val="22"/>
              </w:rPr>
              <w:t>Bloque 45 – Puma</w:t>
            </w:r>
          </w:p>
        </w:tc>
        <w:tc>
          <w:tcPr>
            <w:tcW w:w="4247" w:type="dxa"/>
          </w:tcPr>
          <w:p w14:paraId="3D3A1AB9" w14:textId="205EB244" w:rsidR="00186095" w:rsidRDefault="00186095" w:rsidP="00186095">
            <w:pPr>
              <w:spacing w:before="100" w:beforeAutospacing="1" w:after="100" w:afterAutospacing="1" w:line="276" w:lineRule="auto"/>
              <w:jc w:val="both"/>
              <w:rPr>
                <w:rFonts w:asciiTheme="majorHAnsi" w:eastAsia="Times New Roman" w:hAnsiTheme="majorHAnsi" w:cstheme="majorHAnsi"/>
                <w:sz w:val="22"/>
                <w:szCs w:val="22"/>
              </w:rPr>
            </w:pPr>
            <w:r w:rsidRPr="00B417E0">
              <w:rPr>
                <w:rFonts w:asciiTheme="majorHAnsi" w:eastAsia="Times New Roman" w:hAnsiTheme="majorHAnsi" w:cstheme="majorHAnsi"/>
                <w:bCs/>
                <w:sz w:val="22"/>
                <w:szCs w:val="22"/>
              </w:rPr>
              <w:t>Bloque 65 – Pindo</w:t>
            </w:r>
          </w:p>
        </w:tc>
      </w:tr>
      <w:tr w:rsidR="00186095" w14:paraId="4FD88B36" w14:textId="77777777" w:rsidTr="00186095">
        <w:tc>
          <w:tcPr>
            <w:tcW w:w="4247" w:type="dxa"/>
          </w:tcPr>
          <w:p w14:paraId="5A24096A" w14:textId="2C87CDE1" w:rsidR="00186095" w:rsidRDefault="00186095" w:rsidP="00186095">
            <w:pPr>
              <w:spacing w:before="100" w:beforeAutospacing="1" w:after="100" w:afterAutospacing="1" w:line="276" w:lineRule="auto"/>
              <w:jc w:val="both"/>
              <w:rPr>
                <w:rFonts w:asciiTheme="majorHAnsi" w:eastAsia="Times New Roman" w:hAnsiTheme="majorHAnsi" w:cstheme="majorHAnsi"/>
                <w:sz w:val="22"/>
                <w:szCs w:val="22"/>
              </w:rPr>
            </w:pPr>
            <w:r w:rsidRPr="00BC0CCD">
              <w:rPr>
                <w:rFonts w:asciiTheme="majorHAnsi" w:eastAsia="Times New Roman" w:hAnsiTheme="majorHAnsi" w:cstheme="majorHAnsi"/>
                <w:bCs/>
                <w:sz w:val="22"/>
                <w:szCs w:val="22"/>
              </w:rPr>
              <w:t>Bloque 46 – MDC</w:t>
            </w:r>
          </w:p>
        </w:tc>
        <w:tc>
          <w:tcPr>
            <w:tcW w:w="4247" w:type="dxa"/>
          </w:tcPr>
          <w:p w14:paraId="3389FDC0" w14:textId="6BE98E97" w:rsidR="00186095" w:rsidRDefault="00186095" w:rsidP="00186095">
            <w:pPr>
              <w:spacing w:before="100" w:beforeAutospacing="1" w:after="100" w:afterAutospacing="1" w:line="276" w:lineRule="auto"/>
              <w:jc w:val="both"/>
              <w:rPr>
                <w:rFonts w:asciiTheme="majorHAnsi" w:eastAsia="Times New Roman" w:hAnsiTheme="majorHAnsi" w:cstheme="majorHAnsi"/>
                <w:sz w:val="22"/>
                <w:szCs w:val="22"/>
              </w:rPr>
            </w:pPr>
            <w:r w:rsidRPr="00B417E0">
              <w:rPr>
                <w:rFonts w:asciiTheme="majorHAnsi" w:eastAsia="Times New Roman" w:hAnsiTheme="majorHAnsi" w:cstheme="majorHAnsi"/>
                <w:bCs/>
                <w:sz w:val="22"/>
                <w:szCs w:val="22"/>
              </w:rPr>
              <w:t xml:space="preserve">Bloque 66 – </w:t>
            </w:r>
            <w:proofErr w:type="spellStart"/>
            <w:r w:rsidRPr="00B417E0">
              <w:rPr>
                <w:rFonts w:asciiTheme="majorHAnsi" w:eastAsia="Times New Roman" w:hAnsiTheme="majorHAnsi" w:cstheme="majorHAnsi"/>
                <w:bCs/>
                <w:sz w:val="22"/>
                <w:szCs w:val="22"/>
              </w:rPr>
              <w:t>Tiguino</w:t>
            </w:r>
            <w:proofErr w:type="spellEnd"/>
          </w:p>
        </w:tc>
      </w:tr>
      <w:tr w:rsidR="00186095" w14:paraId="2C01D5A6" w14:textId="77777777" w:rsidTr="00186095">
        <w:tc>
          <w:tcPr>
            <w:tcW w:w="4247" w:type="dxa"/>
          </w:tcPr>
          <w:p w14:paraId="41617600" w14:textId="70F1F2BF" w:rsidR="00186095" w:rsidRDefault="00186095" w:rsidP="00186095">
            <w:pPr>
              <w:spacing w:before="100" w:beforeAutospacing="1" w:after="100" w:afterAutospacing="1" w:line="276" w:lineRule="auto"/>
              <w:jc w:val="both"/>
              <w:rPr>
                <w:rFonts w:asciiTheme="majorHAnsi" w:eastAsia="Times New Roman" w:hAnsiTheme="majorHAnsi" w:cstheme="majorHAnsi"/>
                <w:sz w:val="22"/>
                <w:szCs w:val="22"/>
              </w:rPr>
            </w:pPr>
            <w:r w:rsidRPr="00BC0CCD">
              <w:rPr>
                <w:rFonts w:asciiTheme="majorHAnsi" w:eastAsia="Times New Roman" w:hAnsiTheme="majorHAnsi" w:cstheme="majorHAnsi"/>
                <w:bCs/>
                <w:sz w:val="22"/>
                <w:szCs w:val="22"/>
              </w:rPr>
              <w:t>Bloque 47 – PBHI</w:t>
            </w:r>
          </w:p>
        </w:tc>
        <w:tc>
          <w:tcPr>
            <w:tcW w:w="4247" w:type="dxa"/>
          </w:tcPr>
          <w:p w14:paraId="52F8C09B" w14:textId="7A101BAB" w:rsidR="00186095" w:rsidRDefault="00186095" w:rsidP="00186095">
            <w:pPr>
              <w:spacing w:before="100" w:beforeAutospacing="1" w:after="100" w:afterAutospacing="1" w:line="276" w:lineRule="auto"/>
              <w:jc w:val="both"/>
              <w:rPr>
                <w:rFonts w:asciiTheme="majorHAnsi" w:eastAsia="Times New Roman" w:hAnsiTheme="majorHAnsi" w:cstheme="majorHAnsi"/>
                <w:sz w:val="22"/>
                <w:szCs w:val="22"/>
              </w:rPr>
            </w:pPr>
            <w:r w:rsidRPr="00B417E0">
              <w:rPr>
                <w:rFonts w:asciiTheme="majorHAnsi" w:eastAsia="Times New Roman" w:hAnsiTheme="majorHAnsi" w:cstheme="majorHAnsi"/>
                <w:bCs/>
                <w:sz w:val="22"/>
                <w:szCs w:val="22"/>
              </w:rPr>
              <w:t>Bloque 79</w:t>
            </w:r>
          </w:p>
        </w:tc>
      </w:tr>
      <w:tr w:rsidR="00186095" w14:paraId="053C5467" w14:textId="77777777" w:rsidTr="00186095">
        <w:tc>
          <w:tcPr>
            <w:tcW w:w="4247" w:type="dxa"/>
          </w:tcPr>
          <w:p w14:paraId="5D6E04E3" w14:textId="0CFA8A91" w:rsidR="00186095" w:rsidRDefault="00186095" w:rsidP="00186095">
            <w:pPr>
              <w:spacing w:before="100" w:beforeAutospacing="1" w:after="100" w:afterAutospacing="1" w:line="276" w:lineRule="auto"/>
              <w:jc w:val="both"/>
              <w:rPr>
                <w:rFonts w:asciiTheme="majorHAnsi" w:eastAsia="Times New Roman" w:hAnsiTheme="majorHAnsi" w:cstheme="majorHAnsi"/>
                <w:sz w:val="22"/>
                <w:szCs w:val="22"/>
              </w:rPr>
            </w:pPr>
            <w:r w:rsidRPr="00BC0CCD">
              <w:rPr>
                <w:rFonts w:asciiTheme="majorHAnsi" w:eastAsia="Times New Roman" w:hAnsiTheme="majorHAnsi" w:cstheme="majorHAnsi"/>
                <w:bCs/>
                <w:sz w:val="22"/>
                <w:szCs w:val="22"/>
              </w:rPr>
              <w:t>Bloque 52 – Ocano – Peña Blanca</w:t>
            </w:r>
          </w:p>
        </w:tc>
        <w:tc>
          <w:tcPr>
            <w:tcW w:w="4247" w:type="dxa"/>
          </w:tcPr>
          <w:p w14:paraId="60BE7285" w14:textId="58615F91" w:rsidR="00186095" w:rsidRDefault="00186095" w:rsidP="00186095">
            <w:pPr>
              <w:spacing w:before="100" w:beforeAutospacing="1" w:after="100" w:afterAutospacing="1" w:line="276" w:lineRule="auto"/>
              <w:jc w:val="both"/>
              <w:rPr>
                <w:rFonts w:asciiTheme="majorHAnsi" w:eastAsia="Times New Roman" w:hAnsiTheme="majorHAnsi" w:cstheme="majorHAnsi"/>
                <w:sz w:val="22"/>
                <w:szCs w:val="22"/>
              </w:rPr>
            </w:pPr>
            <w:r w:rsidRPr="008F2DD6">
              <w:rPr>
                <w:rFonts w:asciiTheme="majorHAnsi" w:eastAsia="Times New Roman" w:hAnsiTheme="majorHAnsi" w:cstheme="majorHAnsi"/>
                <w:bCs/>
                <w:sz w:val="22"/>
                <w:szCs w:val="22"/>
              </w:rPr>
              <w:t>Bloque 83</w:t>
            </w:r>
          </w:p>
        </w:tc>
      </w:tr>
    </w:tbl>
    <w:p w14:paraId="37E802FA" w14:textId="570C7F3F" w:rsidR="00186095" w:rsidRDefault="00186095" w:rsidP="00186095">
      <w:pPr>
        <w:spacing w:before="100" w:beforeAutospacing="1" w:after="100" w:afterAutospacing="1" w:line="276" w:lineRule="auto"/>
        <w:jc w:val="both"/>
        <w:rPr>
          <w:rFonts w:asciiTheme="majorHAnsi" w:hAnsiTheme="majorHAnsi" w:cstheme="majorHAnsi"/>
          <w:b/>
          <w:sz w:val="22"/>
          <w:szCs w:val="22"/>
        </w:rPr>
      </w:pPr>
      <w:r w:rsidRPr="008F2DD6">
        <w:rPr>
          <w:rFonts w:asciiTheme="majorHAnsi" w:eastAsia="Times New Roman" w:hAnsiTheme="majorHAnsi" w:cstheme="majorHAnsi"/>
          <w:sz w:val="22"/>
          <w:szCs w:val="22"/>
        </w:rPr>
        <w:t xml:space="preserve">En total, se participó técnicamente de </w:t>
      </w:r>
      <w:r w:rsidRPr="008F2DD6">
        <w:rPr>
          <w:rFonts w:asciiTheme="majorHAnsi" w:eastAsia="Times New Roman" w:hAnsiTheme="majorHAnsi" w:cstheme="majorHAnsi"/>
          <w:b/>
          <w:bCs/>
          <w:sz w:val="22"/>
          <w:szCs w:val="22"/>
        </w:rPr>
        <w:t>16 comités mensuales</w:t>
      </w:r>
      <w:r w:rsidRPr="008F2DD6">
        <w:rPr>
          <w:rFonts w:asciiTheme="majorHAnsi" w:eastAsia="Times New Roman" w:hAnsiTheme="majorHAnsi" w:cstheme="majorHAnsi"/>
          <w:sz w:val="22"/>
          <w:szCs w:val="22"/>
        </w:rPr>
        <w:t xml:space="preserve"> (uno por cada bloque), lo que representa un total de </w:t>
      </w:r>
      <w:r w:rsidRPr="008F2DD6">
        <w:rPr>
          <w:rFonts w:asciiTheme="majorHAnsi" w:eastAsia="Times New Roman" w:hAnsiTheme="majorHAnsi" w:cstheme="majorHAnsi"/>
          <w:b/>
          <w:bCs/>
          <w:sz w:val="22"/>
          <w:szCs w:val="22"/>
        </w:rPr>
        <w:t>192 participaciones anuales</w:t>
      </w:r>
      <w:r w:rsidRPr="008F2DD6">
        <w:rPr>
          <w:rFonts w:asciiTheme="majorHAnsi" w:eastAsia="Times New Roman" w:hAnsiTheme="majorHAnsi" w:cstheme="majorHAnsi"/>
          <w:sz w:val="22"/>
          <w:szCs w:val="22"/>
        </w:rPr>
        <w:t xml:space="preserve">, fortaleciendo el cumplimiento normativo ambiental del sector </w:t>
      </w:r>
      <w:proofErr w:type="spellStart"/>
      <w:r w:rsidRPr="008F2DD6">
        <w:rPr>
          <w:rFonts w:asciiTheme="majorHAnsi" w:eastAsia="Times New Roman" w:hAnsiTheme="majorHAnsi" w:cstheme="majorHAnsi"/>
          <w:sz w:val="22"/>
          <w:szCs w:val="22"/>
        </w:rPr>
        <w:t>hidrocarburífero</w:t>
      </w:r>
      <w:proofErr w:type="spellEnd"/>
      <w:r w:rsidRPr="008F2DD6">
        <w:rPr>
          <w:rFonts w:asciiTheme="majorHAnsi" w:eastAsia="Times New Roman" w:hAnsiTheme="majorHAnsi" w:cstheme="majorHAnsi"/>
          <w:sz w:val="22"/>
          <w:szCs w:val="22"/>
        </w:rPr>
        <w:t>.</w:t>
      </w:r>
      <w:r w:rsidRPr="008F2DD6">
        <w:rPr>
          <w:rFonts w:asciiTheme="majorHAnsi" w:hAnsiTheme="majorHAnsi" w:cstheme="majorHAnsi"/>
          <w:b/>
          <w:sz w:val="22"/>
          <w:szCs w:val="22"/>
        </w:rPr>
        <w:t xml:space="preserve"> </w:t>
      </w:r>
    </w:p>
    <w:p w14:paraId="157A706D" w14:textId="1537C597" w:rsidR="00190089" w:rsidRDefault="00190089" w:rsidP="00186095">
      <w:pPr>
        <w:spacing w:before="100" w:beforeAutospacing="1" w:after="100" w:afterAutospacing="1" w:line="276" w:lineRule="auto"/>
        <w:jc w:val="both"/>
        <w:rPr>
          <w:rFonts w:asciiTheme="majorHAnsi" w:hAnsiTheme="majorHAnsi" w:cstheme="majorHAnsi"/>
          <w:b/>
          <w:sz w:val="22"/>
          <w:szCs w:val="22"/>
        </w:rPr>
      </w:pPr>
    </w:p>
    <w:p w14:paraId="17A3E9FB" w14:textId="77777777" w:rsidR="00190089" w:rsidRPr="008F2DD6" w:rsidRDefault="00190089" w:rsidP="00186095">
      <w:pPr>
        <w:spacing w:before="100" w:beforeAutospacing="1" w:after="100" w:afterAutospacing="1" w:line="276" w:lineRule="auto"/>
        <w:jc w:val="both"/>
        <w:rPr>
          <w:rFonts w:asciiTheme="majorHAnsi" w:hAnsiTheme="majorHAnsi" w:cstheme="majorHAnsi"/>
          <w:b/>
          <w:sz w:val="22"/>
          <w:szCs w:val="22"/>
        </w:rPr>
      </w:pPr>
    </w:p>
    <w:p w14:paraId="5AC6FD8C" w14:textId="77777777" w:rsidR="00186095" w:rsidRPr="00CA1FC5" w:rsidRDefault="00186095" w:rsidP="00CA1FC5">
      <w:pPr>
        <w:pStyle w:val="Ttulo4"/>
        <w:rPr>
          <w:i w:val="0"/>
          <w:sz w:val="22"/>
          <w:szCs w:val="22"/>
        </w:rPr>
      </w:pPr>
      <w:r w:rsidRPr="00CA1FC5">
        <w:rPr>
          <w:i w:val="0"/>
          <w:sz w:val="22"/>
          <w:szCs w:val="22"/>
        </w:rPr>
        <w:lastRenderedPageBreak/>
        <w:t>Gestión de Riesgos</w:t>
      </w:r>
    </w:p>
    <w:p w14:paraId="1EF9BDB3" w14:textId="77777777" w:rsidR="00186095" w:rsidRDefault="00186095" w:rsidP="00186095">
      <w:pPr>
        <w:spacing w:line="276" w:lineRule="auto"/>
        <w:jc w:val="both"/>
        <w:rPr>
          <w:rFonts w:asciiTheme="majorHAnsi" w:hAnsiTheme="majorHAnsi" w:cstheme="majorHAnsi"/>
          <w:sz w:val="22"/>
          <w:szCs w:val="22"/>
        </w:rPr>
      </w:pPr>
    </w:p>
    <w:p w14:paraId="6DEF4DB2" w14:textId="77777777" w:rsidR="00186095" w:rsidRPr="008F2DD6" w:rsidRDefault="00186095" w:rsidP="00186095">
      <w:pPr>
        <w:spacing w:line="276" w:lineRule="auto"/>
        <w:jc w:val="both"/>
        <w:rPr>
          <w:rFonts w:asciiTheme="majorHAnsi" w:hAnsiTheme="majorHAnsi" w:cstheme="majorHAnsi"/>
          <w:b/>
          <w:color w:val="4472C4" w:themeColor="accent1"/>
          <w:sz w:val="22"/>
          <w:szCs w:val="22"/>
        </w:rPr>
      </w:pPr>
      <w:r w:rsidRPr="008F2DD6">
        <w:rPr>
          <w:rFonts w:asciiTheme="majorHAnsi" w:hAnsiTheme="majorHAnsi" w:cstheme="majorHAnsi"/>
          <w:sz w:val="22"/>
          <w:szCs w:val="22"/>
        </w:rPr>
        <w:t>Durante el año 2024, se alcanzaron los siguientes resultados de gestión:</w:t>
      </w:r>
    </w:p>
    <w:p w14:paraId="1084A56C" w14:textId="77777777" w:rsidR="00186095" w:rsidRPr="008F2DD6" w:rsidRDefault="00186095" w:rsidP="00186095">
      <w:pPr>
        <w:spacing w:line="276" w:lineRule="auto"/>
        <w:jc w:val="both"/>
        <w:rPr>
          <w:rFonts w:asciiTheme="majorHAnsi" w:hAnsiTheme="majorHAnsi" w:cstheme="majorHAnsi"/>
          <w:sz w:val="22"/>
          <w:szCs w:val="22"/>
          <w:lang w:val="es-ES"/>
        </w:rPr>
      </w:pPr>
    </w:p>
    <w:p w14:paraId="4BCAC82C" w14:textId="77777777" w:rsidR="00186095" w:rsidRPr="00192E54" w:rsidRDefault="00186095" w:rsidP="00186095">
      <w:pPr>
        <w:spacing w:line="276" w:lineRule="auto"/>
        <w:jc w:val="both"/>
        <w:rPr>
          <w:rFonts w:asciiTheme="majorHAnsi" w:hAnsiTheme="majorHAnsi" w:cstheme="majorHAnsi"/>
          <w:sz w:val="22"/>
          <w:szCs w:val="22"/>
          <w:lang w:val="es-ES"/>
        </w:rPr>
      </w:pPr>
      <w:r w:rsidRPr="00192E54">
        <w:rPr>
          <w:rFonts w:asciiTheme="majorHAnsi" w:hAnsiTheme="majorHAnsi" w:cstheme="majorHAnsi"/>
          <w:b/>
          <w:sz w:val="22"/>
          <w:szCs w:val="22"/>
          <w:lang w:val="es-ES"/>
        </w:rPr>
        <w:t>Participación en la Mesa Técnica de Trabajo MTT3 -COE “Servicios Básicos Esenciales”:</w:t>
      </w:r>
      <w:r w:rsidRPr="00192E54">
        <w:rPr>
          <w:rFonts w:asciiTheme="majorHAnsi" w:hAnsiTheme="majorHAnsi" w:cstheme="majorHAnsi"/>
          <w:sz w:val="22"/>
          <w:szCs w:val="22"/>
          <w:lang w:val="es-ES"/>
        </w:rPr>
        <w:t xml:space="preserve"> se ha participado en un taller en conjunto con el sector energético y minero en aspectos relacionados con lineamientos y las políticas públicas para la actualización del Manual del Comité de Operaciones de Emergencias.</w:t>
      </w:r>
    </w:p>
    <w:p w14:paraId="3D6E12B5" w14:textId="77777777" w:rsidR="00186095" w:rsidRPr="008F2DD6" w:rsidRDefault="00186095" w:rsidP="00186095">
      <w:pPr>
        <w:spacing w:line="276" w:lineRule="auto"/>
        <w:jc w:val="both"/>
        <w:rPr>
          <w:rFonts w:asciiTheme="majorHAnsi" w:hAnsiTheme="majorHAnsi" w:cstheme="majorHAnsi"/>
          <w:sz w:val="22"/>
          <w:szCs w:val="22"/>
          <w:lang w:val="es-ES"/>
        </w:rPr>
      </w:pPr>
      <w:r w:rsidRPr="008F2DD6">
        <w:rPr>
          <w:rFonts w:asciiTheme="majorHAnsi" w:hAnsiTheme="majorHAnsi" w:cstheme="majorHAnsi"/>
          <w:sz w:val="22"/>
          <w:szCs w:val="22"/>
        </w:rPr>
        <w:t xml:space="preserve">En el siguiente link se encuentra las resoluciones del COE Nacional: </w:t>
      </w:r>
      <w:hyperlink r:id="rId58" w:history="1">
        <w:r w:rsidRPr="008F2DD6">
          <w:rPr>
            <w:rStyle w:val="Hipervnculo"/>
            <w:rFonts w:asciiTheme="majorHAnsi" w:hAnsiTheme="majorHAnsi" w:cstheme="majorHAnsi"/>
            <w:sz w:val="22"/>
            <w:szCs w:val="22"/>
            <w:lang w:val="es-ES"/>
          </w:rPr>
          <w:t>https://www.gestionderiesgos.gob.ec/resoluciones-coe/</w:t>
        </w:r>
      </w:hyperlink>
    </w:p>
    <w:p w14:paraId="42D0719C" w14:textId="77777777" w:rsidR="00186095" w:rsidRPr="008F2DD6" w:rsidRDefault="00186095" w:rsidP="00186095">
      <w:pPr>
        <w:spacing w:line="276" w:lineRule="auto"/>
        <w:jc w:val="both"/>
        <w:rPr>
          <w:rFonts w:asciiTheme="majorHAnsi" w:hAnsiTheme="majorHAnsi" w:cstheme="majorHAnsi"/>
          <w:sz w:val="22"/>
          <w:szCs w:val="22"/>
          <w:lang w:val="es-ES"/>
        </w:rPr>
      </w:pPr>
    </w:p>
    <w:p w14:paraId="51A34EEE" w14:textId="77777777" w:rsidR="00186095" w:rsidRPr="008F2DD6" w:rsidRDefault="00186095" w:rsidP="00186095">
      <w:pPr>
        <w:spacing w:line="276" w:lineRule="auto"/>
        <w:jc w:val="both"/>
        <w:rPr>
          <w:rFonts w:asciiTheme="majorHAnsi" w:hAnsiTheme="majorHAnsi" w:cstheme="majorHAnsi"/>
          <w:sz w:val="22"/>
          <w:szCs w:val="22"/>
          <w:lang w:val="es-ES"/>
        </w:rPr>
      </w:pPr>
      <w:r w:rsidRPr="00192E54">
        <w:rPr>
          <w:rFonts w:asciiTheme="majorHAnsi" w:hAnsiTheme="majorHAnsi" w:cstheme="majorHAnsi"/>
          <w:b/>
          <w:sz w:val="22"/>
          <w:szCs w:val="22"/>
          <w:lang w:val="es-ES"/>
        </w:rPr>
        <w:t xml:space="preserve">Inspecciones Técnicas de Seguimiento: </w:t>
      </w:r>
      <w:r w:rsidRPr="00192E54">
        <w:rPr>
          <w:rFonts w:asciiTheme="majorHAnsi" w:hAnsiTheme="majorHAnsi" w:cstheme="majorHAnsi"/>
          <w:sz w:val="22"/>
          <w:szCs w:val="22"/>
          <w:lang w:val="es-ES"/>
        </w:rPr>
        <w:t>se ha coordinado y participado en la siguiente visita técnica:</w:t>
      </w:r>
    </w:p>
    <w:p w14:paraId="0117D176" w14:textId="77777777" w:rsidR="00186095" w:rsidRPr="008F2DD6" w:rsidRDefault="00186095" w:rsidP="00186095">
      <w:pPr>
        <w:spacing w:line="276" w:lineRule="auto"/>
        <w:jc w:val="both"/>
        <w:rPr>
          <w:rFonts w:asciiTheme="majorHAnsi" w:hAnsiTheme="majorHAnsi" w:cstheme="majorHAnsi"/>
          <w:sz w:val="22"/>
          <w:szCs w:val="22"/>
          <w:lang w:val="es-ES"/>
        </w:rPr>
      </w:pPr>
      <w:r w:rsidRPr="008F2DD6">
        <w:rPr>
          <w:rFonts w:asciiTheme="majorHAnsi" w:hAnsiTheme="majorHAnsi" w:cstheme="majorHAnsi"/>
          <w:sz w:val="22"/>
          <w:szCs w:val="22"/>
          <w:lang w:val="es-ES"/>
        </w:rPr>
        <w:t>Evento Ambiental KP 136+404 – Oleoducto de Crudos Pesados (OCP): verificación de avance de trabajos de limpieza y remediación en el evento.</w:t>
      </w:r>
    </w:p>
    <w:p w14:paraId="09CB5CE9" w14:textId="77777777" w:rsidR="00186095" w:rsidRDefault="00186095" w:rsidP="00186095">
      <w:pPr>
        <w:spacing w:line="276" w:lineRule="auto"/>
        <w:jc w:val="both"/>
        <w:rPr>
          <w:rFonts w:asciiTheme="majorHAnsi" w:hAnsiTheme="majorHAnsi" w:cstheme="majorHAnsi"/>
          <w:b/>
          <w:sz w:val="22"/>
          <w:szCs w:val="22"/>
          <w:lang w:val="es-ES"/>
        </w:rPr>
      </w:pPr>
      <w:r w:rsidRPr="008F2DD6">
        <w:rPr>
          <w:rFonts w:asciiTheme="majorHAnsi" w:hAnsiTheme="majorHAnsi" w:cstheme="majorHAnsi"/>
          <w:sz w:val="22"/>
          <w:szCs w:val="22"/>
        </w:rPr>
        <w:t xml:space="preserve">En el siguiente link se encuentra el avance de las acciones realizadas por </w:t>
      </w:r>
      <w:r w:rsidRPr="008F2DD6">
        <w:rPr>
          <w:rStyle w:val="Textoennegrita"/>
          <w:rFonts w:asciiTheme="majorHAnsi" w:hAnsiTheme="majorHAnsi" w:cstheme="majorHAnsi"/>
          <w:color w:val="333333"/>
          <w:sz w:val="22"/>
          <w:szCs w:val="22"/>
          <w:shd w:val="clear" w:color="auto" w:fill="FFFFFF"/>
        </w:rPr>
        <w:t>Oleoducto de Crudos Pesados – OCP</w:t>
      </w:r>
      <w:r w:rsidRPr="008F2DD6">
        <w:rPr>
          <w:rFonts w:asciiTheme="majorHAnsi" w:hAnsiTheme="majorHAnsi" w:cstheme="majorHAnsi"/>
          <w:b/>
          <w:sz w:val="22"/>
          <w:szCs w:val="22"/>
          <w:lang w:val="es-ES"/>
        </w:rPr>
        <w:t xml:space="preserve">: </w:t>
      </w:r>
      <w:hyperlink r:id="rId59" w:history="1">
        <w:r w:rsidRPr="008F2DD6">
          <w:rPr>
            <w:rStyle w:val="Hipervnculo"/>
            <w:rFonts w:asciiTheme="majorHAnsi" w:hAnsiTheme="majorHAnsi" w:cstheme="majorHAnsi"/>
            <w:sz w:val="22"/>
            <w:szCs w:val="22"/>
            <w:lang w:val="es-ES"/>
          </w:rPr>
          <w:t>https://www.recursosyenergia.gob.ec/se-normalizan-operaciones-petroleras-en-el-oleoducto-de-crudos-pesados/</w:t>
        </w:r>
      </w:hyperlink>
    </w:p>
    <w:p w14:paraId="59B7FD3C" w14:textId="00DAE5E4" w:rsidR="00186095" w:rsidRDefault="00186095" w:rsidP="00190089">
      <w:pPr>
        <w:pStyle w:val="Ttulo1"/>
        <w:rPr>
          <w:sz w:val="24"/>
          <w:szCs w:val="24"/>
        </w:rPr>
      </w:pPr>
      <w:bookmarkStart w:id="462" w:name="_Toc196485204"/>
      <w:r w:rsidRPr="00190089">
        <w:rPr>
          <w:sz w:val="24"/>
          <w:szCs w:val="24"/>
        </w:rPr>
        <w:t xml:space="preserve"> </w:t>
      </w:r>
      <w:bookmarkStart w:id="463" w:name="_Toc199759581"/>
      <w:r w:rsidRPr="00190089">
        <w:rPr>
          <w:sz w:val="24"/>
          <w:szCs w:val="24"/>
        </w:rPr>
        <w:t>Cumplimiento de Las Recomendaciones de la Contraloría General Del Estado.</w:t>
      </w:r>
      <w:bookmarkEnd w:id="462"/>
      <w:bookmarkEnd w:id="463"/>
    </w:p>
    <w:p w14:paraId="1351B61F" w14:textId="77777777" w:rsidR="00190089" w:rsidRPr="00190089" w:rsidRDefault="00190089" w:rsidP="00190089"/>
    <w:p w14:paraId="027ABAAF" w14:textId="77777777" w:rsidR="00186095" w:rsidRDefault="00186095" w:rsidP="00186095">
      <w:pPr>
        <w:spacing w:line="276" w:lineRule="auto"/>
        <w:jc w:val="both"/>
        <w:rPr>
          <w:rFonts w:asciiTheme="majorHAnsi" w:hAnsiTheme="majorHAnsi" w:cstheme="majorHAnsi"/>
          <w:sz w:val="22"/>
          <w:szCs w:val="22"/>
          <w:lang w:val="es-ES"/>
        </w:rPr>
      </w:pPr>
      <w:r w:rsidRPr="005F063D">
        <w:rPr>
          <w:rFonts w:asciiTheme="majorHAnsi" w:hAnsiTheme="majorHAnsi" w:cstheme="majorHAnsi"/>
          <w:sz w:val="22"/>
          <w:szCs w:val="22"/>
          <w:lang w:val="es-ES"/>
        </w:rPr>
        <w:t>En cumplimiento a la designación realizada mediante Memorando MEM-MEM-2023-0306-ME del 3 de octubre de 2023, a través del cual el Ministro de Energía y Minas designa a la Coordinación General de Planificación y Gestión Estratégica como responsable del seguimiento de las recomendaciones emitidas por la Contraloría General del Estado.</w:t>
      </w:r>
    </w:p>
    <w:p w14:paraId="39587922" w14:textId="77777777" w:rsidR="00186095" w:rsidRPr="005F063D" w:rsidRDefault="00186095" w:rsidP="00186095">
      <w:pPr>
        <w:spacing w:line="276" w:lineRule="auto"/>
        <w:jc w:val="both"/>
        <w:rPr>
          <w:rFonts w:asciiTheme="majorHAnsi" w:hAnsiTheme="majorHAnsi" w:cstheme="majorHAnsi"/>
          <w:sz w:val="22"/>
          <w:szCs w:val="22"/>
          <w:lang w:val="es-ES"/>
        </w:rPr>
      </w:pPr>
    </w:p>
    <w:p w14:paraId="122BD19E" w14:textId="77777777" w:rsidR="00186095" w:rsidRPr="005F063D" w:rsidRDefault="00186095" w:rsidP="00186095">
      <w:pPr>
        <w:spacing w:line="276" w:lineRule="auto"/>
        <w:jc w:val="both"/>
        <w:rPr>
          <w:rFonts w:asciiTheme="majorHAnsi" w:hAnsiTheme="majorHAnsi" w:cstheme="majorHAnsi"/>
          <w:sz w:val="22"/>
          <w:szCs w:val="22"/>
          <w:lang w:val="es-ES"/>
        </w:rPr>
      </w:pPr>
      <w:r w:rsidRPr="005F063D">
        <w:rPr>
          <w:rFonts w:asciiTheme="majorHAnsi" w:hAnsiTheme="majorHAnsi" w:cstheme="majorHAnsi"/>
          <w:sz w:val="22"/>
          <w:szCs w:val="22"/>
          <w:lang w:val="es-ES"/>
        </w:rPr>
        <w:t>El Ministerio de Energía y Minas recibió por parte de la Contraloría General del Estado entre el año 2017 al 2024 un aproximado de 85 exámenes especiales, la cual da un total de 541 recomendaciones las cuales fueron asignadas y distribuidas a las unidades institucionales, entidades adscritas y entidades relacionadas para su cumplimiento.</w:t>
      </w:r>
    </w:p>
    <w:p w14:paraId="361550B9" w14:textId="77777777" w:rsidR="00186095" w:rsidRDefault="00186095" w:rsidP="00186095">
      <w:pPr>
        <w:spacing w:line="276" w:lineRule="auto"/>
        <w:jc w:val="both"/>
        <w:rPr>
          <w:rFonts w:asciiTheme="majorHAnsi" w:hAnsiTheme="majorHAnsi" w:cstheme="majorHAnsi"/>
          <w:sz w:val="22"/>
          <w:szCs w:val="22"/>
          <w:lang w:val="es-ES"/>
        </w:rPr>
      </w:pPr>
    </w:p>
    <w:p w14:paraId="6AC69721" w14:textId="77777777" w:rsidR="00186095" w:rsidRPr="005F063D" w:rsidRDefault="00186095" w:rsidP="00186095">
      <w:pPr>
        <w:spacing w:line="276" w:lineRule="auto"/>
        <w:jc w:val="both"/>
        <w:rPr>
          <w:rFonts w:asciiTheme="majorHAnsi" w:hAnsiTheme="majorHAnsi" w:cstheme="majorHAnsi"/>
          <w:sz w:val="22"/>
          <w:szCs w:val="22"/>
          <w:lang w:val="es-ES"/>
        </w:rPr>
      </w:pPr>
      <w:r w:rsidRPr="005F063D">
        <w:rPr>
          <w:rFonts w:asciiTheme="majorHAnsi" w:hAnsiTheme="majorHAnsi" w:cstheme="majorHAnsi"/>
          <w:sz w:val="22"/>
          <w:szCs w:val="22"/>
          <w:lang w:val="es-ES"/>
        </w:rPr>
        <w:t>Dentro de estos 85 exámenes especiales consta un total 541 recomendaciones, de las cuales 280 fueron determinadas por el órgano de control como cumplidas, 200 se encuentran en proceso de cumplimento y 61 recomendaciones fueron determinadas por la CGE como no aplicables.</w:t>
      </w:r>
    </w:p>
    <w:p w14:paraId="01F0DA78" w14:textId="7B55CC91" w:rsidR="00186095" w:rsidRPr="005F063D" w:rsidRDefault="00186095" w:rsidP="00186095">
      <w:pPr>
        <w:spacing w:line="276" w:lineRule="auto"/>
        <w:jc w:val="both"/>
        <w:rPr>
          <w:rFonts w:asciiTheme="majorHAnsi" w:hAnsiTheme="majorHAnsi" w:cstheme="majorHAnsi"/>
          <w:sz w:val="22"/>
          <w:szCs w:val="22"/>
          <w:lang w:val="es-ES"/>
        </w:rPr>
      </w:pPr>
      <w:r w:rsidRPr="005F063D">
        <w:rPr>
          <w:rFonts w:asciiTheme="majorHAnsi" w:hAnsiTheme="majorHAnsi" w:cstheme="majorHAnsi"/>
          <w:sz w:val="22"/>
          <w:szCs w:val="22"/>
          <w:lang w:val="es-ES"/>
        </w:rPr>
        <w:t>En el año 2024, la CGE remitió al MEM 5 informes de exámenes especiales que contienen un total de 50 recomendaciones, las cuales se encuentran en proceso de cumplimiento.</w:t>
      </w:r>
      <w:r>
        <w:rPr>
          <w:rFonts w:asciiTheme="majorHAnsi" w:hAnsiTheme="majorHAnsi" w:cstheme="majorHAnsi"/>
          <w:sz w:val="22"/>
          <w:szCs w:val="22"/>
          <w:lang w:val="es-ES"/>
        </w:rPr>
        <w:t xml:space="preserve"> </w:t>
      </w:r>
      <w:r w:rsidRPr="005F063D">
        <w:rPr>
          <w:rFonts w:asciiTheme="majorHAnsi" w:hAnsiTheme="majorHAnsi" w:cstheme="majorHAnsi"/>
          <w:sz w:val="22"/>
          <w:szCs w:val="22"/>
          <w:lang w:val="es-ES"/>
        </w:rPr>
        <w:t>El Ministerio de Energía y Minas ha demostrado avances significativos en el cumplimiento de las recomendaciones emitidas por la Contraloría General del Estado, logrando un 52% de aumento en recomendaciones cumplidas entre enero y diciembre de 2024 obteniendo un óptimo seguimiento al cumplimiento de las recomendaciones.</w:t>
      </w:r>
    </w:p>
    <w:sectPr w:rsidR="00186095" w:rsidRPr="005F063D" w:rsidSect="00566245">
      <w:type w:val="continuous"/>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55505" w14:textId="77777777" w:rsidR="003D45F7" w:rsidRDefault="003D45F7" w:rsidP="00C06F03">
      <w:r>
        <w:separator/>
      </w:r>
    </w:p>
  </w:endnote>
  <w:endnote w:type="continuationSeparator" w:id="0">
    <w:p w14:paraId="19A57A17" w14:textId="77777777" w:rsidR="003D45F7" w:rsidRDefault="003D45F7" w:rsidP="00C06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DC63C" w14:textId="778B8DDE" w:rsidR="00941411" w:rsidRDefault="00941411">
    <w:pPr>
      <w:pStyle w:val="Piedepgina"/>
      <w:jc w:val="center"/>
    </w:pPr>
    <w:r>
      <w:rPr>
        <w:noProof/>
      </w:rPr>
      <w:drawing>
        <wp:anchor distT="0" distB="0" distL="114300" distR="114300" simplePos="0" relativeHeight="251660288" behindDoc="1" locked="0" layoutInCell="1" allowOverlap="1" wp14:anchorId="66FAA635" wp14:editId="496DF554">
          <wp:simplePos x="0" y="0"/>
          <wp:positionH relativeFrom="margin">
            <wp:posOffset>-153035</wp:posOffset>
          </wp:positionH>
          <wp:positionV relativeFrom="paragraph">
            <wp:posOffset>407035</wp:posOffset>
          </wp:positionV>
          <wp:extent cx="8374380" cy="996950"/>
          <wp:effectExtent l="0" t="0" r="762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8374380" cy="99695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es-ES"/>
      </w:rPr>
      <w:t>2</w:t>
    </w:r>
    <w:r>
      <w:fldChar w:fldCharType="end"/>
    </w:r>
  </w:p>
  <w:p w14:paraId="0C4AAAF7" w14:textId="40AAE7CE" w:rsidR="00941411" w:rsidRDefault="009414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03A53" w14:textId="77777777" w:rsidR="003D45F7" w:rsidRDefault="003D45F7" w:rsidP="00C06F03">
      <w:r>
        <w:separator/>
      </w:r>
    </w:p>
  </w:footnote>
  <w:footnote w:type="continuationSeparator" w:id="0">
    <w:p w14:paraId="0AA88849" w14:textId="77777777" w:rsidR="003D45F7" w:rsidRDefault="003D45F7" w:rsidP="00C06F03">
      <w:r>
        <w:continuationSeparator/>
      </w:r>
    </w:p>
  </w:footnote>
  <w:footnote w:id="1">
    <w:p w14:paraId="10B5C86E" w14:textId="77777777" w:rsidR="00941411" w:rsidRDefault="00941411" w:rsidP="00C06F03">
      <w:pPr>
        <w:pStyle w:val="Textonotapie"/>
      </w:pPr>
      <w:r>
        <w:rPr>
          <w:rStyle w:val="Refdenotaalpie"/>
        </w:rPr>
        <w:footnoteRef/>
      </w:r>
      <w:r>
        <w:t xml:space="preserve"> </w:t>
      </w:r>
      <w:r w:rsidRPr="004B4FD6">
        <w:t>Socializado al MEM Memorando Nro. MEM-MEM-2022-0305-ME y a adscritas al MEM con Oficio Nro. MEM-MEM-2022-0902-OF de 27 de septiembre de 2022</w:t>
      </w:r>
    </w:p>
  </w:footnote>
  <w:footnote w:id="2">
    <w:p w14:paraId="08001A19" w14:textId="77777777" w:rsidR="00941411" w:rsidRPr="008F6C44" w:rsidRDefault="00941411" w:rsidP="00BF001E">
      <w:pPr>
        <w:pStyle w:val="Textonotapie"/>
        <w:rPr>
          <w:sz w:val="16"/>
          <w:szCs w:val="16"/>
          <w:lang w:val="es-ES"/>
        </w:rPr>
      </w:pPr>
      <w:r>
        <w:rPr>
          <w:rStyle w:val="Refdenotaalpie"/>
        </w:rPr>
        <w:footnoteRef/>
      </w:r>
      <w:r>
        <w:t xml:space="preserve"> </w:t>
      </w:r>
      <w:r w:rsidRPr="008F6C44">
        <w:rPr>
          <w:sz w:val="16"/>
          <w:szCs w:val="16"/>
          <w:lang w:val="es-ES"/>
        </w:rPr>
        <w:t>A pesar de que los reportes oficiales indican que el monto recaudado fue de 1,002.48</w:t>
      </w:r>
      <w:r>
        <w:rPr>
          <w:sz w:val="16"/>
          <w:szCs w:val="16"/>
          <w:lang w:val="es-ES"/>
        </w:rPr>
        <w:t xml:space="preserve"> </w:t>
      </w:r>
      <w:r w:rsidRPr="008F6C44">
        <w:rPr>
          <w:sz w:val="16"/>
          <w:szCs w:val="16"/>
          <w:lang w:val="es-ES"/>
        </w:rPr>
        <w:t>millones de dólares, de los cuales 393.72 millones correspondieron a impuestos sectoriales y</w:t>
      </w:r>
      <w:r>
        <w:rPr>
          <w:sz w:val="16"/>
          <w:szCs w:val="16"/>
          <w:lang w:val="es-ES"/>
        </w:rPr>
        <w:t xml:space="preserve"> </w:t>
      </w:r>
      <w:r w:rsidRPr="008F6C44">
        <w:rPr>
          <w:sz w:val="16"/>
          <w:szCs w:val="16"/>
          <w:lang w:val="es-ES"/>
        </w:rPr>
        <w:t>608.76 millones a impuestos generales, este valor presenta discrepancias con la información</w:t>
      </w:r>
      <w:r>
        <w:rPr>
          <w:sz w:val="16"/>
          <w:szCs w:val="16"/>
          <w:lang w:val="es-ES"/>
        </w:rPr>
        <w:t xml:space="preserve"> </w:t>
      </w:r>
      <w:r w:rsidRPr="008F6C44">
        <w:rPr>
          <w:sz w:val="16"/>
          <w:szCs w:val="16"/>
          <w:lang w:val="es-ES"/>
        </w:rPr>
        <w:t>contenida en el presente informe. La diferencia se debe a que los datos reportados fueron</w:t>
      </w:r>
      <w:r>
        <w:rPr>
          <w:sz w:val="16"/>
          <w:szCs w:val="16"/>
          <w:lang w:val="es-ES"/>
        </w:rPr>
        <w:t xml:space="preserve"> </w:t>
      </w:r>
      <w:r w:rsidRPr="008F6C44">
        <w:rPr>
          <w:sz w:val="16"/>
          <w:szCs w:val="16"/>
          <w:lang w:val="es-ES"/>
        </w:rPr>
        <w:t>entregados por el Servicio de Rentas Internas (SRI) al Ministerio de Energía y Minas, sin</w:t>
      </w:r>
      <w:r>
        <w:rPr>
          <w:sz w:val="16"/>
          <w:szCs w:val="16"/>
          <w:lang w:val="es-ES"/>
        </w:rPr>
        <w:t xml:space="preserve"> </w:t>
      </w:r>
      <w:r w:rsidRPr="008F6C44">
        <w:rPr>
          <w:sz w:val="16"/>
          <w:szCs w:val="16"/>
          <w:lang w:val="es-ES"/>
        </w:rPr>
        <w:t>especificar las actividades económicas (CIIU v4) que el SRI considera dentro del sector minero.</w:t>
      </w:r>
    </w:p>
    <w:p w14:paraId="06F5D93F" w14:textId="77777777" w:rsidR="00941411" w:rsidRPr="008F6C44" w:rsidRDefault="00941411" w:rsidP="00BF001E">
      <w:pPr>
        <w:pStyle w:val="Textonotapie"/>
        <w:rPr>
          <w:lang w:val="es-ES"/>
        </w:rPr>
      </w:pPr>
      <w:r w:rsidRPr="008F6C44">
        <w:rPr>
          <w:sz w:val="16"/>
          <w:szCs w:val="16"/>
          <w:lang w:val="es-ES"/>
        </w:rPr>
        <w:t>Por otro lado, el Viceministerio de Minas realiza un informe con una depuración de 91</w:t>
      </w:r>
      <w:r>
        <w:rPr>
          <w:sz w:val="16"/>
          <w:szCs w:val="16"/>
          <w:lang w:val="es-ES"/>
        </w:rPr>
        <w:t xml:space="preserve"> </w:t>
      </w:r>
      <w:r w:rsidRPr="008F6C44">
        <w:rPr>
          <w:sz w:val="16"/>
          <w:szCs w:val="16"/>
          <w:lang w:val="es-ES"/>
        </w:rPr>
        <w:t>actividades económicas, específicamente vinculadas al sector minero, lo que explica la</w:t>
      </w:r>
      <w:r>
        <w:rPr>
          <w:sz w:val="16"/>
          <w:szCs w:val="16"/>
          <w:lang w:val="es-ES"/>
        </w:rPr>
        <w:t xml:space="preserve"> </w:t>
      </w:r>
      <w:r w:rsidRPr="008F6C44">
        <w:rPr>
          <w:sz w:val="16"/>
          <w:szCs w:val="16"/>
          <w:lang w:val="es-ES"/>
        </w:rPr>
        <w:t>variabilidad en los montos reflejados.</w:t>
      </w:r>
    </w:p>
  </w:footnote>
  <w:footnote w:id="3">
    <w:p w14:paraId="209C0727" w14:textId="77777777" w:rsidR="00941411" w:rsidRPr="00C33868" w:rsidRDefault="00941411" w:rsidP="00BF001E">
      <w:pPr>
        <w:pStyle w:val="Textonotapie"/>
        <w:rPr>
          <w:sz w:val="16"/>
          <w:szCs w:val="16"/>
          <w:lang w:val="es-ES"/>
        </w:rPr>
      </w:pPr>
      <w:r w:rsidRPr="00C33868">
        <w:rPr>
          <w:rStyle w:val="Refdenotaalpie"/>
          <w:sz w:val="16"/>
          <w:szCs w:val="16"/>
        </w:rPr>
        <w:footnoteRef/>
      </w:r>
      <w:r w:rsidRPr="00C33868">
        <w:rPr>
          <w:sz w:val="16"/>
          <w:szCs w:val="16"/>
        </w:rPr>
        <w:t xml:space="preserve"> </w:t>
      </w:r>
      <w:r w:rsidRPr="00C33868">
        <w:rPr>
          <w:sz w:val="16"/>
          <w:szCs w:val="16"/>
          <w:lang w:val="es-ES"/>
        </w:rPr>
        <w:t>Información diciembre 202</w:t>
      </w:r>
      <w:r>
        <w:rPr>
          <w:sz w:val="16"/>
          <w:szCs w:val="16"/>
          <w:lang w:val="es-ES"/>
        </w:rPr>
        <w:t>4</w:t>
      </w:r>
      <w:r w:rsidRPr="00C33868">
        <w:rPr>
          <w:sz w:val="16"/>
          <w:szCs w:val="16"/>
          <w:lang w:val="es-ES"/>
        </w:rPr>
        <w:t xml:space="preserve"> disponible a partir de marzo 202</w:t>
      </w:r>
      <w:r>
        <w:rPr>
          <w:sz w:val="16"/>
          <w:szCs w:val="16"/>
          <w:lang w:val="es-ES"/>
        </w:rPr>
        <w: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ADAA7" w14:textId="0E931C2A" w:rsidR="00941411" w:rsidRDefault="00941411" w:rsidP="00A80F55">
    <w:pPr>
      <w:pStyle w:val="Encabezado"/>
    </w:pPr>
    <w:r>
      <w:rPr>
        <w:noProof/>
      </w:rPr>
      <w:drawing>
        <wp:anchor distT="0" distB="0" distL="114300" distR="114300" simplePos="0" relativeHeight="251658240" behindDoc="0" locked="0" layoutInCell="1" allowOverlap="1" wp14:anchorId="374AB807" wp14:editId="18151206">
          <wp:simplePos x="0" y="0"/>
          <wp:positionH relativeFrom="column">
            <wp:posOffset>-749935</wp:posOffset>
          </wp:positionH>
          <wp:positionV relativeFrom="paragraph">
            <wp:posOffset>-392430</wp:posOffset>
          </wp:positionV>
          <wp:extent cx="6845300" cy="7302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6845300" cy="7302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2FF4"/>
    <w:multiLevelType w:val="hybridMultilevel"/>
    <w:tmpl w:val="DCB8300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12D5791"/>
    <w:multiLevelType w:val="multilevel"/>
    <w:tmpl w:val="1ED4F894"/>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180B08"/>
    <w:multiLevelType w:val="hybridMultilevel"/>
    <w:tmpl w:val="DB66747A"/>
    <w:lvl w:ilvl="0" w:tplc="4198D992">
      <w:numFmt w:val="bullet"/>
      <w:lvlText w:val="•"/>
      <w:lvlJc w:val="left"/>
      <w:pPr>
        <w:ind w:left="705" w:hanging="6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21504D"/>
    <w:multiLevelType w:val="multilevel"/>
    <w:tmpl w:val="683430C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1.%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28F5048"/>
    <w:multiLevelType w:val="hybridMultilevel"/>
    <w:tmpl w:val="4B86BD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2E83DAC"/>
    <w:multiLevelType w:val="hybridMultilevel"/>
    <w:tmpl w:val="63E606DC"/>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6" w15:restartNumberingAfterBreak="0">
    <w:nsid w:val="03A74DDC"/>
    <w:multiLevelType w:val="hybridMultilevel"/>
    <w:tmpl w:val="66F42A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3FF04E1"/>
    <w:multiLevelType w:val="hybridMultilevel"/>
    <w:tmpl w:val="6A2C8ECA"/>
    <w:lvl w:ilvl="0" w:tplc="6A1C31DE">
      <w:numFmt w:val="bullet"/>
      <w:lvlText w:val="•"/>
      <w:lvlJc w:val="left"/>
      <w:pPr>
        <w:ind w:left="720" w:hanging="360"/>
      </w:pPr>
      <w:rPr>
        <w:rFonts w:ascii="Calibri Light" w:eastAsia="Calibri" w:hAnsi="Calibri Light" w:cs="Calibri Light"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046837D5"/>
    <w:multiLevelType w:val="hybridMultilevel"/>
    <w:tmpl w:val="027209AC"/>
    <w:lvl w:ilvl="0" w:tplc="905EEA16">
      <w:start w:val="1"/>
      <w:numFmt w:val="decimal"/>
      <w:lvlText w:val="%1."/>
      <w:lvlJc w:val="left"/>
      <w:pPr>
        <w:ind w:left="720" w:hanging="360"/>
      </w:pPr>
      <w:rPr>
        <w:rFonts w:hint="default"/>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04710233"/>
    <w:multiLevelType w:val="hybridMultilevel"/>
    <w:tmpl w:val="868C52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048754AE"/>
    <w:multiLevelType w:val="hybridMultilevel"/>
    <w:tmpl w:val="A15260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04B955BC"/>
    <w:multiLevelType w:val="multilevel"/>
    <w:tmpl w:val="CB5AF3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05874180"/>
    <w:multiLevelType w:val="hybridMultilevel"/>
    <w:tmpl w:val="C438188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05F81F14"/>
    <w:multiLevelType w:val="multilevel"/>
    <w:tmpl w:val="15585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B20B1C"/>
    <w:multiLevelType w:val="multilevel"/>
    <w:tmpl w:val="03E609BC"/>
    <w:lvl w:ilvl="0">
      <w:start w:val="1"/>
      <w:numFmt w:val="decimal"/>
      <w:lvlText w:val="%1."/>
      <w:lvlJc w:val="left"/>
      <w:pPr>
        <w:ind w:left="644" w:hanging="360"/>
      </w:pPr>
    </w:lvl>
    <w:lvl w:ilvl="1">
      <w:start w:val="1"/>
      <w:numFmt w:val="decimal"/>
      <w:isLgl/>
      <w:lvlText w:val="%1.%2."/>
      <w:lvlJc w:val="left"/>
      <w:pPr>
        <w:ind w:left="720" w:hanging="360"/>
      </w:pPr>
      <w:rPr>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2160" w:hanging="1800"/>
      </w:pPr>
      <w:rPr>
        <w:color w:val="auto"/>
      </w:rPr>
    </w:lvl>
  </w:abstractNum>
  <w:abstractNum w:abstractNumId="15" w15:restartNumberingAfterBreak="0">
    <w:nsid w:val="06B87BCD"/>
    <w:multiLevelType w:val="hybridMultilevel"/>
    <w:tmpl w:val="7D30FE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081B2E45"/>
    <w:multiLevelType w:val="hybridMultilevel"/>
    <w:tmpl w:val="3C666576"/>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7" w15:restartNumberingAfterBreak="0">
    <w:nsid w:val="082B1628"/>
    <w:multiLevelType w:val="hybridMultilevel"/>
    <w:tmpl w:val="851052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085554EE"/>
    <w:multiLevelType w:val="hybridMultilevel"/>
    <w:tmpl w:val="E5FE01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08FF6224"/>
    <w:multiLevelType w:val="hybridMultilevel"/>
    <w:tmpl w:val="8646AD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09FF391D"/>
    <w:multiLevelType w:val="hybridMultilevel"/>
    <w:tmpl w:val="594E745A"/>
    <w:lvl w:ilvl="0" w:tplc="3BE8B8B4">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0A981278"/>
    <w:multiLevelType w:val="hybridMultilevel"/>
    <w:tmpl w:val="8EF48F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0AB6143A"/>
    <w:multiLevelType w:val="multilevel"/>
    <w:tmpl w:val="C49C3B4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0AD709D9"/>
    <w:multiLevelType w:val="hybridMultilevel"/>
    <w:tmpl w:val="0992874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0B9B7183"/>
    <w:multiLevelType w:val="multilevel"/>
    <w:tmpl w:val="AE3CEA9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0BDC28AB"/>
    <w:multiLevelType w:val="hybridMultilevel"/>
    <w:tmpl w:val="AFF607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0BE21FD6"/>
    <w:multiLevelType w:val="hybridMultilevel"/>
    <w:tmpl w:val="23BC31D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0C0B3CFC"/>
    <w:multiLevelType w:val="hybridMultilevel"/>
    <w:tmpl w:val="B8A875A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8" w15:restartNumberingAfterBreak="0">
    <w:nsid w:val="0D88581A"/>
    <w:multiLevelType w:val="hybridMultilevel"/>
    <w:tmpl w:val="4C248A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0E8946C2"/>
    <w:multiLevelType w:val="multilevel"/>
    <w:tmpl w:val="98407E2E"/>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lowerLetter"/>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EFA4EED"/>
    <w:multiLevelType w:val="hybridMultilevel"/>
    <w:tmpl w:val="E31C45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0F2C4DE2"/>
    <w:multiLevelType w:val="multilevel"/>
    <w:tmpl w:val="5698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A153B2"/>
    <w:multiLevelType w:val="hybridMultilevel"/>
    <w:tmpl w:val="2E12D8A8"/>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33" w15:restartNumberingAfterBreak="0">
    <w:nsid w:val="110056E5"/>
    <w:multiLevelType w:val="hybridMultilevel"/>
    <w:tmpl w:val="A920AD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110C28AE"/>
    <w:multiLevelType w:val="multilevel"/>
    <w:tmpl w:val="9E7ECE5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13B298B"/>
    <w:multiLevelType w:val="multilevel"/>
    <w:tmpl w:val="4D44933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114B11FB"/>
    <w:multiLevelType w:val="multilevel"/>
    <w:tmpl w:val="E4820466"/>
    <w:lvl w:ilvl="0">
      <w:start w:val="5"/>
      <w:numFmt w:val="decimal"/>
      <w:lvlText w:val="%1"/>
      <w:lvlJc w:val="left"/>
      <w:pPr>
        <w:ind w:left="500" w:hanging="358"/>
      </w:pPr>
      <w:rPr>
        <w:rFonts w:hint="default"/>
        <w:lang w:val="es-ES" w:eastAsia="en-US" w:bidi="ar-SA"/>
      </w:rPr>
    </w:lvl>
    <w:lvl w:ilvl="1">
      <w:start w:val="1"/>
      <w:numFmt w:val="decimal"/>
      <w:lvlText w:val="%1.%2"/>
      <w:lvlJc w:val="left"/>
      <w:pPr>
        <w:ind w:left="926" w:hanging="358"/>
      </w:pPr>
      <w:rPr>
        <w:rFonts w:ascii="Cambria" w:eastAsia="Cambria" w:hAnsi="Cambria" w:cs="Cambria" w:hint="default"/>
        <w:b/>
        <w:bCs/>
        <w:i w:val="0"/>
        <w:iCs w:val="0"/>
        <w:spacing w:val="-2"/>
        <w:w w:val="100"/>
        <w:sz w:val="22"/>
        <w:szCs w:val="22"/>
        <w:lang w:val="es-ES" w:eastAsia="en-US" w:bidi="ar-SA"/>
      </w:rPr>
    </w:lvl>
    <w:lvl w:ilvl="2">
      <w:numFmt w:val="bullet"/>
      <w:lvlText w:val=""/>
      <w:lvlJc w:val="left"/>
      <w:pPr>
        <w:ind w:left="503" w:hanging="360"/>
      </w:pPr>
      <w:rPr>
        <w:rFonts w:ascii="Wingdings" w:eastAsia="Wingdings" w:hAnsi="Wingdings" w:cs="Wingdings" w:hint="default"/>
        <w:b w:val="0"/>
        <w:bCs w:val="0"/>
        <w:i w:val="0"/>
        <w:iCs w:val="0"/>
        <w:spacing w:val="0"/>
        <w:w w:val="100"/>
        <w:sz w:val="22"/>
        <w:szCs w:val="22"/>
        <w:lang w:val="es-ES" w:eastAsia="en-US" w:bidi="ar-SA"/>
      </w:rPr>
    </w:lvl>
    <w:lvl w:ilvl="3">
      <w:numFmt w:val="bullet"/>
      <w:lvlText w:val=""/>
      <w:lvlJc w:val="left"/>
      <w:pPr>
        <w:ind w:left="863" w:hanging="348"/>
      </w:pPr>
      <w:rPr>
        <w:rFonts w:ascii="Symbol" w:eastAsia="Symbol" w:hAnsi="Symbol" w:cs="Symbol" w:hint="default"/>
        <w:b w:val="0"/>
        <w:bCs w:val="0"/>
        <w:i w:val="0"/>
        <w:iCs w:val="0"/>
        <w:spacing w:val="0"/>
        <w:w w:val="100"/>
        <w:sz w:val="22"/>
        <w:szCs w:val="22"/>
        <w:lang w:val="es-ES" w:eastAsia="en-US" w:bidi="ar-SA"/>
      </w:rPr>
    </w:lvl>
    <w:lvl w:ilvl="4">
      <w:numFmt w:val="bullet"/>
      <w:lvlText w:val="•"/>
      <w:lvlJc w:val="left"/>
      <w:pPr>
        <w:ind w:left="3502" w:hanging="348"/>
      </w:pPr>
      <w:rPr>
        <w:rFonts w:hint="default"/>
        <w:lang w:val="es-ES" w:eastAsia="en-US" w:bidi="ar-SA"/>
      </w:rPr>
    </w:lvl>
    <w:lvl w:ilvl="5">
      <w:numFmt w:val="bullet"/>
      <w:lvlText w:val="•"/>
      <w:lvlJc w:val="left"/>
      <w:pPr>
        <w:ind w:left="4383" w:hanging="348"/>
      </w:pPr>
      <w:rPr>
        <w:rFonts w:hint="default"/>
        <w:lang w:val="es-ES" w:eastAsia="en-US" w:bidi="ar-SA"/>
      </w:rPr>
    </w:lvl>
    <w:lvl w:ilvl="6">
      <w:numFmt w:val="bullet"/>
      <w:lvlText w:val="•"/>
      <w:lvlJc w:val="left"/>
      <w:pPr>
        <w:ind w:left="5264" w:hanging="348"/>
      </w:pPr>
      <w:rPr>
        <w:rFonts w:hint="default"/>
        <w:lang w:val="es-ES" w:eastAsia="en-US" w:bidi="ar-SA"/>
      </w:rPr>
    </w:lvl>
    <w:lvl w:ilvl="7">
      <w:numFmt w:val="bullet"/>
      <w:lvlText w:val="•"/>
      <w:lvlJc w:val="left"/>
      <w:pPr>
        <w:ind w:left="6145" w:hanging="348"/>
      </w:pPr>
      <w:rPr>
        <w:rFonts w:hint="default"/>
        <w:lang w:val="es-ES" w:eastAsia="en-US" w:bidi="ar-SA"/>
      </w:rPr>
    </w:lvl>
    <w:lvl w:ilvl="8">
      <w:numFmt w:val="bullet"/>
      <w:lvlText w:val="•"/>
      <w:lvlJc w:val="left"/>
      <w:pPr>
        <w:ind w:left="7026" w:hanging="348"/>
      </w:pPr>
      <w:rPr>
        <w:rFonts w:hint="default"/>
        <w:lang w:val="es-ES" w:eastAsia="en-US" w:bidi="ar-SA"/>
      </w:rPr>
    </w:lvl>
  </w:abstractNum>
  <w:abstractNum w:abstractNumId="37" w15:restartNumberingAfterBreak="0">
    <w:nsid w:val="121137F6"/>
    <w:multiLevelType w:val="hybridMultilevel"/>
    <w:tmpl w:val="3BCC8A7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124D5ABD"/>
    <w:multiLevelType w:val="hybridMultilevel"/>
    <w:tmpl w:val="8C4494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126304E8"/>
    <w:multiLevelType w:val="hybridMultilevel"/>
    <w:tmpl w:val="C92AC8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12FE421B"/>
    <w:multiLevelType w:val="hybridMultilevel"/>
    <w:tmpl w:val="A56E179C"/>
    <w:lvl w:ilvl="0" w:tplc="300A0001">
      <w:start w:val="1"/>
      <w:numFmt w:val="bullet"/>
      <w:lvlText w:val=""/>
      <w:lvlJc w:val="left"/>
      <w:pPr>
        <w:ind w:left="1353" w:hanging="360"/>
      </w:pPr>
      <w:rPr>
        <w:rFonts w:ascii="Symbol" w:hAnsi="Symbol" w:hint="default"/>
      </w:rPr>
    </w:lvl>
    <w:lvl w:ilvl="1" w:tplc="300A0003">
      <w:start w:val="1"/>
      <w:numFmt w:val="bullet"/>
      <w:lvlText w:val="o"/>
      <w:lvlJc w:val="left"/>
      <w:pPr>
        <w:ind w:left="2073" w:hanging="360"/>
      </w:pPr>
      <w:rPr>
        <w:rFonts w:ascii="Courier New" w:hAnsi="Courier New" w:cs="Courier New" w:hint="default"/>
      </w:rPr>
    </w:lvl>
    <w:lvl w:ilvl="2" w:tplc="300A0005" w:tentative="1">
      <w:start w:val="1"/>
      <w:numFmt w:val="bullet"/>
      <w:lvlText w:val=""/>
      <w:lvlJc w:val="left"/>
      <w:pPr>
        <w:ind w:left="2793" w:hanging="360"/>
      </w:pPr>
      <w:rPr>
        <w:rFonts w:ascii="Wingdings" w:hAnsi="Wingdings" w:hint="default"/>
      </w:rPr>
    </w:lvl>
    <w:lvl w:ilvl="3" w:tplc="300A0001" w:tentative="1">
      <w:start w:val="1"/>
      <w:numFmt w:val="bullet"/>
      <w:lvlText w:val=""/>
      <w:lvlJc w:val="left"/>
      <w:pPr>
        <w:ind w:left="3513" w:hanging="360"/>
      </w:pPr>
      <w:rPr>
        <w:rFonts w:ascii="Symbol" w:hAnsi="Symbol" w:hint="default"/>
      </w:rPr>
    </w:lvl>
    <w:lvl w:ilvl="4" w:tplc="300A0003" w:tentative="1">
      <w:start w:val="1"/>
      <w:numFmt w:val="bullet"/>
      <w:lvlText w:val="o"/>
      <w:lvlJc w:val="left"/>
      <w:pPr>
        <w:ind w:left="4233" w:hanging="360"/>
      </w:pPr>
      <w:rPr>
        <w:rFonts w:ascii="Courier New" w:hAnsi="Courier New" w:cs="Courier New" w:hint="default"/>
      </w:rPr>
    </w:lvl>
    <w:lvl w:ilvl="5" w:tplc="300A0005" w:tentative="1">
      <w:start w:val="1"/>
      <w:numFmt w:val="bullet"/>
      <w:lvlText w:val=""/>
      <w:lvlJc w:val="left"/>
      <w:pPr>
        <w:ind w:left="4953" w:hanging="360"/>
      </w:pPr>
      <w:rPr>
        <w:rFonts w:ascii="Wingdings" w:hAnsi="Wingdings" w:hint="default"/>
      </w:rPr>
    </w:lvl>
    <w:lvl w:ilvl="6" w:tplc="300A0001" w:tentative="1">
      <w:start w:val="1"/>
      <w:numFmt w:val="bullet"/>
      <w:lvlText w:val=""/>
      <w:lvlJc w:val="left"/>
      <w:pPr>
        <w:ind w:left="5673" w:hanging="360"/>
      </w:pPr>
      <w:rPr>
        <w:rFonts w:ascii="Symbol" w:hAnsi="Symbol" w:hint="default"/>
      </w:rPr>
    </w:lvl>
    <w:lvl w:ilvl="7" w:tplc="300A0003" w:tentative="1">
      <w:start w:val="1"/>
      <w:numFmt w:val="bullet"/>
      <w:lvlText w:val="o"/>
      <w:lvlJc w:val="left"/>
      <w:pPr>
        <w:ind w:left="6393" w:hanging="360"/>
      </w:pPr>
      <w:rPr>
        <w:rFonts w:ascii="Courier New" w:hAnsi="Courier New" w:cs="Courier New" w:hint="default"/>
      </w:rPr>
    </w:lvl>
    <w:lvl w:ilvl="8" w:tplc="300A0005" w:tentative="1">
      <w:start w:val="1"/>
      <w:numFmt w:val="bullet"/>
      <w:lvlText w:val=""/>
      <w:lvlJc w:val="left"/>
      <w:pPr>
        <w:ind w:left="7113" w:hanging="360"/>
      </w:pPr>
      <w:rPr>
        <w:rFonts w:ascii="Wingdings" w:hAnsi="Wingdings" w:hint="default"/>
      </w:rPr>
    </w:lvl>
  </w:abstractNum>
  <w:abstractNum w:abstractNumId="41" w15:restartNumberingAfterBreak="0">
    <w:nsid w:val="13623B39"/>
    <w:multiLevelType w:val="hybridMultilevel"/>
    <w:tmpl w:val="8F1E1C20"/>
    <w:lvl w:ilvl="0" w:tplc="4198D992">
      <w:numFmt w:val="bullet"/>
      <w:lvlText w:val="•"/>
      <w:lvlJc w:val="left"/>
      <w:pPr>
        <w:ind w:left="705" w:hanging="6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14541A93"/>
    <w:multiLevelType w:val="hybridMultilevel"/>
    <w:tmpl w:val="4A7499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14F24094"/>
    <w:multiLevelType w:val="multilevel"/>
    <w:tmpl w:val="979EF0DA"/>
    <w:lvl w:ilvl="0">
      <w:start w:val="1"/>
      <w:numFmt w:val="decimal"/>
      <w:lvlText w:val="%1."/>
      <w:lvlJc w:val="left"/>
      <w:pPr>
        <w:ind w:left="946" w:hanging="358"/>
        <w:jc w:val="right"/>
      </w:pPr>
      <w:rPr>
        <w:rFonts w:ascii="Calibri Light" w:eastAsia="Calibri Light" w:hAnsi="Calibri Light" w:cs="Calibri Light" w:hint="default"/>
        <w:b w:val="0"/>
        <w:bCs w:val="0"/>
        <w:i w:val="0"/>
        <w:iCs w:val="0"/>
        <w:color w:val="2D5294"/>
        <w:spacing w:val="-2"/>
        <w:w w:val="88"/>
        <w:sz w:val="28"/>
        <w:szCs w:val="28"/>
        <w:lang w:val="es-ES" w:eastAsia="en-US" w:bidi="ar-SA"/>
      </w:rPr>
    </w:lvl>
    <w:lvl w:ilvl="1">
      <w:start w:val="1"/>
      <w:numFmt w:val="decimal"/>
      <w:lvlText w:val="%1.%2"/>
      <w:lvlJc w:val="left"/>
      <w:pPr>
        <w:ind w:left="610" w:hanging="382"/>
      </w:pPr>
      <w:rPr>
        <w:rFonts w:ascii="Calibri Light" w:eastAsia="Calibri Light" w:hAnsi="Calibri Light" w:cs="Calibri Light" w:hint="default"/>
        <w:b w:val="0"/>
        <w:bCs w:val="0"/>
        <w:i w:val="0"/>
        <w:iCs w:val="0"/>
        <w:color w:val="2D5294"/>
        <w:spacing w:val="0"/>
        <w:w w:val="97"/>
        <w:sz w:val="26"/>
        <w:szCs w:val="26"/>
        <w:lang w:val="es-ES" w:eastAsia="en-US" w:bidi="ar-SA"/>
      </w:rPr>
    </w:lvl>
    <w:lvl w:ilvl="2">
      <w:numFmt w:val="bullet"/>
      <w:lvlText w:val="•"/>
      <w:lvlJc w:val="left"/>
      <w:pPr>
        <w:ind w:left="1886" w:hanging="382"/>
      </w:pPr>
      <w:rPr>
        <w:rFonts w:hint="default"/>
        <w:lang w:val="es-ES" w:eastAsia="en-US" w:bidi="ar-SA"/>
      </w:rPr>
    </w:lvl>
    <w:lvl w:ilvl="3">
      <w:numFmt w:val="bullet"/>
      <w:lvlText w:val="•"/>
      <w:lvlJc w:val="left"/>
      <w:pPr>
        <w:ind w:left="2831" w:hanging="382"/>
      </w:pPr>
      <w:rPr>
        <w:rFonts w:hint="default"/>
        <w:lang w:val="es-ES" w:eastAsia="en-US" w:bidi="ar-SA"/>
      </w:rPr>
    </w:lvl>
    <w:lvl w:ilvl="4">
      <w:numFmt w:val="bullet"/>
      <w:lvlText w:val="•"/>
      <w:lvlJc w:val="left"/>
      <w:pPr>
        <w:ind w:left="3776" w:hanging="382"/>
      </w:pPr>
      <w:rPr>
        <w:rFonts w:hint="default"/>
        <w:lang w:val="es-ES" w:eastAsia="en-US" w:bidi="ar-SA"/>
      </w:rPr>
    </w:lvl>
    <w:lvl w:ilvl="5">
      <w:numFmt w:val="bullet"/>
      <w:lvlText w:val="•"/>
      <w:lvlJc w:val="left"/>
      <w:pPr>
        <w:ind w:left="4721" w:hanging="382"/>
      </w:pPr>
      <w:rPr>
        <w:rFonts w:hint="default"/>
        <w:lang w:val="es-ES" w:eastAsia="en-US" w:bidi="ar-SA"/>
      </w:rPr>
    </w:lvl>
    <w:lvl w:ilvl="6">
      <w:numFmt w:val="bullet"/>
      <w:lvlText w:val="•"/>
      <w:lvlJc w:val="left"/>
      <w:pPr>
        <w:ind w:left="5666" w:hanging="382"/>
      </w:pPr>
      <w:rPr>
        <w:rFonts w:hint="default"/>
        <w:lang w:val="es-ES" w:eastAsia="en-US" w:bidi="ar-SA"/>
      </w:rPr>
    </w:lvl>
    <w:lvl w:ilvl="7">
      <w:numFmt w:val="bullet"/>
      <w:lvlText w:val="•"/>
      <w:lvlJc w:val="left"/>
      <w:pPr>
        <w:ind w:left="6611" w:hanging="382"/>
      </w:pPr>
      <w:rPr>
        <w:rFonts w:hint="default"/>
        <w:lang w:val="es-ES" w:eastAsia="en-US" w:bidi="ar-SA"/>
      </w:rPr>
    </w:lvl>
    <w:lvl w:ilvl="8">
      <w:numFmt w:val="bullet"/>
      <w:lvlText w:val="•"/>
      <w:lvlJc w:val="left"/>
      <w:pPr>
        <w:ind w:left="7556" w:hanging="382"/>
      </w:pPr>
      <w:rPr>
        <w:rFonts w:hint="default"/>
        <w:lang w:val="es-ES" w:eastAsia="en-US" w:bidi="ar-SA"/>
      </w:rPr>
    </w:lvl>
  </w:abstractNum>
  <w:abstractNum w:abstractNumId="44" w15:restartNumberingAfterBreak="0">
    <w:nsid w:val="156623EF"/>
    <w:multiLevelType w:val="hybridMultilevel"/>
    <w:tmpl w:val="4B94E2C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5" w15:restartNumberingAfterBreak="0">
    <w:nsid w:val="157C6FBA"/>
    <w:multiLevelType w:val="hybridMultilevel"/>
    <w:tmpl w:val="FA645F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1752667F"/>
    <w:multiLevelType w:val="multilevel"/>
    <w:tmpl w:val="BE12563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7984933"/>
    <w:multiLevelType w:val="hybridMultilevel"/>
    <w:tmpl w:val="BF0012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1941170B"/>
    <w:multiLevelType w:val="multilevel"/>
    <w:tmpl w:val="73DA0E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19E52743"/>
    <w:multiLevelType w:val="hybridMultilevel"/>
    <w:tmpl w:val="D27A45A8"/>
    <w:lvl w:ilvl="0" w:tplc="4198D992">
      <w:numFmt w:val="bullet"/>
      <w:lvlText w:val="•"/>
      <w:lvlJc w:val="left"/>
      <w:pPr>
        <w:ind w:left="705" w:hanging="6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1B414F28"/>
    <w:multiLevelType w:val="multilevel"/>
    <w:tmpl w:val="F580CD0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1B695463"/>
    <w:multiLevelType w:val="hybridMultilevel"/>
    <w:tmpl w:val="62B8B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1CAF098D"/>
    <w:multiLevelType w:val="hybridMultilevel"/>
    <w:tmpl w:val="399463B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3" w15:restartNumberingAfterBreak="0">
    <w:nsid w:val="1DEF055C"/>
    <w:multiLevelType w:val="hybridMultilevel"/>
    <w:tmpl w:val="B066D6BA"/>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54" w15:restartNumberingAfterBreak="0">
    <w:nsid w:val="1E3220B6"/>
    <w:multiLevelType w:val="hybridMultilevel"/>
    <w:tmpl w:val="7D6AF3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1E4208E6"/>
    <w:multiLevelType w:val="hybridMultilevel"/>
    <w:tmpl w:val="FAC2AE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1EFB2F9D"/>
    <w:multiLevelType w:val="hybridMultilevel"/>
    <w:tmpl w:val="D0A60E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15:restartNumberingAfterBreak="0">
    <w:nsid w:val="202B39EA"/>
    <w:multiLevelType w:val="hybridMultilevel"/>
    <w:tmpl w:val="0C7A19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15:restartNumberingAfterBreak="0">
    <w:nsid w:val="21EE5974"/>
    <w:multiLevelType w:val="multilevel"/>
    <w:tmpl w:val="B3E28F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22C80A91"/>
    <w:multiLevelType w:val="hybridMultilevel"/>
    <w:tmpl w:val="063A411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15:restartNumberingAfterBreak="0">
    <w:nsid w:val="2398371F"/>
    <w:multiLevelType w:val="multilevel"/>
    <w:tmpl w:val="D67E3CF6"/>
    <w:lvl w:ilvl="0">
      <w:start w:val="4"/>
      <w:numFmt w:val="decimal"/>
      <w:lvlText w:val="%1."/>
      <w:lvlJc w:val="left"/>
      <w:pPr>
        <w:ind w:left="635" w:hanging="209"/>
      </w:pPr>
      <w:rPr>
        <w:rFonts w:ascii="Calibri Light" w:eastAsia="Calibri Light" w:hAnsi="Calibri Light" w:cs="Calibri Light" w:hint="default"/>
        <w:b w:val="0"/>
        <w:bCs w:val="0"/>
        <w:i w:val="0"/>
        <w:iCs w:val="0"/>
        <w:color w:val="2D5294"/>
        <w:spacing w:val="0"/>
        <w:w w:val="95"/>
        <w:sz w:val="26"/>
        <w:szCs w:val="26"/>
        <w:lang w:val="es-ES" w:eastAsia="en-US" w:bidi="ar-SA"/>
      </w:rPr>
    </w:lvl>
    <w:lvl w:ilvl="1">
      <w:start w:val="1"/>
      <w:numFmt w:val="decimal"/>
      <w:lvlText w:val="%1.%2"/>
      <w:lvlJc w:val="left"/>
      <w:pPr>
        <w:ind w:left="839" w:hanging="413"/>
      </w:pPr>
      <w:rPr>
        <w:rFonts w:ascii="Calibri Light" w:eastAsia="Calibri Light" w:hAnsi="Calibri Light" w:cs="Calibri Light" w:hint="default"/>
        <w:b w:val="0"/>
        <w:bCs w:val="0"/>
        <w:i w:val="0"/>
        <w:iCs w:val="0"/>
        <w:color w:val="2D5294"/>
        <w:spacing w:val="0"/>
        <w:w w:val="100"/>
        <w:sz w:val="28"/>
        <w:szCs w:val="28"/>
        <w:lang w:val="es-ES" w:eastAsia="en-US" w:bidi="ar-SA"/>
      </w:rPr>
    </w:lvl>
    <w:lvl w:ilvl="2">
      <w:numFmt w:val="bullet"/>
      <w:lvlText w:val="•"/>
      <w:lvlJc w:val="left"/>
      <w:pPr>
        <w:ind w:left="1818" w:hanging="413"/>
      </w:pPr>
      <w:rPr>
        <w:rFonts w:hint="default"/>
        <w:lang w:val="es-ES" w:eastAsia="en-US" w:bidi="ar-SA"/>
      </w:rPr>
    </w:lvl>
    <w:lvl w:ilvl="3">
      <w:numFmt w:val="bullet"/>
      <w:lvlText w:val="•"/>
      <w:lvlJc w:val="left"/>
      <w:pPr>
        <w:ind w:left="2796" w:hanging="413"/>
      </w:pPr>
      <w:rPr>
        <w:rFonts w:hint="default"/>
        <w:lang w:val="es-ES" w:eastAsia="en-US" w:bidi="ar-SA"/>
      </w:rPr>
    </w:lvl>
    <w:lvl w:ilvl="4">
      <w:numFmt w:val="bullet"/>
      <w:lvlText w:val="•"/>
      <w:lvlJc w:val="left"/>
      <w:pPr>
        <w:ind w:left="3774" w:hanging="413"/>
      </w:pPr>
      <w:rPr>
        <w:rFonts w:hint="default"/>
        <w:lang w:val="es-ES" w:eastAsia="en-US" w:bidi="ar-SA"/>
      </w:rPr>
    </w:lvl>
    <w:lvl w:ilvl="5">
      <w:numFmt w:val="bullet"/>
      <w:lvlText w:val="•"/>
      <w:lvlJc w:val="left"/>
      <w:pPr>
        <w:ind w:left="4752" w:hanging="413"/>
      </w:pPr>
      <w:rPr>
        <w:rFonts w:hint="default"/>
        <w:lang w:val="es-ES" w:eastAsia="en-US" w:bidi="ar-SA"/>
      </w:rPr>
    </w:lvl>
    <w:lvl w:ilvl="6">
      <w:numFmt w:val="bullet"/>
      <w:lvlText w:val="•"/>
      <w:lvlJc w:val="left"/>
      <w:pPr>
        <w:ind w:left="5731" w:hanging="413"/>
      </w:pPr>
      <w:rPr>
        <w:rFonts w:hint="default"/>
        <w:lang w:val="es-ES" w:eastAsia="en-US" w:bidi="ar-SA"/>
      </w:rPr>
    </w:lvl>
    <w:lvl w:ilvl="7">
      <w:numFmt w:val="bullet"/>
      <w:lvlText w:val="•"/>
      <w:lvlJc w:val="left"/>
      <w:pPr>
        <w:ind w:left="6709" w:hanging="413"/>
      </w:pPr>
      <w:rPr>
        <w:rFonts w:hint="default"/>
        <w:lang w:val="es-ES" w:eastAsia="en-US" w:bidi="ar-SA"/>
      </w:rPr>
    </w:lvl>
    <w:lvl w:ilvl="8">
      <w:numFmt w:val="bullet"/>
      <w:lvlText w:val="•"/>
      <w:lvlJc w:val="left"/>
      <w:pPr>
        <w:ind w:left="7687" w:hanging="413"/>
      </w:pPr>
      <w:rPr>
        <w:rFonts w:hint="default"/>
        <w:lang w:val="es-ES" w:eastAsia="en-US" w:bidi="ar-SA"/>
      </w:rPr>
    </w:lvl>
  </w:abstractNum>
  <w:abstractNum w:abstractNumId="61" w15:restartNumberingAfterBreak="0">
    <w:nsid w:val="23A814A2"/>
    <w:multiLevelType w:val="multilevel"/>
    <w:tmpl w:val="AE3CEA9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25462A3C"/>
    <w:multiLevelType w:val="hybridMultilevel"/>
    <w:tmpl w:val="99C25566"/>
    <w:lvl w:ilvl="0" w:tplc="300A0001">
      <w:start w:val="1"/>
      <w:numFmt w:val="bullet"/>
      <w:lvlText w:val=""/>
      <w:lvlJc w:val="left"/>
      <w:pPr>
        <w:ind w:left="879" w:hanging="360"/>
      </w:pPr>
      <w:rPr>
        <w:rFonts w:ascii="Symbol" w:hAnsi="Symbol" w:hint="default"/>
      </w:rPr>
    </w:lvl>
    <w:lvl w:ilvl="1" w:tplc="300A0003" w:tentative="1">
      <w:start w:val="1"/>
      <w:numFmt w:val="bullet"/>
      <w:lvlText w:val="o"/>
      <w:lvlJc w:val="left"/>
      <w:pPr>
        <w:ind w:left="1599" w:hanging="360"/>
      </w:pPr>
      <w:rPr>
        <w:rFonts w:ascii="Courier New" w:hAnsi="Courier New" w:cs="Courier New" w:hint="default"/>
      </w:rPr>
    </w:lvl>
    <w:lvl w:ilvl="2" w:tplc="300A0005" w:tentative="1">
      <w:start w:val="1"/>
      <w:numFmt w:val="bullet"/>
      <w:lvlText w:val=""/>
      <w:lvlJc w:val="left"/>
      <w:pPr>
        <w:ind w:left="2319" w:hanging="360"/>
      </w:pPr>
      <w:rPr>
        <w:rFonts w:ascii="Wingdings" w:hAnsi="Wingdings" w:hint="default"/>
      </w:rPr>
    </w:lvl>
    <w:lvl w:ilvl="3" w:tplc="300A0001" w:tentative="1">
      <w:start w:val="1"/>
      <w:numFmt w:val="bullet"/>
      <w:lvlText w:val=""/>
      <w:lvlJc w:val="left"/>
      <w:pPr>
        <w:ind w:left="3039" w:hanging="360"/>
      </w:pPr>
      <w:rPr>
        <w:rFonts w:ascii="Symbol" w:hAnsi="Symbol" w:hint="default"/>
      </w:rPr>
    </w:lvl>
    <w:lvl w:ilvl="4" w:tplc="300A0003" w:tentative="1">
      <w:start w:val="1"/>
      <w:numFmt w:val="bullet"/>
      <w:lvlText w:val="o"/>
      <w:lvlJc w:val="left"/>
      <w:pPr>
        <w:ind w:left="3759" w:hanging="360"/>
      </w:pPr>
      <w:rPr>
        <w:rFonts w:ascii="Courier New" w:hAnsi="Courier New" w:cs="Courier New" w:hint="default"/>
      </w:rPr>
    </w:lvl>
    <w:lvl w:ilvl="5" w:tplc="300A0005" w:tentative="1">
      <w:start w:val="1"/>
      <w:numFmt w:val="bullet"/>
      <w:lvlText w:val=""/>
      <w:lvlJc w:val="left"/>
      <w:pPr>
        <w:ind w:left="4479" w:hanging="360"/>
      </w:pPr>
      <w:rPr>
        <w:rFonts w:ascii="Wingdings" w:hAnsi="Wingdings" w:hint="default"/>
      </w:rPr>
    </w:lvl>
    <w:lvl w:ilvl="6" w:tplc="300A0001" w:tentative="1">
      <w:start w:val="1"/>
      <w:numFmt w:val="bullet"/>
      <w:lvlText w:val=""/>
      <w:lvlJc w:val="left"/>
      <w:pPr>
        <w:ind w:left="5199" w:hanging="360"/>
      </w:pPr>
      <w:rPr>
        <w:rFonts w:ascii="Symbol" w:hAnsi="Symbol" w:hint="default"/>
      </w:rPr>
    </w:lvl>
    <w:lvl w:ilvl="7" w:tplc="300A0003" w:tentative="1">
      <w:start w:val="1"/>
      <w:numFmt w:val="bullet"/>
      <w:lvlText w:val="o"/>
      <w:lvlJc w:val="left"/>
      <w:pPr>
        <w:ind w:left="5919" w:hanging="360"/>
      </w:pPr>
      <w:rPr>
        <w:rFonts w:ascii="Courier New" w:hAnsi="Courier New" w:cs="Courier New" w:hint="default"/>
      </w:rPr>
    </w:lvl>
    <w:lvl w:ilvl="8" w:tplc="300A0005" w:tentative="1">
      <w:start w:val="1"/>
      <w:numFmt w:val="bullet"/>
      <w:lvlText w:val=""/>
      <w:lvlJc w:val="left"/>
      <w:pPr>
        <w:ind w:left="6639" w:hanging="360"/>
      </w:pPr>
      <w:rPr>
        <w:rFonts w:ascii="Wingdings" w:hAnsi="Wingdings" w:hint="default"/>
      </w:rPr>
    </w:lvl>
  </w:abstractNum>
  <w:abstractNum w:abstractNumId="63" w15:restartNumberingAfterBreak="0">
    <w:nsid w:val="25C9595B"/>
    <w:multiLevelType w:val="multilevel"/>
    <w:tmpl w:val="D0DE9560"/>
    <w:lvl w:ilvl="0">
      <w:start w:val="1"/>
      <w:numFmt w:val="decimal"/>
      <w:lvlText w:val="%1."/>
      <w:lvlJc w:val="left"/>
      <w:pPr>
        <w:ind w:left="846" w:hanging="420"/>
      </w:pPr>
      <w:rPr>
        <w:rFonts w:ascii="Calibri" w:eastAsia="Calibri" w:hAnsi="Calibri" w:cs="Calibri" w:hint="default"/>
        <w:b/>
        <w:bCs w:val="0"/>
        <w:i w:val="0"/>
        <w:iCs w:val="0"/>
        <w:spacing w:val="0"/>
        <w:w w:val="100"/>
        <w:sz w:val="24"/>
        <w:szCs w:val="24"/>
        <w:lang w:val="es-ES" w:eastAsia="en-US" w:bidi="ar-SA"/>
      </w:rPr>
    </w:lvl>
    <w:lvl w:ilvl="1">
      <w:start w:val="1"/>
      <w:numFmt w:val="decimal"/>
      <w:lvlText w:val="%1.%2."/>
      <w:lvlJc w:val="left"/>
      <w:pPr>
        <w:ind w:left="1330" w:hanging="620"/>
      </w:pPr>
      <w:rPr>
        <w:rFonts w:ascii="Calibri" w:eastAsia="Calibri" w:hAnsi="Calibri" w:cs="Calibri" w:hint="default"/>
        <w:b/>
        <w:bCs w:val="0"/>
        <w:i w:val="0"/>
        <w:iCs w:val="0"/>
        <w:spacing w:val="0"/>
        <w:w w:val="100"/>
        <w:sz w:val="24"/>
        <w:szCs w:val="24"/>
        <w:lang w:val="es-ES" w:eastAsia="en-US" w:bidi="ar-SA"/>
      </w:rPr>
    </w:lvl>
    <w:lvl w:ilvl="2">
      <w:numFmt w:val="bullet"/>
      <w:lvlText w:val="•"/>
      <w:lvlJc w:val="left"/>
      <w:pPr>
        <w:ind w:left="2216" w:hanging="620"/>
      </w:pPr>
      <w:rPr>
        <w:rFonts w:hint="default"/>
        <w:lang w:val="es-ES" w:eastAsia="en-US" w:bidi="ar-SA"/>
      </w:rPr>
    </w:lvl>
    <w:lvl w:ilvl="3">
      <w:numFmt w:val="bullet"/>
      <w:lvlText w:val="•"/>
      <w:lvlJc w:val="left"/>
      <w:pPr>
        <w:ind w:left="3149" w:hanging="620"/>
      </w:pPr>
      <w:rPr>
        <w:rFonts w:hint="default"/>
        <w:lang w:val="es-ES" w:eastAsia="en-US" w:bidi="ar-SA"/>
      </w:rPr>
    </w:lvl>
    <w:lvl w:ilvl="4">
      <w:numFmt w:val="bullet"/>
      <w:lvlText w:val="•"/>
      <w:lvlJc w:val="left"/>
      <w:pPr>
        <w:ind w:left="4082" w:hanging="620"/>
      </w:pPr>
      <w:rPr>
        <w:rFonts w:hint="default"/>
        <w:lang w:val="es-ES" w:eastAsia="en-US" w:bidi="ar-SA"/>
      </w:rPr>
    </w:lvl>
    <w:lvl w:ilvl="5">
      <w:numFmt w:val="bullet"/>
      <w:lvlText w:val="•"/>
      <w:lvlJc w:val="left"/>
      <w:pPr>
        <w:ind w:left="5016" w:hanging="620"/>
      </w:pPr>
      <w:rPr>
        <w:rFonts w:hint="default"/>
        <w:lang w:val="es-ES" w:eastAsia="en-US" w:bidi="ar-SA"/>
      </w:rPr>
    </w:lvl>
    <w:lvl w:ilvl="6">
      <w:numFmt w:val="bullet"/>
      <w:lvlText w:val="•"/>
      <w:lvlJc w:val="left"/>
      <w:pPr>
        <w:ind w:left="5949" w:hanging="620"/>
      </w:pPr>
      <w:rPr>
        <w:rFonts w:hint="default"/>
        <w:lang w:val="es-ES" w:eastAsia="en-US" w:bidi="ar-SA"/>
      </w:rPr>
    </w:lvl>
    <w:lvl w:ilvl="7">
      <w:numFmt w:val="bullet"/>
      <w:lvlText w:val="•"/>
      <w:lvlJc w:val="left"/>
      <w:pPr>
        <w:ind w:left="6882" w:hanging="620"/>
      </w:pPr>
      <w:rPr>
        <w:rFonts w:hint="default"/>
        <w:lang w:val="es-ES" w:eastAsia="en-US" w:bidi="ar-SA"/>
      </w:rPr>
    </w:lvl>
    <w:lvl w:ilvl="8">
      <w:numFmt w:val="bullet"/>
      <w:lvlText w:val="•"/>
      <w:lvlJc w:val="left"/>
      <w:pPr>
        <w:ind w:left="7815" w:hanging="620"/>
      </w:pPr>
      <w:rPr>
        <w:rFonts w:hint="default"/>
        <w:lang w:val="es-ES" w:eastAsia="en-US" w:bidi="ar-SA"/>
      </w:rPr>
    </w:lvl>
  </w:abstractNum>
  <w:abstractNum w:abstractNumId="64" w15:restartNumberingAfterBreak="0">
    <w:nsid w:val="261A682A"/>
    <w:multiLevelType w:val="hybridMultilevel"/>
    <w:tmpl w:val="E3ACFFD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5" w15:restartNumberingAfterBreak="0">
    <w:nsid w:val="264C68C1"/>
    <w:multiLevelType w:val="hybridMultilevel"/>
    <w:tmpl w:val="13D2A78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15:restartNumberingAfterBreak="0">
    <w:nsid w:val="26763161"/>
    <w:multiLevelType w:val="hybridMultilevel"/>
    <w:tmpl w:val="4AB206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15:restartNumberingAfterBreak="0">
    <w:nsid w:val="26775F96"/>
    <w:multiLevelType w:val="multilevel"/>
    <w:tmpl w:val="5FA483F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7D663FF"/>
    <w:multiLevelType w:val="hybridMultilevel"/>
    <w:tmpl w:val="D04A6814"/>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69" w15:restartNumberingAfterBreak="0">
    <w:nsid w:val="28B15B73"/>
    <w:multiLevelType w:val="hybridMultilevel"/>
    <w:tmpl w:val="47AAA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28BD09AA"/>
    <w:multiLevelType w:val="multilevel"/>
    <w:tmpl w:val="37AE69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A140ABD"/>
    <w:multiLevelType w:val="hybridMultilevel"/>
    <w:tmpl w:val="A24267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2A50037A"/>
    <w:multiLevelType w:val="hybridMultilevel"/>
    <w:tmpl w:val="F7EA4D10"/>
    <w:lvl w:ilvl="0" w:tplc="4198D992">
      <w:numFmt w:val="bullet"/>
      <w:lvlText w:val="•"/>
      <w:lvlJc w:val="left"/>
      <w:pPr>
        <w:ind w:left="705" w:hanging="6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2A8D1D25"/>
    <w:multiLevelType w:val="hybridMultilevel"/>
    <w:tmpl w:val="DCB8300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4" w15:restartNumberingAfterBreak="0">
    <w:nsid w:val="2B0C23BE"/>
    <w:multiLevelType w:val="multilevel"/>
    <w:tmpl w:val="D6A0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B38482F"/>
    <w:multiLevelType w:val="hybridMultilevel"/>
    <w:tmpl w:val="01709FF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6" w15:restartNumberingAfterBreak="0">
    <w:nsid w:val="2CA26C68"/>
    <w:multiLevelType w:val="hybridMultilevel"/>
    <w:tmpl w:val="699641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7" w15:restartNumberingAfterBreak="0">
    <w:nsid w:val="2D6E194D"/>
    <w:multiLevelType w:val="hybridMultilevel"/>
    <w:tmpl w:val="99D039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8" w15:restartNumberingAfterBreak="0">
    <w:nsid w:val="2DE0152D"/>
    <w:multiLevelType w:val="multilevel"/>
    <w:tmpl w:val="5FA483F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E441DAD"/>
    <w:multiLevelType w:val="hybridMultilevel"/>
    <w:tmpl w:val="109CA91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47EA2AB0">
      <w:numFmt w:val="bullet"/>
      <w:lvlText w:val="•"/>
      <w:lvlJc w:val="left"/>
      <w:pPr>
        <w:ind w:left="2160" w:hanging="360"/>
      </w:pPr>
      <w:rPr>
        <w:rFonts w:ascii="Calibri" w:eastAsiaTheme="minorHAnsi" w:hAnsi="Calibri" w:cs="Calibri"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0" w15:restartNumberingAfterBreak="0">
    <w:nsid w:val="2EE24568"/>
    <w:multiLevelType w:val="multilevel"/>
    <w:tmpl w:val="F5F8D1A2"/>
    <w:lvl w:ilvl="0">
      <w:start w:val="1"/>
      <w:numFmt w:val="decimal"/>
      <w:lvlText w:val="%1."/>
      <w:lvlJc w:val="left"/>
      <w:pPr>
        <w:ind w:left="644" w:hanging="360"/>
        <w:jc w:val="right"/>
      </w:pPr>
      <w:rPr>
        <w:rFonts w:ascii="Calibri Light" w:eastAsia="Calibri Light" w:hAnsi="Calibri Light" w:cs="Calibri Light" w:hint="default"/>
        <w:b w:val="0"/>
        <w:bCs w:val="0"/>
        <w:i w:val="0"/>
        <w:iCs w:val="0"/>
        <w:color w:val="2E5395"/>
        <w:spacing w:val="0"/>
        <w:w w:val="99"/>
        <w:sz w:val="26"/>
        <w:szCs w:val="26"/>
        <w:lang w:val="es-ES" w:eastAsia="en-US" w:bidi="ar-SA"/>
      </w:rPr>
    </w:lvl>
    <w:lvl w:ilvl="1">
      <w:start w:val="1"/>
      <w:numFmt w:val="decimal"/>
      <w:lvlText w:val="%1.%2."/>
      <w:lvlJc w:val="left"/>
      <w:pPr>
        <w:ind w:left="851" w:hanging="708"/>
      </w:pPr>
      <w:rPr>
        <w:rFonts w:ascii="Calibri Light" w:eastAsia="Calibri Light" w:hAnsi="Calibri Light" w:cs="Calibri Light" w:hint="default"/>
        <w:b w:val="0"/>
        <w:bCs w:val="0"/>
        <w:i w:val="0"/>
        <w:iCs w:val="0"/>
        <w:color w:val="1F3762"/>
        <w:spacing w:val="0"/>
        <w:w w:val="100"/>
        <w:sz w:val="24"/>
        <w:szCs w:val="24"/>
        <w:lang w:val="es-ES" w:eastAsia="en-US" w:bidi="ar-SA"/>
      </w:rPr>
    </w:lvl>
    <w:lvl w:ilvl="2">
      <w:start w:val="1"/>
      <w:numFmt w:val="decimal"/>
      <w:lvlText w:val="%1.%2.%3"/>
      <w:lvlJc w:val="left"/>
      <w:pPr>
        <w:ind w:left="863" w:hanging="708"/>
      </w:pPr>
      <w:rPr>
        <w:rFonts w:hint="default"/>
        <w:spacing w:val="-2"/>
        <w:w w:val="100"/>
        <w:lang w:val="es-ES" w:eastAsia="en-US" w:bidi="ar-SA"/>
      </w:rPr>
    </w:lvl>
    <w:lvl w:ilvl="3">
      <w:numFmt w:val="bullet"/>
      <w:lvlText w:val="•"/>
      <w:lvlJc w:val="left"/>
      <w:pPr>
        <w:ind w:left="2621" w:hanging="708"/>
      </w:pPr>
      <w:rPr>
        <w:rFonts w:hint="default"/>
        <w:lang w:val="es-ES" w:eastAsia="en-US" w:bidi="ar-SA"/>
      </w:rPr>
    </w:lvl>
    <w:lvl w:ilvl="4">
      <w:numFmt w:val="bullet"/>
      <w:lvlText w:val="•"/>
      <w:lvlJc w:val="left"/>
      <w:pPr>
        <w:ind w:left="3502" w:hanging="708"/>
      </w:pPr>
      <w:rPr>
        <w:rFonts w:hint="default"/>
        <w:lang w:val="es-ES" w:eastAsia="en-US" w:bidi="ar-SA"/>
      </w:rPr>
    </w:lvl>
    <w:lvl w:ilvl="5">
      <w:numFmt w:val="bullet"/>
      <w:lvlText w:val="•"/>
      <w:lvlJc w:val="left"/>
      <w:pPr>
        <w:ind w:left="4383" w:hanging="708"/>
      </w:pPr>
      <w:rPr>
        <w:rFonts w:hint="default"/>
        <w:lang w:val="es-ES" w:eastAsia="en-US" w:bidi="ar-SA"/>
      </w:rPr>
    </w:lvl>
    <w:lvl w:ilvl="6">
      <w:numFmt w:val="bullet"/>
      <w:lvlText w:val="•"/>
      <w:lvlJc w:val="left"/>
      <w:pPr>
        <w:ind w:left="5264" w:hanging="708"/>
      </w:pPr>
      <w:rPr>
        <w:rFonts w:hint="default"/>
        <w:lang w:val="es-ES" w:eastAsia="en-US" w:bidi="ar-SA"/>
      </w:rPr>
    </w:lvl>
    <w:lvl w:ilvl="7">
      <w:numFmt w:val="bullet"/>
      <w:lvlText w:val="•"/>
      <w:lvlJc w:val="left"/>
      <w:pPr>
        <w:ind w:left="6145" w:hanging="708"/>
      </w:pPr>
      <w:rPr>
        <w:rFonts w:hint="default"/>
        <w:lang w:val="es-ES" w:eastAsia="en-US" w:bidi="ar-SA"/>
      </w:rPr>
    </w:lvl>
    <w:lvl w:ilvl="8">
      <w:numFmt w:val="bullet"/>
      <w:lvlText w:val="•"/>
      <w:lvlJc w:val="left"/>
      <w:pPr>
        <w:ind w:left="7026" w:hanging="708"/>
      </w:pPr>
      <w:rPr>
        <w:rFonts w:hint="default"/>
        <w:lang w:val="es-ES" w:eastAsia="en-US" w:bidi="ar-SA"/>
      </w:rPr>
    </w:lvl>
  </w:abstractNum>
  <w:abstractNum w:abstractNumId="81" w15:restartNumberingAfterBreak="0">
    <w:nsid w:val="2F370CED"/>
    <w:multiLevelType w:val="hybridMultilevel"/>
    <w:tmpl w:val="20DAAB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2" w15:restartNumberingAfterBreak="0">
    <w:nsid w:val="30347832"/>
    <w:multiLevelType w:val="hybridMultilevel"/>
    <w:tmpl w:val="D960F8C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3" w15:restartNumberingAfterBreak="0">
    <w:nsid w:val="31900C48"/>
    <w:multiLevelType w:val="hybridMultilevel"/>
    <w:tmpl w:val="1F2886BC"/>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84" w15:restartNumberingAfterBreak="0">
    <w:nsid w:val="31EA1CB2"/>
    <w:multiLevelType w:val="multilevel"/>
    <w:tmpl w:val="199CD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20C469D"/>
    <w:multiLevelType w:val="multilevel"/>
    <w:tmpl w:val="8A5C84B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6" w15:restartNumberingAfterBreak="0">
    <w:nsid w:val="33FC77E6"/>
    <w:multiLevelType w:val="hybridMultilevel"/>
    <w:tmpl w:val="14B81A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7" w15:restartNumberingAfterBreak="0">
    <w:nsid w:val="350F437A"/>
    <w:multiLevelType w:val="hybridMultilevel"/>
    <w:tmpl w:val="CB1EDA4E"/>
    <w:lvl w:ilvl="0" w:tplc="4198D992">
      <w:numFmt w:val="bullet"/>
      <w:lvlText w:val="•"/>
      <w:lvlJc w:val="left"/>
      <w:pPr>
        <w:ind w:left="705" w:hanging="6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357E695B"/>
    <w:multiLevelType w:val="hybridMultilevel"/>
    <w:tmpl w:val="30DA62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9" w15:restartNumberingAfterBreak="0">
    <w:nsid w:val="35B23AE7"/>
    <w:multiLevelType w:val="multilevel"/>
    <w:tmpl w:val="F580CD0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363A7B7F"/>
    <w:multiLevelType w:val="multilevel"/>
    <w:tmpl w:val="075250B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36907633"/>
    <w:multiLevelType w:val="hybridMultilevel"/>
    <w:tmpl w:val="C6EA71A0"/>
    <w:lvl w:ilvl="0" w:tplc="05B082E4">
      <w:numFmt w:val="bullet"/>
      <w:lvlText w:val="-"/>
      <w:lvlJc w:val="left"/>
      <w:pPr>
        <w:ind w:left="1068" w:hanging="360"/>
      </w:pPr>
      <w:rPr>
        <w:rFonts w:ascii="Calibri" w:eastAsia="Calibri" w:hAnsi="Calibri" w:cs="Calibri"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92" w15:restartNumberingAfterBreak="0">
    <w:nsid w:val="374F07E1"/>
    <w:multiLevelType w:val="hybridMultilevel"/>
    <w:tmpl w:val="D30AD37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3" w15:restartNumberingAfterBreak="0">
    <w:nsid w:val="37AE3B86"/>
    <w:multiLevelType w:val="multilevel"/>
    <w:tmpl w:val="6CBA9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93731D6"/>
    <w:multiLevelType w:val="hybridMultilevel"/>
    <w:tmpl w:val="4EBACF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5" w15:restartNumberingAfterBreak="0">
    <w:nsid w:val="3945420A"/>
    <w:multiLevelType w:val="multilevel"/>
    <w:tmpl w:val="AE3CEA9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396055D4"/>
    <w:multiLevelType w:val="hybridMultilevel"/>
    <w:tmpl w:val="D11820F6"/>
    <w:lvl w:ilvl="0" w:tplc="DFCE5B74">
      <w:numFmt w:val="bullet"/>
      <w:lvlText w:val="-"/>
      <w:lvlJc w:val="left"/>
      <w:pPr>
        <w:ind w:left="1496" w:hanging="360"/>
      </w:pPr>
      <w:rPr>
        <w:rFonts w:ascii="Calibri Light" w:eastAsia="Calibri Light" w:hAnsi="Calibri Light" w:cs="Calibri Light" w:hint="default"/>
        <w:b w:val="0"/>
        <w:bCs w:val="0"/>
        <w:i w:val="0"/>
        <w:iCs w:val="0"/>
        <w:spacing w:val="0"/>
        <w:w w:val="100"/>
        <w:sz w:val="22"/>
        <w:szCs w:val="22"/>
        <w:lang w:val="es-ES" w:eastAsia="en-US" w:bidi="ar-SA"/>
      </w:rPr>
    </w:lvl>
    <w:lvl w:ilvl="1" w:tplc="DC9A8B4A">
      <w:numFmt w:val="bullet"/>
      <w:lvlText w:val="•"/>
      <w:lvlJc w:val="left"/>
      <w:pPr>
        <w:ind w:left="2228" w:hanging="360"/>
      </w:pPr>
      <w:rPr>
        <w:rFonts w:hint="default"/>
        <w:lang w:val="es-ES" w:eastAsia="en-US" w:bidi="ar-SA"/>
      </w:rPr>
    </w:lvl>
    <w:lvl w:ilvl="2" w:tplc="372C01FC">
      <w:numFmt w:val="bullet"/>
      <w:lvlText w:val="•"/>
      <w:lvlJc w:val="left"/>
      <w:pPr>
        <w:ind w:left="2957" w:hanging="360"/>
      </w:pPr>
      <w:rPr>
        <w:rFonts w:hint="default"/>
        <w:lang w:val="es-ES" w:eastAsia="en-US" w:bidi="ar-SA"/>
      </w:rPr>
    </w:lvl>
    <w:lvl w:ilvl="3" w:tplc="8A9850D4">
      <w:numFmt w:val="bullet"/>
      <w:lvlText w:val="•"/>
      <w:lvlJc w:val="left"/>
      <w:pPr>
        <w:ind w:left="3686" w:hanging="360"/>
      </w:pPr>
      <w:rPr>
        <w:rFonts w:hint="default"/>
        <w:lang w:val="es-ES" w:eastAsia="en-US" w:bidi="ar-SA"/>
      </w:rPr>
    </w:lvl>
    <w:lvl w:ilvl="4" w:tplc="5FFCA254">
      <w:numFmt w:val="bullet"/>
      <w:lvlText w:val="•"/>
      <w:lvlJc w:val="left"/>
      <w:pPr>
        <w:ind w:left="4415" w:hanging="360"/>
      </w:pPr>
      <w:rPr>
        <w:rFonts w:hint="default"/>
        <w:lang w:val="es-ES" w:eastAsia="en-US" w:bidi="ar-SA"/>
      </w:rPr>
    </w:lvl>
    <w:lvl w:ilvl="5" w:tplc="D8B66818">
      <w:numFmt w:val="bullet"/>
      <w:lvlText w:val="•"/>
      <w:lvlJc w:val="left"/>
      <w:pPr>
        <w:ind w:left="5144" w:hanging="360"/>
      </w:pPr>
      <w:rPr>
        <w:rFonts w:hint="default"/>
        <w:lang w:val="es-ES" w:eastAsia="en-US" w:bidi="ar-SA"/>
      </w:rPr>
    </w:lvl>
    <w:lvl w:ilvl="6" w:tplc="E74E2510">
      <w:numFmt w:val="bullet"/>
      <w:lvlText w:val="•"/>
      <w:lvlJc w:val="left"/>
      <w:pPr>
        <w:ind w:left="5873" w:hanging="360"/>
      </w:pPr>
      <w:rPr>
        <w:rFonts w:hint="default"/>
        <w:lang w:val="es-ES" w:eastAsia="en-US" w:bidi="ar-SA"/>
      </w:rPr>
    </w:lvl>
    <w:lvl w:ilvl="7" w:tplc="223CB0C0">
      <w:numFmt w:val="bullet"/>
      <w:lvlText w:val="•"/>
      <w:lvlJc w:val="left"/>
      <w:pPr>
        <w:ind w:left="6601" w:hanging="360"/>
      </w:pPr>
      <w:rPr>
        <w:rFonts w:hint="default"/>
        <w:lang w:val="es-ES" w:eastAsia="en-US" w:bidi="ar-SA"/>
      </w:rPr>
    </w:lvl>
    <w:lvl w:ilvl="8" w:tplc="3F483F00">
      <w:numFmt w:val="bullet"/>
      <w:lvlText w:val="•"/>
      <w:lvlJc w:val="left"/>
      <w:pPr>
        <w:ind w:left="7330" w:hanging="360"/>
      </w:pPr>
      <w:rPr>
        <w:rFonts w:hint="default"/>
        <w:lang w:val="es-ES" w:eastAsia="en-US" w:bidi="ar-SA"/>
      </w:rPr>
    </w:lvl>
  </w:abstractNum>
  <w:abstractNum w:abstractNumId="97" w15:restartNumberingAfterBreak="0">
    <w:nsid w:val="3A03471E"/>
    <w:multiLevelType w:val="multilevel"/>
    <w:tmpl w:val="065EAE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8" w15:restartNumberingAfterBreak="0">
    <w:nsid w:val="3A24476E"/>
    <w:multiLevelType w:val="multilevel"/>
    <w:tmpl w:val="B3E28F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3AA633FC"/>
    <w:multiLevelType w:val="hybridMultilevel"/>
    <w:tmpl w:val="F920FA0C"/>
    <w:lvl w:ilvl="0" w:tplc="300A0001">
      <w:start w:val="1"/>
      <w:numFmt w:val="bullet"/>
      <w:lvlText w:val=""/>
      <w:lvlJc w:val="left"/>
      <w:pPr>
        <w:ind w:left="1751" w:hanging="360"/>
      </w:pPr>
      <w:rPr>
        <w:rFonts w:ascii="Symbol" w:hAnsi="Symbol" w:hint="default"/>
      </w:rPr>
    </w:lvl>
    <w:lvl w:ilvl="1" w:tplc="300A0003" w:tentative="1">
      <w:start w:val="1"/>
      <w:numFmt w:val="bullet"/>
      <w:lvlText w:val="o"/>
      <w:lvlJc w:val="left"/>
      <w:pPr>
        <w:ind w:left="2471" w:hanging="360"/>
      </w:pPr>
      <w:rPr>
        <w:rFonts w:ascii="Courier New" w:hAnsi="Courier New" w:cs="Courier New" w:hint="default"/>
      </w:rPr>
    </w:lvl>
    <w:lvl w:ilvl="2" w:tplc="300A0005" w:tentative="1">
      <w:start w:val="1"/>
      <w:numFmt w:val="bullet"/>
      <w:lvlText w:val=""/>
      <w:lvlJc w:val="left"/>
      <w:pPr>
        <w:ind w:left="3191" w:hanging="360"/>
      </w:pPr>
      <w:rPr>
        <w:rFonts w:ascii="Wingdings" w:hAnsi="Wingdings" w:hint="default"/>
      </w:rPr>
    </w:lvl>
    <w:lvl w:ilvl="3" w:tplc="300A0001" w:tentative="1">
      <w:start w:val="1"/>
      <w:numFmt w:val="bullet"/>
      <w:lvlText w:val=""/>
      <w:lvlJc w:val="left"/>
      <w:pPr>
        <w:ind w:left="3911" w:hanging="360"/>
      </w:pPr>
      <w:rPr>
        <w:rFonts w:ascii="Symbol" w:hAnsi="Symbol" w:hint="default"/>
      </w:rPr>
    </w:lvl>
    <w:lvl w:ilvl="4" w:tplc="300A0003" w:tentative="1">
      <w:start w:val="1"/>
      <w:numFmt w:val="bullet"/>
      <w:lvlText w:val="o"/>
      <w:lvlJc w:val="left"/>
      <w:pPr>
        <w:ind w:left="4631" w:hanging="360"/>
      </w:pPr>
      <w:rPr>
        <w:rFonts w:ascii="Courier New" w:hAnsi="Courier New" w:cs="Courier New" w:hint="default"/>
      </w:rPr>
    </w:lvl>
    <w:lvl w:ilvl="5" w:tplc="300A0005" w:tentative="1">
      <w:start w:val="1"/>
      <w:numFmt w:val="bullet"/>
      <w:lvlText w:val=""/>
      <w:lvlJc w:val="left"/>
      <w:pPr>
        <w:ind w:left="5351" w:hanging="360"/>
      </w:pPr>
      <w:rPr>
        <w:rFonts w:ascii="Wingdings" w:hAnsi="Wingdings" w:hint="default"/>
      </w:rPr>
    </w:lvl>
    <w:lvl w:ilvl="6" w:tplc="300A0001" w:tentative="1">
      <w:start w:val="1"/>
      <w:numFmt w:val="bullet"/>
      <w:lvlText w:val=""/>
      <w:lvlJc w:val="left"/>
      <w:pPr>
        <w:ind w:left="6071" w:hanging="360"/>
      </w:pPr>
      <w:rPr>
        <w:rFonts w:ascii="Symbol" w:hAnsi="Symbol" w:hint="default"/>
      </w:rPr>
    </w:lvl>
    <w:lvl w:ilvl="7" w:tplc="300A0003" w:tentative="1">
      <w:start w:val="1"/>
      <w:numFmt w:val="bullet"/>
      <w:lvlText w:val="o"/>
      <w:lvlJc w:val="left"/>
      <w:pPr>
        <w:ind w:left="6791" w:hanging="360"/>
      </w:pPr>
      <w:rPr>
        <w:rFonts w:ascii="Courier New" w:hAnsi="Courier New" w:cs="Courier New" w:hint="default"/>
      </w:rPr>
    </w:lvl>
    <w:lvl w:ilvl="8" w:tplc="300A0005" w:tentative="1">
      <w:start w:val="1"/>
      <w:numFmt w:val="bullet"/>
      <w:lvlText w:val=""/>
      <w:lvlJc w:val="left"/>
      <w:pPr>
        <w:ind w:left="7511" w:hanging="360"/>
      </w:pPr>
      <w:rPr>
        <w:rFonts w:ascii="Wingdings" w:hAnsi="Wingdings" w:hint="default"/>
      </w:rPr>
    </w:lvl>
  </w:abstractNum>
  <w:abstractNum w:abstractNumId="100" w15:restartNumberingAfterBreak="0">
    <w:nsid w:val="3AE401F9"/>
    <w:multiLevelType w:val="hybridMultilevel"/>
    <w:tmpl w:val="DCB8300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1" w15:restartNumberingAfterBreak="0">
    <w:nsid w:val="3B877B00"/>
    <w:multiLevelType w:val="multilevel"/>
    <w:tmpl w:val="E962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D103D4F"/>
    <w:multiLevelType w:val="multilevel"/>
    <w:tmpl w:val="963279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3" w15:restartNumberingAfterBreak="0">
    <w:nsid w:val="3E8F35C7"/>
    <w:multiLevelType w:val="hybridMultilevel"/>
    <w:tmpl w:val="9892B3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4" w15:restartNumberingAfterBreak="0">
    <w:nsid w:val="3F3D4878"/>
    <w:multiLevelType w:val="multilevel"/>
    <w:tmpl w:val="AE3CEA9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3F794979"/>
    <w:multiLevelType w:val="multilevel"/>
    <w:tmpl w:val="B3E28F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40360F3C"/>
    <w:multiLevelType w:val="hybridMultilevel"/>
    <w:tmpl w:val="6CC8D3D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7" w15:restartNumberingAfterBreak="0">
    <w:nsid w:val="41DF551D"/>
    <w:multiLevelType w:val="multilevel"/>
    <w:tmpl w:val="956023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42016562"/>
    <w:multiLevelType w:val="hybridMultilevel"/>
    <w:tmpl w:val="5FEA10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9" w15:restartNumberingAfterBreak="0">
    <w:nsid w:val="427A7C08"/>
    <w:multiLevelType w:val="hybridMultilevel"/>
    <w:tmpl w:val="35A2EC8E"/>
    <w:lvl w:ilvl="0" w:tplc="876A8782">
      <w:numFmt w:val="bullet"/>
      <w:lvlText w:val=""/>
      <w:lvlJc w:val="left"/>
      <w:pPr>
        <w:ind w:left="710" w:hanging="284"/>
      </w:pPr>
      <w:rPr>
        <w:rFonts w:ascii="Symbol" w:eastAsia="Symbol" w:hAnsi="Symbol" w:cs="Symbol" w:hint="default"/>
        <w:b w:val="0"/>
        <w:bCs w:val="0"/>
        <w:i w:val="0"/>
        <w:iCs w:val="0"/>
        <w:spacing w:val="0"/>
        <w:w w:val="100"/>
        <w:sz w:val="22"/>
        <w:szCs w:val="22"/>
        <w:lang w:val="es-ES" w:eastAsia="en-US" w:bidi="ar-SA"/>
      </w:rPr>
    </w:lvl>
    <w:lvl w:ilvl="1" w:tplc="0DEEE45C">
      <w:numFmt w:val="bullet"/>
      <w:lvlText w:val=""/>
      <w:lvlJc w:val="left"/>
      <w:pPr>
        <w:ind w:left="1135" w:hanging="348"/>
      </w:pPr>
      <w:rPr>
        <w:rFonts w:ascii="Symbol" w:eastAsia="Symbol" w:hAnsi="Symbol" w:cs="Symbol" w:hint="default"/>
        <w:b w:val="0"/>
        <w:bCs w:val="0"/>
        <w:i w:val="0"/>
        <w:iCs w:val="0"/>
        <w:spacing w:val="0"/>
        <w:w w:val="100"/>
        <w:sz w:val="22"/>
        <w:szCs w:val="22"/>
        <w:lang w:val="es-ES" w:eastAsia="en-US" w:bidi="ar-SA"/>
      </w:rPr>
    </w:lvl>
    <w:lvl w:ilvl="2" w:tplc="22DCA6A0">
      <w:numFmt w:val="bullet"/>
      <w:lvlText w:val="•"/>
      <w:lvlJc w:val="left"/>
      <w:pPr>
        <w:ind w:left="2068" w:hanging="348"/>
      </w:pPr>
      <w:rPr>
        <w:rFonts w:hint="default"/>
        <w:lang w:val="es-ES" w:eastAsia="en-US" w:bidi="ar-SA"/>
      </w:rPr>
    </w:lvl>
    <w:lvl w:ilvl="3" w:tplc="E340C05C">
      <w:numFmt w:val="bullet"/>
      <w:lvlText w:val="•"/>
      <w:lvlJc w:val="left"/>
      <w:pPr>
        <w:ind w:left="2997" w:hanging="348"/>
      </w:pPr>
      <w:rPr>
        <w:rFonts w:hint="default"/>
        <w:lang w:val="es-ES" w:eastAsia="en-US" w:bidi="ar-SA"/>
      </w:rPr>
    </w:lvl>
    <w:lvl w:ilvl="4" w:tplc="3A7AD36E">
      <w:numFmt w:val="bullet"/>
      <w:lvlText w:val="•"/>
      <w:lvlJc w:val="left"/>
      <w:pPr>
        <w:ind w:left="3926" w:hanging="348"/>
      </w:pPr>
      <w:rPr>
        <w:rFonts w:hint="default"/>
        <w:lang w:val="es-ES" w:eastAsia="en-US" w:bidi="ar-SA"/>
      </w:rPr>
    </w:lvl>
    <w:lvl w:ilvl="5" w:tplc="D6F40E5E">
      <w:numFmt w:val="bullet"/>
      <w:lvlText w:val="•"/>
      <w:lvlJc w:val="left"/>
      <w:pPr>
        <w:ind w:left="4854" w:hanging="348"/>
      </w:pPr>
      <w:rPr>
        <w:rFonts w:hint="default"/>
        <w:lang w:val="es-ES" w:eastAsia="en-US" w:bidi="ar-SA"/>
      </w:rPr>
    </w:lvl>
    <w:lvl w:ilvl="6" w:tplc="A1CC7906">
      <w:numFmt w:val="bullet"/>
      <w:lvlText w:val="•"/>
      <w:lvlJc w:val="left"/>
      <w:pPr>
        <w:ind w:left="5783" w:hanging="348"/>
      </w:pPr>
      <w:rPr>
        <w:rFonts w:hint="default"/>
        <w:lang w:val="es-ES" w:eastAsia="en-US" w:bidi="ar-SA"/>
      </w:rPr>
    </w:lvl>
    <w:lvl w:ilvl="7" w:tplc="471684D4">
      <w:numFmt w:val="bullet"/>
      <w:lvlText w:val="•"/>
      <w:lvlJc w:val="left"/>
      <w:pPr>
        <w:ind w:left="6712" w:hanging="348"/>
      </w:pPr>
      <w:rPr>
        <w:rFonts w:hint="default"/>
        <w:lang w:val="es-ES" w:eastAsia="en-US" w:bidi="ar-SA"/>
      </w:rPr>
    </w:lvl>
    <w:lvl w:ilvl="8" w:tplc="233AEFDE">
      <w:numFmt w:val="bullet"/>
      <w:lvlText w:val="•"/>
      <w:lvlJc w:val="left"/>
      <w:pPr>
        <w:ind w:left="7640" w:hanging="348"/>
      </w:pPr>
      <w:rPr>
        <w:rFonts w:hint="default"/>
        <w:lang w:val="es-ES" w:eastAsia="en-US" w:bidi="ar-SA"/>
      </w:rPr>
    </w:lvl>
  </w:abstractNum>
  <w:abstractNum w:abstractNumId="110" w15:restartNumberingAfterBreak="0">
    <w:nsid w:val="4301302E"/>
    <w:multiLevelType w:val="hybridMultilevel"/>
    <w:tmpl w:val="439C3CD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1" w15:restartNumberingAfterBreak="0">
    <w:nsid w:val="43251A5D"/>
    <w:multiLevelType w:val="hybridMultilevel"/>
    <w:tmpl w:val="487417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2" w15:restartNumberingAfterBreak="0">
    <w:nsid w:val="43960432"/>
    <w:multiLevelType w:val="multilevel"/>
    <w:tmpl w:val="64F2270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3" w15:restartNumberingAfterBreak="0">
    <w:nsid w:val="452153B7"/>
    <w:multiLevelType w:val="hybridMultilevel"/>
    <w:tmpl w:val="F85A23C0"/>
    <w:lvl w:ilvl="0" w:tplc="E5322C18">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4" w15:restartNumberingAfterBreak="0">
    <w:nsid w:val="45FB61E9"/>
    <w:multiLevelType w:val="multilevel"/>
    <w:tmpl w:val="01C2DB7C"/>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364"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115" w15:restartNumberingAfterBreak="0">
    <w:nsid w:val="46166AA8"/>
    <w:multiLevelType w:val="multilevel"/>
    <w:tmpl w:val="D222EE58"/>
    <w:lvl w:ilvl="0">
      <w:start w:val="2"/>
      <w:numFmt w:val="decimal"/>
      <w:lvlText w:val="%1"/>
      <w:lvlJc w:val="left"/>
      <w:pPr>
        <w:ind w:left="863" w:hanging="708"/>
      </w:pPr>
      <w:rPr>
        <w:rFonts w:hint="default"/>
        <w:lang w:val="es-ES" w:eastAsia="en-US" w:bidi="ar-SA"/>
      </w:rPr>
    </w:lvl>
    <w:lvl w:ilvl="1">
      <w:start w:val="2"/>
      <w:numFmt w:val="decimal"/>
      <w:lvlText w:val="%1.%2"/>
      <w:lvlJc w:val="left"/>
      <w:pPr>
        <w:ind w:left="863" w:hanging="708"/>
      </w:pPr>
      <w:rPr>
        <w:rFonts w:hint="default"/>
        <w:lang w:val="es-ES" w:eastAsia="en-US" w:bidi="ar-SA"/>
      </w:rPr>
    </w:lvl>
    <w:lvl w:ilvl="2">
      <w:start w:val="3"/>
      <w:numFmt w:val="decimal"/>
      <w:lvlText w:val="%1.%2.%3"/>
      <w:lvlJc w:val="left"/>
      <w:pPr>
        <w:ind w:left="863" w:hanging="708"/>
      </w:pPr>
      <w:rPr>
        <w:rFonts w:ascii="Calibri Light" w:eastAsia="Calibri Light" w:hAnsi="Calibri Light" w:cs="Calibri Light" w:hint="default"/>
        <w:b w:val="0"/>
        <w:bCs w:val="0"/>
        <w:i w:val="0"/>
        <w:iCs w:val="0"/>
        <w:spacing w:val="-2"/>
        <w:w w:val="100"/>
        <w:sz w:val="22"/>
        <w:szCs w:val="22"/>
        <w:lang w:val="es-ES" w:eastAsia="en-US" w:bidi="ar-SA"/>
      </w:rPr>
    </w:lvl>
    <w:lvl w:ilvl="3">
      <w:numFmt w:val="bullet"/>
      <w:lvlText w:val=""/>
      <w:lvlJc w:val="left"/>
      <w:pPr>
        <w:ind w:left="863" w:hanging="348"/>
      </w:pPr>
      <w:rPr>
        <w:rFonts w:ascii="Wingdings" w:eastAsia="Wingdings" w:hAnsi="Wingdings" w:cs="Wingdings" w:hint="default"/>
        <w:b w:val="0"/>
        <w:bCs w:val="0"/>
        <w:i w:val="0"/>
        <w:iCs w:val="0"/>
        <w:spacing w:val="0"/>
        <w:w w:val="100"/>
        <w:sz w:val="22"/>
        <w:szCs w:val="22"/>
        <w:lang w:val="es-ES" w:eastAsia="en-US" w:bidi="ar-SA"/>
      </w:rPr>
    </w:lvl>
    <w:lvl w:ilvl="4">
      <w:numFmt w:val="bullet"/>
      <w:lvlText w:val="•"/>
      <w:lvlJc w:val="left"/>
      <w:pPr>
        <w:ind w:left="4031" w:hanging="348"/>
      </w:pPr>
      <w:rPr>
        <w:rFonts w:hint="default"/>
        <w:lang w:val="es-ES" w:eastAsia="en-US" w:bidi="ar-SA"/>
      </w:rPr>
    </w:lvl>
    <w:lvl w:ilvl="5">
      <w:numFmt w:val="bullet"/>
      <w:lvlText w:val="•"/>
      <w:lvlJc w:val="left"/>
      <w:pPr>
        <w:ind w:left="4824" w:hanging="348"/>
      </w:pPr>
      <w:rPr>
        <w:rFonts w:hint="default"/>
        <w:lang w:val="es-ES" w:eastAsia="en-US" w:bidi="ar-SA"/>
      </w:rPr>
    </w:lvl>
    <w:lvl w:ilvl="6">
      <w:numFmt w:val="bullet"/>
      <w:lvlText w:val="•"/>
      <w:lvlJc w:val="left"/>
      <w:pPr>
        <w:ind w:left="5617" w:hanging="348"/>
      </w:pPr>
      <w:rPr>
        <w:rFonts w:hint="default"/>
        <w:lang w:val="es-ES" w:eastAsia="en-US" w:bidi="ar-SA"/>
      </w:rPr>
    </w:lvl>
    <w:lvl w:ilvl="7">
      <w:numFmt w:val="bullet"/>
      <w:lvlText w:val="•"/>
      <w:lvlJc w:val="left"/>
      <w:pPr>
        <w:ind w:left="6409" w:hanging="348"/>
      </w:pPr>
      <w:rPr>
        <w:rFonts w:hint="default"/>
        <w:lang w:val="es-ES" w:eastAsia="en-US" w:bidi="ar-SA"/>
      </w:rPr>
    </w:lvl>
    <w:lvl w:ilvl="8">
      <w:numFmt w:val="bullet"/>
      <w:lvlText w:val="•"/>
      <w:lvlJc w:val="left"/>
      <w:pPr>
        <w:ind w:left="7202" w:hanging="348"/>
      </w:pPr>
      <w:rPr>
        <w:rFonts w:hint="default"/>
        <w:lang w:val="es-ES" w:eastAsia="en-US" w:bidi="ar-SA"/>
      </w:rPr>
    </w:lvl>
  </w:abstractNum>
  <w:abstractNum w:abstractNumId="116" w15:restartNumberingAfterBreak="0">
    <w:nsid w:val="4630663D"/>
    <w:multiLevelType w:val="hybridMultilevel"/>
    <w:tmpl w:val="1A601B3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7" w15:restartNumberingAfterBreak="0">
    <w:nsid w:val="46F145ED"/>
    <w:multiLevelType w:val="hybridMultilevel"/>
    <w:tmpl w:val="9CCCD3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8" w15:restartNumberingAfterBreak="0">
    <w:nsid w:val="47C3380C"/>
    <w:multiLevelType w:val="hybridMultilevel"/>
    <w:tmpl w:val="B0ECDF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9" w15:restartNumberingAfterBreak="0">
    <w:nsid w:val="48757778"/>
    <w:multiLevelType w:val="hybridMultilevel"/>
    <w:tmpl w:val="1270AD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0" w15:restartNumberingAfterBreak="0">
    <w:nsid w:val="4881394B"/>
    <w:multiLevelType w:val="multilevel"/>
    <w:tmpl w:val="8CC4A600"/>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1" w15:restartNumberingAfterBreak="0">
    <w:nsid w:val="48BE5601"/>
    <w:multiLevelType w:val="hybridMultilevel"/>
    <w:tmpl w:val="74DEE5C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2" w15:restartNumberingAfterBreak="0">
    <w:nsid w:val="48C91446"/>
    <w:multiLevelType w:val="multilevel"/>
    <w:tmpl w:val="30C0A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94D4249"/>
    <w:multiLevelType w:val="multilevel"/>
    <w:tmpl w:val="753E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9B43DBB"/>
    <w:multiLevelType w:val="hybridMultilevel"/>
    <w:tmpl w:val="97481CF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25" w15:restartNumberingAfterBreak="0">
    <w:nsid w:val="4A975167"/>
    <w:multiLevelType w:val="multilevel"/>
    <w:tmpl w:val="5BAC618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4CA05FC7"/>
    <w:multiLevelType w:val="hybridMultilevel"/>
    <w:tmpl w:val="31EC89F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7" w15:restartNumberingAfterBreak="0">
    <w:nsid w:val="4D1309C4"/>
    <w:multiLevelType w:val="multilevel"/>
    <w:tmpl w:val="B63A552E"/>
    <w:lvl w:ilvl="0">
      <w:start w:val="4"/>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8" w15:restartNumberingAfterBreak="0">
    <w:nsid w:val="4D933738"/>
    <w:multiLevelType w:val="hybridMultilevel"/>
    <w:tmpl w:val="49C476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9" w15:restartNumberingAfterBreak="0">
    <w:nsid w:val="4DCA12A5"/>
    <w:multiLevelType w:val="hybridMultilevel"/>
    <w:tmpl w:val="CEF4ED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0" w15:restartNumberingAfterBreak="0">
    <w:nsid w:val="4F291FF0"/>
    <w:multiLevelType w:val="hybridMultilevel"/>
    <w:tmpl w:val="CE32D0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1" w15:restartNumberingAfterBreak="0">
    <w:nsid w:val="4F9E2A8D"/>
    <w:multiLevelType w:val="hybridMultilevel"/>
    <w:tmpl w:val="C652D7C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2" w15:restartNumberingAfterBreak="0">
    <w:nsid w:val="4FB63D49"/>
    <w:multiLevelType w:val="hybridMultilevel"/>
    <w:tmpl w:val="B8924E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3" w15:restartNumberingAfterBreak="0">
    <w:nsid w:val="4FCA37DB"/>
    <w:multiLevelType w:val="hybridMultilevel"/>
    <w:tmpl w:val="28489F94"/>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134" w15:restartNumberingAfterBreak="0">
    <w:nsid w:val="4FDD1B8C"/>
    <w:multiLevelType w:val="hybridMultilevel"/>
    <w:tmpl w:val="012C3D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5" w15:restartNumberingAfterBreak="0">
    <w:nsid w:val="50D24D22"/>
    <w:multiLevelType w:val="hybridMultilevel"/>
    <w:tmpl w:val="A814B9A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6" w15:restartNumberingAfterBreak="0">
    <w:nsid w:val="514A4239"/>
    <w:multiLevelType w:val="hybridMultilevel"/>
    <w:tmpl w:val="8668D3B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7" w15:restartNumberingAfterBreak="0">
    <w:nsid w:val="51CC51B3"/>
    <w:multiLevelType w:val="hybridMultilevel"/>
    <w:tmpl w:val="22E2C1DC"/>
    <w:lvl w:ilvl="0" w:tplc="885A46A4">
      <w:start w:val="1"/>
      <w:numFmt w:val="bullet"/>
      <w:lvlText w:val=""/>
      <w:lvlJc w:val="left"/>
      <w:pPr>
        <w:ind w:left="1080" w:hanging="360"/>
      </w:pPr>
      <w:rPr>
        <w:rFonts w:ascii="Symbol" w:hAnsi="Symbol" w:hint="default"/>
      </w:rPr>
    </w:lvl>
    <w:lvl w:ilvl="1" w:tplc="300A0003">
      <w:start w:val="1"/>
      <w:numFmt w:val="bullet"/>
      <w:lvlText w:val="o"/>
      <w:lvlJc w:val="left"/>
      <w:pPr>
        <w:ind w:left="1800" w:hanging="360"/>
      </w:pPr>
      <w:rPr>
        <w:rFonts w:ascii="Courier New" w:hAnsi="Courier New" w:cs="Courier New" w:hint="default"/>
      </w:rPr>
    </w:lvl>
    <w:lvl w:ilvl="2" w:tplc="300A0005">
      <w:start w:val="1"/>
      <w:numFmt w:val="bullet"/>
      <w:lvlText w:val=""/>
      <w:lvlJc w:val="left"/>
      <w:pPr>
        <w:ind w:left="2520" w:hanging="360"/>
      </w:pPr>
      <w:rPr>
        <w:rFonts w:ascii="Wingdings" w:hAnsi="Wingdings" w:hint="default"/>
      </w:rPr>
    </w:lvl>
    <w:lvl w:ilvl="3" w:tplc="300A0001">
      <w:start w:val="1"/>
      <w:numFmt w:val="bullet"/>
      <w:lvlText w:val=""/>
      <w:lvlJc w:val="left"/>
      <w:pPr>
        <w:ind w:left="3240" w:hanging="360"/>
      </w:pPr>
      <w:rPr>
        <w:rFonts w:ascii="Symbol" w:hAnsi="Symbol" w:hint="default"/>
      </w:rPr>
    </w:lvl>
    <w:lvl w:ilvl="4" w:tplc="300A0003">
      <w:start w:val="1"/>
      <w:numFmt w:val="bullet"/>
      <w:lvlText w:val="o"/>
      <w:lvlJc w:val="left"/>
      <w:pPr>
        <w:ind w:left="3960" w:hanging="360"/>
      </w:pPr>
      <w:rPr>
        <w:rFonts w:ascii="Courier New" w:hAnsi="Courier New" w:cs="Courier New" w:hint="default"/>
      </w:rPr>
    </w:lvl>
    <w:lvl w:ilvl="5" w:tplc="300A0005">
      <w:start w:val="1"/>
      <w:numFmt w:val="bullet"/>
      <w:lvlText w:val=""/>
      <w:lvlJc w:val="left"/>
      <w:pPr>
        <w:ind w:left="4680" w:hanging="360"/>
      </w:pPr>
      <w:rPr>
        <w:rFonts w:ascii="Wingdings" w:hAnsi="Wingdings" w:hint="default"/>
      </w:rPr>
    </w:lvl>
    <w:lvl w:ilvl="6" w:tplc="300A0001">
      <w:start w:val="1"/>
      <w:numFmt w:val="bullet"/>
      <w:lvlText w:val=""/>
      <w:lvlJc w:val="left"/>
      <w:pPr>
        <w:ind w:left="5400" w:hanging="360"/>
      </w:pPr>
      <w:rPr>
        <w:rFonts w:ascii="Symbol" w:hAnsi="Symbol" w:hint="default"/>
      </w:rPr>
    </w:lvl>
    <w:lvl w:ilvl="7" w:tplc="300A0003">
      <w:start w:val="1"/>
      <w:numFmt w:val="bullet"/>
      <w:lvlText w:val="o"/>
      <w:lvlJc w:val="left"/>
      <w:pPr>
        <w:ind w:left="6120" w:hanging="360"/>
      </w:pPr>
      <w:rPr>
        <w:rFonts w:ascii="Courier New" w:hAnsi="Courier New" w:cs="Courier New" w:hint="default"/>
      </w:rPr>
    </w:lvl>
    <w:lvl w:ilvl="8" w:tplc="300A0005">
      <w:start w:val="1"/>
      <w:numFmt w:val="bullet"/>
      <w:lvlText w:val=""/>
      <w:lvlJc w:val="left"/>
      <w:pPr>
        <w:ind w:left="6840" w:hanging="360"/>
      </w:pPr>
      <w:rPr>
        <w:rFonts w:ascii="Wingdings" w:hAnsi="Wingdings" w:hint="default"/>
      </w:rPr>
    </w:lvl>
  </w:abstractNum>
  <w:abstractNum w:abstractNumId="138" w15:restartNumberingAfterBreak="0">
    <w:nsid w:val="51DB7277"/>
    <w:multiLevelType w:val="hybridMultilevel"/>
    <w:tmpl w:val="19A0982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9" w15:restartNumberingAfterBreak="0">
    <w:nsid w:val="52D33B16"/>
    <w:multiLevelType w:val="hybridMultilevel"/>
    <w:tmpl w:val="DC2E531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0" w15:restartNumberingAfterBreak="0">
    <w:nsid w:val="537579D8"/>
    <w:multiLevelType w:val="multilevel"/>
    <w:tmpl w:val="AE3CEA9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1" w15:restartNumberingAfterBreak="0">
    <w:nsid w:val="54FB6306"/>
    <w:multiLevelType w:val="hybridMultilevel"/>
    <w:tmpl w:val="3F38A08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2" w15:restartNumberingAfterBreak="0">
    <w:nsid w:val="55C07E4D"/>
    <w:multiLevelType w:val="hybridMultilevel"/>
    <w:tmpl w:val="3AD2D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15:restartNumberingAfterBreak="0">
    <w:nsid w:val="55C776A7"/>
    <w:multiLevelType w:val="hybridMultilevel"/>
    <w:tmpl w:val="667AE2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4" w15:restartNumberingAfterBreak="0">
    <w:nsid w:val="55D932CB"/>
    <w:multiLevelType w:val="hybridMultilevel"/>
    <w:tmpl w:val="89DAF61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5" w15:restartNumberingAfterBreak="0">
    <w:nsid w:val="560F474C"/>
    <w:multiLevelType w:val="hybridMultilevel"/>
    <w:tmpl w:val="F83828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6" w15:restartNumberingAfterBreak="0">
    <w:nsid w:val="56566534"/>
    <w:multiLevelType w:val="hybridMultilevel"/>
    <w:tmpl w:val="89700D00"/>
    <w:lvl w:ilvl="0" w:tplc="0DEEA28E">
      <w:start w:val="1"/>
      <w:numFmt w:val="bullet"/>
      <w:lvlText w:val=""/>
      <w:lvlJc w:val="left"/>
      <w:pPr>
        <w:tabs>
          <w:tab w:val="num" w:pos="720"/>
        </w:tabs>
        <w:ind w:left="720" w:hanging="360"/>
      </w:pPr>
      <w:rPr>
        <w:rFonts w:ascii="Symbol" w:hAnsi="Symbol" w:hint="default"/>
        <w:sz w:val="20"/>
      </w:rPr>
    </w:lvl>
    <w:lvl w:ilvl="1" w:tplc="91D63C82">
      <w:start w:val="1"/>
      <w:numFmt w:val="decimal"/>
      <w:lvlText w:val="%2."/>
      <w:lvlJc w:val="left"/>
      <w:pPr>
        <w:ind w:left="1440" w:hanging="360"/>
      </w:pPr>
      <w:rPr>
        <w:rFonts w:hint="default"/>
      </w:rPr>
    </w:lvl>
    <w:lvl w:ilvl="2" w:tplc="93C47372">
      <w:start w:val="1"/>
      <w:numFmt w:val="bullet"/>
      <w:lvlText w:val=""/>
      <w:lvlJc w:val="left"/>
      <w:pPr>
        <w:tabs>
          <w:tab w:val="num" w:pos="2160"/>
        </w:tabs>
        <w:ind w:left="2160" w:hanging="360"/>
      </w:pPr>
      <w:rPr>
        <w:rFonts w:ascii="Wingdings" w:hAnsi="Wingdings" w:hint="default"/>
        <w:sz w:val="20"/>
      </w:rPr>
    </w:lvl>
    <w:lvl w:ilvl="3" w:tplc="38CEBF3E">
      <w:start w:val="1"/>
      <w:numFmt w:val="bullet"/>
      <w:lvlText w:val=""/>
      <w:lvlJc w:val="left"/>
      <w:pPr>
        <w:tabs>
          <w:tab w:val="num" w:pos="2880"/>
        </w:tabs>
        <w:ind w:left="2880" w:hanging="360"/>
      </w:pPr>
      <w:rPr>
        <w:rFonts w:ascii="Wingdings" w:hAnsi="Wingdings" w:hint="default"/>
        <w:sz w:val="20"/>
      </w:rPr>
    </w:lvl>
    <w:lvl w:ilvl="4" w:tplc="32E4D544">
      <w:start w:val="1"/>
      <w:numFmt w:val="bullet"/>
      <w:lvlText w:val=""/>
      <w:lvlJc w:val="left"/>
      <w:pPr>
        <w:tabs>
          <w:tab w:val="num" w:pos="3600"/>
        </w:tabs>
        <w:ind w:left="3600" w:hanging="360"/>
      </w:pPr>
      <w:rPr>
        <w:rFonts w:ascii="Wingdings" w:hAnsi="Wingdings" w:hint="default"/>
        <w:sz w:val="20"/>
      </w:rPr>
    </w:lvl>
    <w:lvl w:ilvl="5" w:tplc="1D804130">
      <w:start w:val="1"/>
      <w:numFmt w:val="bullet"/>
      <w:lvlText w:val=""/>
      <w:lvlJc w:val="left"/>
      <w:pPr>
        <w:tabs>
          <w:tab w:val="num" w:pos="4320"/>
        </w:tabs>
        <w:ind w:left="4320" w:hanging="360"/>
      </w:pPr>
      <w:rPr>
        <w:rFonts w:ascii="Wingdings" w:hAnsi="Wingdings" w:hint="default"/>
        <w:sz w:val="20"/>
      </w:rPr>
    </w:lvl>
    <w:lvl w:ilvl="6" w:tplc="5DE6D114">
      <w:start w:val="1"/>
      <w:numFmt w:val="bullet"/>
      <w:lvlText w:val=""/>
      <w:lvlJc w:val="left"/>
      <w:pPr>
        <w:tabs>
          <w:tab w:val="num" w:pos="5040"/>
        </w:tabs>
        <w:ind w:left="5040" w:hanging="360"/>
      </w:pPr>
      <w:rPr>
        <w:rFonts w:ascii="Wingdings" w:hAnsi="Wingdings" w:hint="default"/>
        <w:sz w:val="20"/>
      </w:rPr>
    </w:lvl>
    <w:lvl w:ilvl="7" w:tplc="83BC6CAC">
      <w:start w:val="1"/>
      <w:numFmt w:val="bullet"/>
      <w:lvlText w:val=""/>
      <w:lvlJc w:val="left"/>
      <w:pPr>
        <w:tabs>
          <w:tab w:val="num" w:pos="5760"/>
        </w:tabs>
        <w:ind w:left="5760" w:hanging="360"/>
      </w:pPr>
      <w:rPr>
        <w:rFonts w:ascii="Wingdings" w:hAnsi="Wingdings" w:hint="default"/>
        <w:sz w:val="20"/>
      </w:rPr>
    </w:lvl>
    <w:lvl w:ilvl="8" w:tplc="9D7876BA">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6774904"/>
    <w:multiLevelType w:val="hybridMultilevel"/>
    <w:tmpl w:val="EA4A9936"/>
    <w:lvl w:ilvl="0" w:tplc="885A46A4">
      <w:start w:val="1"/>
      <w:numFmt w:val="bullet"/>
      <w:lvlText w:val=""/>
      <w:lvlJc w:val="left"/>
      <w:pPr>
        <w:ind w:left="720" w:hanging="360"/>
      </w:pPr>
      <w:rPr>
        <w:rFonts w:ascii="Symbol" w:hAnsi="Symbol" w:hint="default"/>
      </w:rPr>
    </w:lvl>
    <w:lvl w:ilvl="1" w:tplc="885A46A4">
      <w:start w:val="1"/>
      <w:numFmt w:val="bullet"/>
      <w:lvlText w:val=""/>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8" w15:restartNumberingAfterBreak="0">
    <w:nsid w:val="576A5651"/>
    <w:multiLevelType w:val="hybridMultilevel"/>
    <w:tmpl w:val="51A80A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9" w15:restartNumberingAfterBreak="0">
    <w:nsid w:val="586A3007"/>
    <w:multiLevelType w:val="hybridMultilevel"/>
    <w:tmpl w:val="6060CA2C"/>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50" w15:restartNumberingAfterBreak="0">
    <w:nsid w:val="58766A66"/>
    <w:multiLevelType w:val="hybridMultilevel"/>
    <w:tmpl w:val="28AA87EA"/>
    <w:lvl w:ilvl="0" w:tplc="05B082E4">
      <w:numFmt w:val="bullet"/>
      <w:lvlText w:val="-"/>
      <w:lvlJc w:val="left"/>
      <w:pPr>
        <w:ind w:left="1440" w:hanging="360"/>
      </w:pPr>
      <w:rPr>
        <w:rFonts w:ascii="Calibri" w:eastAsia="Calibri" w:hAnsi="Calibri" w:cs="Calibri"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1" w15:restartNumberingAfterBreak="0">
    <w:nsid w:val="588C2A06"/>
    <w:multiLevelType w:val="multilevel"/>
    <w:tmpl w:val="BDA635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59002919"/>
    <w:multiLevelType w:val="multilevel"/>
    <w:tmpl w:val="CB5AF3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3" w15:restartNumberingAfterBreak="0">
    <w:nsid w:val="598161D4"/>
    <w:multiLevelType w:val="multilevel"/>
    <w:tmpl w:val="AC223C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598F0191"/>
    <w:multiLevelType w:val="hybridMultilevel"/>
    <w:tmpl w:val="83A499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5" w15:restartNumberingAfterBreak="0">
    <w:nsid w:val="59AA1687"/>
    <w:multiLevelType w:val="hybridMultilevel"/>
    <w:tmpl w:val="99909E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6" w15:restartNumberingAfterBreak="0">
    <w:nsid w:val="5B133438"/>
    <w:multiLevelType w:val="hybridMultilevel"/>
    <w:tmpl w:val="90208616"/>
    <w:lvl w:ilvl="0" w:tplc="300A0001">
      <w:start w:val="1"/>
      <w:numFmt w:val="bullet"/>
      <w:lvlText w:val=""/>
      <w:lvlJc w:val="left"/>
      <w:pPr>
        <w:ind w:left="719" w:hanging="360"/>
      </w:pPr>
      <w:rPr>
        <w:rFonts w:ascii="Symbol" w:hAnsi="Symbol" w:hint="default"/>
        <w:b w:val="0"/>
        <w:bCs w:val="0"/>
        <w:i w:val="0"/>
        <w:iCs w:val="0"/>
        <w:spacing w:val="0"/>
        <w:w w:val="100"/>
        <w:sz w:val="22"/>
        <w:szCs w:val="22"/>
        <w:lang w:val="es-ES" w:eastAsia="en-US" w:bidi="ar-SA"/>
      </w:rPr>
    </w:lvl>
    <w:lvl w:ilvl="1" w:tplc="9198136E">
      <w:numFmt w:val="bullet"/>
      <w:lvlText w:val="-"/>
      <w:lvlJc w:val="left"/>
      <w:pPr>
        <w:ind w:left="544" w:hanging="118"/>
      </w:pPr>
      <w:rPr>
        <w:rFonts w:ascii="Calibri Light" w:eastAsia="Calibri Light" w:hAnsi="Calibri Light" w:cs="Calibri Light" w:hint="default"/>
        <w:b w:val="0"/>
        <w:bCs w:val="0"/>
        <w:i w:val="0"/>
        <w:iCs w:val="0"/>
        <w:spacing w:val="0"/>
        <w:w w:val="100"/>
        <w:sz w:val="22"/>
        <w:szCs w:val="22"/>
        <w:lang w:val="es-ES" w:eastAsia="en-US" w:bidi="ar-SA"/>
      </w:rPr>
    </w:lvl>
    <w:lvl w:ilvl="2" w:tplc="CE3210A4">
      <w:numFmt w:val="bullet"/>
      <w:lvlText w:val="•"/>
      <w:lvlJc w:val="left"/>
      <w:pPr>
        <w:ind w:left="1711" w:hanging="118"/>
      </w:pPr>
      <w:rPr>
        <w:rFonts w:hint="default"/>
        <w:lang w:val="es-ES" w:eastAsia="en-US" w:bidi="ar-SA"/>
      </w:rPr>
    </w:lvl>
    <w:lvl w:ilvl="3" w:tplc="A1082F1E">
      <w:numFmt w:val="bullet"/>
      <w:lvlText w:val="•"/>
      <w:lvlJc w:val="left"/>
      <w:pPr>
        <w:ind w:left="2703" w:hanging="118"/>
      </w:pPr>
      <w:rPr>
        <w:rFonts w:hint="default"/>
        <w:lang w:val="es-ES" w:eastAsia="en-US" w:bidi="ar-SA"/>
      </w:rPr>
    </w:lvl>
    <w:lvl w:ilvl="4" w:tplc="F2B22600">
      <w:numFmt w:val="bullet"/>
      <w:lvlText w:val="•"/>
      <w:lvlJc w:val="left"/>
      <w:pPr>
        <w:ind w:left="3694" w:hanging="118"/>
      </w:pPr>
      <w:rPr>
        <w:rFonts w:hint="default"/>
        <w:lang w:val="es-ES" w:eastAsia="en-US" w:bidi="ar-SA"/>
      </w:rPr>
    </w:lvl>
    <w:lvl w:ilvl="5" w:tplc="2D9C1512">
      <w:numFmt w:val="bullet"/>
      <w:lvlText w:val="•"/>
      <w:lvlJc w:val="left"/>
      <w:pPr>
        <w:ind w:left="4686" w:hanging="118"/>
      </w:pPr>
      <w:rPr>
        <w:rFonts w:hint="default"/>
        <w:lang w:val="es-ES" w:eastAsia="en-US" w:bidi="ar-SA"/>
      </w:rPr>
    </w:lvl>
    <w:lvl w:ilvl="6" w:tplc="B4A6E366">
      <w:numFmt w:val="bullet"/>
      <w:lvlText w:val="•"/>
      <w:lvlJc w:val="left"/>
      <w:pPr>
        <w:ind w:left="5677" w:hanging="118"/>
      </w:pPr>
      <w:rPr>
        <w:rFonts w:hint="default"/>
        <w:lang w:val="es-ES" w:eastAsia="en-US" w:bidi="ar-SA"/>
      </w:rPr>
    </w:lvl>
    <w:lvl w:ilvl="7" w:tplc="614E6A82">
      <w:numFmt w:val="bullet"/>
      <w:lvlText w:val="•"/>
      <w:lvlJc w:val="left"/>
      <w:pPr>
        <w:ind w:left="6669" w:hanging="118"/>
      </w:pPr>
      <w:rPr>
        <w:rFonts w:hint="default"/>
        <w:lang w:val="es-ES" w:eastAsia="en-US" w:bidi="ar-SA"/>
      </w:rPr>
    </w:lvl>
    <w:lvl w:ilvl="8" w:tplc="58D07798">
      <w:numFmt w:val="bullet"/>
      <w:lvlText w:val="•"/>
      <w:lvlJc w:val="left"/>
      <w:pPr>
        <w:ind w:left="7661" w:hanging="118"/>
      </w:pPr>
      <w:rPr>
        <w:rFonts w:hint="default"/>
        <w:lang w:val="es-ES" w:eastAsia="en-US" w:bidi="ar-SA"/>
      </w:rPr>
    </w:lvl>
  </w:abstractNum>
  <w:abstractNum w:abstractNumId="157" w15:restartNumberingAfterBreak="0">
    <w:nsid w:val="5B977163"/>
    <w:multiLevelType w:val="multilevel"/>
    <w:tmpl w:val="C49C3B4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8" w15:restartNumberingAfterBreak="0">
    <w:nsid w:val="5D444496"/>
    <w:multiLevelType w:val="multilevel"/>
    <w:tmpl w:val="AE3CEA9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9" w15:restartNumberingAfterBreak="0">
    <w:nsid w:val="5D6B2833"/>
    <w:multiLevelType w:val="hybridMultilevel"/>
    <w:tmpl w:val="BF084372"/>
    <w:lvl w:ilvl="0" w:tplc="300A0001">
      <w:start w:val="1"/>
      <w:numFmt w:val="bullet"/>
      <w:lvlText w:val=""/>
      <w:lvlJc w:val="left"/>
      <w:pPr>
        <w:ind w:left="1353" w:hanging="360"/>
      </w:pPr>
      <w:rPr>
        <w:rFonts w:ascii="Symbol" w:hAnsi="Symbol" w:hint="default"/>
      </w:rPr>
    </w:lvl>
    <w:lvl w:ilvl="1" w:tplc="300A0003" w:tentative="1">
      <w:start w:val="1"/>
      <w:numFmt w:val="bullet"/>
      <w:lvlText w:val="o"/>
      <w:lvlJc w:val="left"/>
      <w:pPr>
        <w:ind w:left="2073" w:hanging="360"/>
      </w:pPr>
      <w:rPr>
        <w:rFonts w:ascii="Courier New" w:hAnsi="Courier New" w:cs="Courier New" w:hint="default"/>
      </w:rPr>
    </w:lvl>
    <w:lvl w:ilvl="2" w:tplc="300A0005" w:tentative="1">
      <w:start w:val="1"/>
      <w:numFmt w:val="bullet"/>
      <w:lvlText w:val=""/>
      <w:lvlJc w:val="left"/>
      <w:pPr>
        <w:ind w:left="2793" w:hanging="360"/>
      </w:pPr>
      <w:rPr>
        <w:rFonts w:ascii="Wingdings" w:hAnsi="Wingdings" w:hint="default"/>
      </w:rPr>
    </w:lvl>
    <w:lvl w:ilvl="3" w:tplc="300A0001" w:tentative="1">
      <w:start w:val="1"/>
      <w:numFmt w:val="bullet"/>
      <w:lvlText w:val=""/>
      <w:lvlJc w:val="left"/>
      <w:pPr>
        <w:ind w:left="3513" w:hanging="360"/>
      </w:pPr>
      <w:rPr>
        <w:rFonts w:ascii="Symbol" w:hAnsi="Symbol" w:hint="default"/>
      </w:rPr>
    </w:lvl>
    <w:lvl w:ilvl="4" w:tplc="300A0003" w:tentative="1">
      <w:start w:val="1"/>
      <w:numFmt w:val="bullet"/>
      <w:lvlText w:val="o"/>
      <w:lvlJc w:val="left"/>
      <w:pPr>
        <w:ind w:left="4233" w:hanging="360"/>
      </w:pPr>
      <w:rPr>
        <w:rFonts w:ascii="Courier New" w:hAnsi="Courier New" w:cs="Courier New" w:hint="default"/>
      </w:rPr>
    </w:lvl>
    <w:lvl w:ilvl="5" w:tplc="300A0005" w:tentative="1">
      <w:start w:val="1"/>
      <w:numFmt w:val="bullet"/>
      <w:lvlText w:val=""/>
      <w:lvlJc w:val="left"/>
      <w:pPr>
        <w:ind w:left="4953" w:hanging="360"/>
      </w:pPr>
      <w:rPr>
        <w:rFonts w:ascii="Wingdings" w:hAnsi="Wingdings" w:hint="default"/>
      </w:rPr>
    </w:lvl>
    <w:lvl w:ilvl="6" w:tplc="300A0001" w:tentative="1">
      <w:start w:val="1"/>
      <w:numFmt w:val="bullet"/>
      <w:lvlText w:val=""/>
      <w:lvlJc w:val="left"/>
      <w:pPr>
        <w:ind w:left="5673" w:hanging="360"/>
      </w:pPr>
      <w:rPr>
        <w:rFonts w:ascii="Symbol" w:hAnsi="Symbol" w:hint="default"/>
      </w:rPr>
    </w:lvl>
    <w:lvl w:ilvl="7" w:tplc="300A0003" w:tentative="1">
      <w:start w:val="1"/>
      <w:numFmt w:val="bullet"/>
      <w:lvlText w:val="o"/>
      <w:lvlJc w:val="left"/>
      <w:pPr>
        <w:ind w:left="6393" w:hanging="360"/>
      </w:pPr>
      <w:rPr>
        <w:rFonts w:ascii="Courier New" w:hAnsi="Courier New" w:cs="Courier New" w:hint="default"/>
      </w:rPr>
    </w:lvl>
    <w:lvl w:ilvl="8" w:tplc="300A0005" w:tentative="1">
      <w:start w:val="1"/>
      <w:numFmt w:val="bullet"/>
      <w:lvlText w:val=""/>
      <w:lvlJc w:val="left"/>
      <w:pPr>
        <w:ind w:left="7113" w:hanging="360"/>
      </w:pPr>
      <w:rPr>
        <w:rFonts w:ascii="Wingdings" w:hAnsi="Wingdings" w:hint="default"/>
      </w:rPr>
    </w:lvl>
  </w:abstractNum>
  <w:abstractNum w:abstractNumId="160" w15:restartNumberingAfterBreak="0">
    <w:nsid w:val="5D7F13D1"/>
    <w:multiLevelType w:val="multilevel"/>
    <w:tmpl w:val="FB98BCD4"/>
    <w:lvl w:ilvl="0">
      <w:start w:val="1"/>
      <w:numFmt w:val="lowerLetter"/>
      <w:lvlText w:val="%1)"/>
      <w:lvlJc w:val="left"/>
      <w:pPr>
        <w:ind w:left="485" w:hanging="284"/>
      </w:pPr>
      <w:rPr>
        <w:sz w:val="20"/>
        <w:szCs w:val="20"/>
      </w:rPr>
    </w:lvl>
    <w:lvl w:ilvl="1">
      <w:numFmt w:val="bullet"/>
      <w:lvlText w:val="•"/>
      <w:lvlJc w:val="left"/>
      <w:pPr>
        <w:ind w:left="1410" w:hanging="284"/>
      </w:pPr>
    </w:lvl>
    <w:lvl w:ilvl="2">
      <w:numFmt w:val="bullet"/>
      <w:lvlText w:val="•"/>
      <w:lvlJc w:val="left"/>
      <w:pPr>
        <w:ind w:left="2341" w:hanging="284"/>
      </w:pPr>
    </w:lvl>
    <w:lvl w:ilvl="3">
      <w:numFmt w:val="bullet"/>
      <w:lvlText w:val="•"/>
      <w:lvlJc w:val="left"/>
      <w:pPr>
        <w:ind w:left="3271" w:hanging="283"/>
      </w:pPr>
    </w:lvl>
    <w:lvl w:ilvl="4">
      <w:numFmt w:val="bullet"/>
      <w:lvlText w:val="•"/>
      <w:lvlJc w:val="left"/>
      <w:pPr>
        <w:ind w:left="4202" w:hanging="284"/>
      </w:pPr>
    </w:lvl>
    <w:lvl w:ilvl="5">
      <w:numFmt w:val="bullet"/>
      <w:lvlText w:val="•"/>
      <w:lvlJc w:val="left"/>
      <w:pPr>
        <w:ind w:left="5133" w:hanging="284"/>
      </w:pPr>
    </w:lvl>
    <w:lvl w:ilvl="6">
      <w:numFmt w:val="bullet"/>
      <w:lvlText w:val="•"/>
      <w:lvlJc w:val="left"/>
      <w:pPr>
        <w:ind w:left="6063" w:hanging="284"/>
      </w:pPr>
    </w:lvl>
    <w:lvl w:ilvl="7">
      <w:numFmt w:val="bullet"/>
      <w:lvlText w:val="•"/>
      <w:lvlJc w:val="left"/>
      <w:pPr>
        <w:ind w:left="6994" w:hanging="284"/>
      </w:pPr>
    </w:lvl>
    <w:lvl w:ilvl="8">
      <w:numFmt w:val="bullet"/>
      <w:lvlText w:val="•"/>
      <w:lvlJc w:val="left"/>
      <w:pPr>
        <w:ind w:left="7925" w:hanging="284"/>
      </w:pPr>
    </w:lvl>
  </w:abstractNum>
  <w:abstractNum w:abstractNumId="161" w15:restartNumberingAfterBreak="0">
    <w:nsid w:val="5E650C5F"/>
    <w:multiLevelType w:val="multilevel"/>
    <w:tmpl w:val="A372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E7B64D0"/>
    <w:multiLevelType w:val="multilevel"/>
    <w:tmpl w:val="99B413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3" w15:restartNumberingAfterBreak="0">
    <w:nsid w:val="5E924A9E"/>
    <w:multiLevelType w:val="multilevel"/>
    <w:tmpl w:val="74926BF6"/>
    <w:lvl w:ilvl="0">
      <w:start w:val="1"/>
      <w:numFmt w:val="decimal"/>
      <w:lvlText w:val="%1."/>
      <w:lvlJc w:val="left"/>
      <w:pPr>
        <w:ind w:left="502" w:hanging="360"/>
      </w:pPr>
      <w:rPr>
        <w:rFonts w:ascii="Calibri Light" w:eastAsia="Calibri Light" w:hAnsi="Calibri Light" w:cs="Calibri Light" w:hint="default"/>
        <w:b w:val="0"/>
        <w:bCs w:val="0"/>
        <w:i w:val="0"/>
        <w:iCs w:val="0"/>
        <w:color w:val="2E5395"/>
        <w:spacing w:val="-1"/>
        <w:w w:val="100"/>
        <w:sz w:val="28"/>
        <w:szCs w:val="28"/>
        <w:lang w:val="es-ES" w:eastAsia="en-US" w:bidi="ar-SA"/>
      </w:rPr>
    </w:lvl>
    <w:lvl w:ilvl="1">
      <w:start w:val="1"/>
      <w:numFmt w:val="decimal"/>
      <w:lvlText w:val="%1.%2."/>
      <w:lvlJc w:val="left"/>
      <w:pPr>
        <w:ind w:left="7100" w:hanging="720"/>
      </w:pPr>
      <w:rPr>
        <w:rFonts w:ascii="Calibri Light" w:eastAsia="Calibri Light" w:hAnsi="Calibri Light" w:cs="Calibri Light" w:hint="default"/>
        <w:b w:val="0"/>
        <w:bCs w:val="0"/>
        <w:i w:val="0"/>
        <w:iCs w:val="0"/>
        <w:color w:val="1F3762"/>
        <w:spacing w:val="0"/>
        <w:w w:val="99"/>
        <w:sz w:val="26"/>
        <w:szCs w:val="26"/>
        <w:lang w:val="es-ES" w:eastAsia="en-US" w:bidi="ar-SA"/>
      </w:rPr>
    </w:lvl>
    <w:lvl w:ilvl="2">
      <w:numFmt w:val="bullet"/>
      <w:lvlText w:val=""/>
      <w:lvlJc w:val="left"/>
      <w:pPr>
        <w:ind w:left="863" w:hanging="360"/>
      </w:pPr>
      <w:rPr>
        <w:rFonts w:ascii="Symbol" w:eastAsia="Symbol" w:hAnsi="Symbol" w:cs="Symbol" w:hint="default"/>
        <w:b w:val="0"/>
        <w:bCs w:val="0"/>
        <w:i w:val="0"/>
        <w:iCs w:val="0"/>
        <w:spacing w:val="0"/>
        <w:w w:val="100"/>
        <w:sz w:val="22"/>
        <w:szCs w:val="22"/>
        <w:lang w:val="es-ES" w:eastAsia="en-US" w:bidi="ar-SA"/>
      </w:rPr>
    </w:lvl>
    <w:lvl w:ilvl="3">
      <w:numFmt w:val="bullet"/>
      <w:lvlText w:val="•"/>
      <w:lvlJc w:val="left"/>
      <w:pPr>
        <w:ind w:left="3090" w:hanging="360"/>
      </w:pPr>
      <w:rPr>
        <w:rFonts w:hint="default"/>
        <w:lang w:val="es-ES" w:eastAsia="en-US" w:bidi="ar-SA"/>
      </w:rPr>
    </w:lvl>
    <w:lvl w:ilvl="4">
      <w:numFmt w:val="bullet"/>
      <w:lvlText w:val="•"/>
      <w:lvlJc w:val="left"/>
      <w:pPr>
        <w:ind w:left="4026" w:hanging="360"/>
      </w:pPr>
      <w:rPr>
        <w:rFonts w:hint="default"/>
        <w:lang w:val="es-ES" w:eastAsia="en-US" w:bidi="ar-SA"/>
      </w:rPr>
    </w:lvl>
    <w:lvl w:ilvl="5">
      <w:numFmt w:val="bullet"/>
      <w:lvlText w:val="•"/>
      <w:lvlJc w:val="left"/>
      <w:pPr>
        <w:ind w:left="4961" w:hanging="360"/>
      </w:pPr>
      <w:rPr>
        <w:rFonts w:hint="default"/>
        <w:lang w:val="es-ES" w:eastAsia="en-US" w:bidi="ar-SA"/>
      </w:rPr>
    </w:lvl>
    <w:lvl w:ilvl="6">
      <w:numFmt w:val="bullet"/>
      <w:lvlText w:val="•"/>
      <w:lvlJc w:val="left"/>
      <w:pPr>
        <w:ind w:left="5897" w:hanging="360"/>
      </w:pPr>
      <w:rPr>
        <w:rFonts w:hint="default"/>
        <w:lang w:val="es-ES" w:eastAsia="en-US" w:bidi="ar-SA"/>
      </w:rPr>
    </w:lvl>
    <w:lvl w:ilvl="7">
      <w:numFmt w:val="bullet"/>
      <w:lvlText w:val="•"/>
      <w:lvlJc w:val="left"/>
      <w:pPr>
        <w:ind w:left="6832" w:hanging="360"/>
      </w:pPr>
      <w:rPr>
        <w:rFonts w:hint="default"/>
        <w:lang w:val="es-ES" w:eastAsia="en-US" w:bidi="ar-SA"/>
      </w:rPr>
    </w:lvl>
    <w:lvl w:ilvl="8">
      <w:numFmt w:val="bullet"/>
      <w:lvlText w:val="•"/>
      <w:lvlJc w:val="left"/>
      <w:pPr>
        <w:ind w:left="7768" w:hanging="360"/>
      </w:pPr>
      <w:rPr>
        <w:rFonts w:hint="default"/>
        <w:lang w:val="es-ES" w:eastAsia="en-US" w:bidi="ar-SA"/>
      </w:rPr>
    </w:lvl>
  </w:abstractNum>
  <w:abstractNum w:abstractNumId="164" w15:restartNumberingAfterBreak="0">
    <w:nsid w:val="5EB21826"/>
    <w:multiLevelType w:val="hybridMultilevel"/>
    <w:tmpl w:val="1C3C964A"/>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5" w15:restartNumberingAfterBreak="0">
    <w:nsid w:val="5FAF0D9D"/>
    <w:multiLevelType w:val="multilevel"/>
    <w:tmpl w:val="C7EE9D4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600C7423"/>
    <w:multiLevelType w:val="hybridMultilevel"/>
    <w:tmpl w:val="4DE492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7" w15:restartNumberingAfterBreak="0">
    <w:nsid w:val="6120659D"/>
    <w:multiLevelType w:val="hybridMultilevel"/>
    <w:tmpl w:val="E63078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8" w15:restartNumberingAfterBreak="0">
    <w:nsid w:val="61D74661"/>
    <w:multiLevelType w:val="multilevel"/>
    <w:tmpl w:val="94DC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1DF0042"/>
    <w:multiLevelType w:val="multilevel"/>
    <w:tmpl w:val="41D05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24F3614"/>
    <w:multiLevelType w:val="multilevel"/>
    <w:tmpl w:val="A442130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63B277A6"/>
    <w:multiLevelType w:val="hybridMultilevel"/>
    <w:tmpl w:val="EE06E486"/>
    <w:lvl w:ilvl="0" w:tplc="8F08AB6E">
      <w:start w:val="1"/>
      <w:numFmt w:val="bullet"/>
      <w:lvlText w:val=""/>
      <w:lvlJc w:val="left"/>
      <w:pPr>
        <w:tabs>
          <w:tab w:val="num" w:pos="720"/>
        </w:tabs>
        <w:ind w:left="720" w:hanging="360"/>
      </w:pPr>
      <w:rPr>
        <w:rFonts w:ascii="Symbol" w:hAnsi="Symbol" w:hint="default"/>
        <w:sz w:val="20"/>
      </w:rPr>
    </w:lvl>
    <w:lvl w:ilvl="1" w:tplc="08BEB530">
      <w:start w:val="1"/>
      <w:numFmt w:val="bullet"/>
      <w:lvlText w:val="o"/>
      <w:lvlJc w:val="left"/>
      <w:pPr>
        <w:tabs>
          <w:tab w:val="num" w:pos="1440"/>
        </w:tabs>
        <w:ind w:left="1440" w:hanging="360"/>
      </w:pPr>
      <w:rPr>
        <w:rFonts w:ascii="Courier New" w:hAnsi="Courier New" w:hint="default"/>
        <w:sz w:val="20"/>
      </w:rPr>
    </w:lvl>
    <w:lvl w:ilvl="2" w:tplc="6D0A83D0">
      <w:start w:val="1"/>
      <w:numFmt w:val="bullet"/>
      <w:lvlText w:val=""/>
      <w:lvlJc w:val="left"/>
      <w:pPr>
        <w:tabs>
          <w:tab w:val="num" w:pos="2160"/>
        </w:tabs>
        <w:ind w:left="2160" w:hanging="360"/>
      </w:pPr>
      <w:rPr>
        <w:rFonts w:ascii="Wingdings" w:hAnsi="Wingdings" w:hint="default"/>
        <w:sz w:val="20"/>
      </w:rPr>
    </w:lvl>
    <w:lvl w:ilvl="3" w:tplc="337EE22C">
      <w:start w:val="1"/>
      <w:numFmt w:val="bullet"/>
      <w:lvlText w:val=""/>
      <w:lvlJc w:val="left"/>
      <w:pPr>
        <w:tabs>
          <w:tab w:val="num" w:pos="2880"/>
        </w:tabs>
        <w:ind w:left="2880" w:hanging="360"/>
      </w:pPr>
      <w:rPr>
        <w:rFonts w:ascii="Wingdings" w:hAnsi="Wingdings" w:hint="default"/>
        <w:sz w:val="20"/>
      </w:rPr>
    </w:lvl>
    <w:lvl w:ilvl="4" w:tplc="3334D0D2">
      <w:start w:val="1"/>
      <w:numFmt w:val="bullet"/>
      <w:lvlText w:val=""/>
      <w:lvlJc w:val="left"/>
      <w:pPr>
        <w:tabs>
          <w:tab w:val="num" w:pos="3600"/>
        </w:tabs>
        <w:ind w:left="3600" w:hanging="360"/>
      </w:pPr>
      <w:rPr>
        <w:rFonts w:ascii="Wingdings" w:hAnsi="Wingdings" w:hint="default"/>
        <w:sz w:val="20"/>
      </w:rPr>
    </w:lvl>
    <w:lvl w:ilvl="5" w:tplc="83C804F0">
      <w:start w:val="1"/>
      <w:numFmt w:val="bullet"/>
      <w:lvlText w:val=""/>
      <w:lvlJc w:val="left"/>
      <w:pPr>
        <w:tabs>
          <w:tab w:val="num" w:pos="4320"/>
        </w:tabs>
        <w:ind w:left="4320" w:hanging="360"/>
      </w:pPr>
      <w:rPr>
        <w:rFonts w:ascii="Wingdings" w:hAnsi="Wingdings" w:hint="default"/>
        <w:sz w:val="20"/>
      </w:rPr>
    </w:lvl>
    <w:lvl w:ilvl="6" w:tplc="A34C05EA">
      <w:start w:val="1"/>
      <w:numFmt w:val="bullet"/>
      <w:lvlText w:val=""/>
      <w:lvlJc w:val="left"/>
      <w:pPr>
        <w:tabs>
          <w:tab w:val="num" w:pos="5040"/>
        </w:tabs>
        <w:ind w:left="5040" w:hanging="360"/>
      </w:pPr>
      <w:rPr>
        <w:rFonts w:ascii="Wingdings" w:hAnsi="Wingdings" w:hint="default"/>
        <w:sz w:val="20"/>
      </w:rPr>
    </w:lvl>
    <w:lvl w:ilvl="7" w:tplc="4E9875C2">
      <w:start w:val="1"/>
      <w:numFmt w:val="bullet"/>
      <w:lvlText w:val=""/>
      <w:lvlJc w:val="left"/>
      <w:pPr>
        <w:tabs>
          <w:tab w:val="num" w:pos="5760"/>
        </w:tabs>
        <w:ind w:left="5760" w:hanging="360"/>
      </w:pPr>
      <w:rPr>
        <w:rFonts w:ascii="Wingdings" w:hAnsi="Wingdings" w:hint="default"/>
        <w:sz w:val="20"/>
      </w:rPr>
    </w:lvl>
    <w:lvl w:ilvl="8" w:tplc="160C33DE">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4EE5C26"/>
    <w:multiLevelType w:val="hybridMultilevel"/>
    <w:tmpl w:val="D0083E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3" w15:restartNumberingAfterBreak="0">
    <w:nsid w:val="67416B52"/>
    <w:multiLevelType w:val="hybridMultilevel"/>
    <w:tmpl w:val="0D34E4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4" w15:restartNumberingAfterBreak="0">
    <w:nsid w:val="678B7A25"/>
    <w:multiLevelType w:val="multilevel"/>
    <w:tmpl w:val="FF7853E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5" w15:restartNumberingAfterBreak="0">
    <w:nsid w:val="682A57C8"/>
    <w:multiLevelType w:val="hybridMultilevel"/>
    <w:tmpl w:val="9BBE46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6" w15:restartNumberingAfterBreak="0">
    <w:nsid w:val="69645FE0"/>
    <w:multiLevelType w:val="hybridMultilevel"/>
    <w:tmpl w:val="9CBEA6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7" w15:restartNumberingAfterBreak="0">
    <w:nsid w:val="69F944B8"/>
    <w:multiLevelType w:val="hybridMultilevel"/>
    <w:tmpl w:val="039846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8" w15:restartNumberingAfterBreak="0">
    <w:nsid w:val="6A423DED"/>
    <w:multiLevelType w:val="hybridMultilevel"/>
    <w:tmpl w:val="B9FA1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9" w15:restartNumberingAfterBreak="0">
    <w:nsid w:val="6B4341A1"/>
    <w:multiLevelType w:val="hybridMultilevel"/>
    <w:tmpl w:val="E720370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0" w15:restartNumberingAfterBreak="0">
    <w:nsid w:val="6D510D71"/>
    <w:multiLevelType w:val="hybridMultilevel"/>
    <w:tmpl w:val="99A4A5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1" w15:restartNumberingAfterBreak="0">
    <w:nsid w:val="6D5F1283"/>
    <w:multiLevelType w:val="multilevel"/>
    <w:tmpl w:val="BED6A3F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6D757C08"/>
    <w:multiLevelType w:val="hybridMultilevel"/>
    <w:tmpl w:val="0B563C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3" w15:restartNumberingAfterBreak="0">
    <w:nsid w:val="6DE2416A"/>
    <w:multiLevelType w:val="multilevel"/>
    <w:tmpl w:val="A2BEF8B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6E365B21"/>
    <w:multiLevelType w:val="multilevel"/>
    <w:tmpl w:val="3732CF70"/>
    <w:lvl w:ilvl="0">
      <w:start w:val="1"/>
      <w:numFmt w:val="decimal"/>
      <w:lvlText w:val="%1."/>
      <w:lvlJc w:val="left"/>
      <w:pPr>
        <w:ind w:left="644" w:hanging="360"/>
      </w:pPr>
    </w:lvl>
    <w:lvl w:ilvl="1">
      <w:start w:val="1"/>
      <w:numFmt w:val="decimal"/>
      <w:isLgl/>
      <w:lvlText w:val="%1.%2."/>
      <w:lvlJc w:val="left"/>
      <w:pPr>
        <w:ind w:left="720" w:hanging="360"/>
      </w:pPr>
      <w:rPr>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2160" w:hanging="1800"/>
      </w:pPr>
      <w:rPr>
        <w:color w:val="auto"/>
      </w:rPr>
    </w:lvl>
  </w:abstractNum>
  <w:abstractNum w:abstractNumId="185" w15:restartNumberingAfterBreak="0">
    <w:nsid w:val="6F0E4DD0"/>
    <w:multiLevelType w:val="hybridMultilevel"/>
    <w:tmpl w:val="B43004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6" w15:restartNumberingAfterBreak="0">
    <w:nsid w:val="6F671F34"/>
    <w:multiLevelType w:val="hybridMultilevel"/>
    <w:tmpl w:val="AE824F46"/>
    <w:lvl w:ilvl="0" w:tplc="300A0001">
      <w:start w:val="1"/>
      <w:numFmt w:val="bullet"/>
      <w:lvlText w:val=""/>
      <w:lvlJc w:val="left"/>
      <w:pPr>
        <w:ind w:left="862" w:hanging="360"/>
      </w:pPr>
      <w:rPr>
        <w:rFonts w:ascii="Symbol" w:hAnsi="Symbol" w:hint="default"/>
      </w:rPr>
    </w:lvl>
    <w:lvl w:ilvl="1" w:tplc="300A0003" w:tentative="1">
      <w:start w:val="1"/>
      <w:numFmt w:val="bullet"/>
      <w:lvlText w:val="o"/>
      <w:lvlJc w:val="left"/>
      <w:pPr>
        <w:ind w:left="1582" w:hanging="360"/>
      </w:pPr>
      <w:rPr>
        <w:rFonts w:ascii="Courier New" w:hAnsi="Courier New" w:cs="Courier New" w:hint="default"/>
      </w:rPr>
    </w:lvl>
    <w:lvl w:ilvl="2" w:tplc="300A0005" w:tentative="1">
      <w:start w:val="1"/>
      <w:numFmt w:val="bullet"/>
      <w:lvlText w:val=""/>
      <w:lvlJc w:val="left"/>
      <w:pPr>
        <w:ind w:left="2302" w:hanging="360"/>
      </w:pPr>
      <w:rPr>
        <w:rFonts w:ascii="Wingdings" w:hAnsi="Wingdings" w:hint="default"/>
      </w:rPr>
    </w:lvl>
    <w:lvl w:ilvl="3" w:tplc="300A0001" w:tentative="1">
      <w:start w:val="1"/>
      <w:numFmt w:val="bullet"/>
      <w:lvlText w:val=""/>
      <w:lvlJc w:val="left"/>
      <w:pPr>
        <w:ind w:left="3022" w:hanging="360"/>
      </w:pPr>
      <w:rPr>
        <w:rFonts w:ascii="Symbol" w:hAnsi="Symbol" w:hint="default"/>
      </w:rPr>
    </w:lvl>
    <w:lvl w:ilvl="4" w:tplc="300A0003" w:tentative="1">
      <w:start w:val="1"/>
      <w:numFmt w:val="bullet"/>
      <w:lvlText w:val="o"/>
      <w:lvlJc w:val="left"/>
      <w:pPr>
        <w:ind w:left="3742" w:hanging="360"/>
      </w:pPr>
      <w:rPr>
        <w:rFonts w:ascii="Courier New" w:hAnsi="Courier New" w:cs="Courier New" w:hint="default"/>
      </w:rPr>
    </w:lvl>
    <w:lvl w:ilvl="5" w:tplc="300A0005" w:tentative="1">
      <w:start w:val="1"/>
      <w:numFmt w:val="bullet"/>
      <w:lvlText w:val=""/>
      <w:lvlJc w:val="left"/>
      <w:pPr>
        <w:ind w:left="4462" w:hanging="360"/>
      </w:pPr>
      <w:rPr>
        <w:rFonts w:ascii="Wingdings" w:hAnsi="Wingdings" w:hint="default"/>
      </w:rPr>
    </w:lvl>
    <w:lvl w:ilvl="6" w:tplc="300A0001" w:tentative="1">
      <w:start w:val="1"/>
      <w:numFmt w:val="bullet"/>
      <w:lvlText w:val=""/>
      <w:lvlJc w:val="left"/>
      <w:pPr>
        <w:ind w:left="5182" w:hanging="360"/>
      </w:pPr>
      <w:rPr>
        <w:rFonts w:ascii="Symbol" w:hAnsi="Symbol" w:hint="default"/>
      </w:rPr>
    </w:lvl>
    <w:lvl w:ilvl="7" w:tplc="300A0003" w:tentative="1">
      <w:start w:val="1"/>
      <w:numFmt w:val="bullet"/>
      <w:lvlText w:val="o"/>
      <w:lvlJc w:val="left"/>
      <w:pPr>
        <w:ind w:left="5902" w:hanging="360"/>
      </w:pPr>
      <w:rPr>
        <w:rFonts w:ascii="Courier New" w:hAnsi="Courier New" w:cs="Courier New" w:hint="default"/>
      </w:rPr>
    </w:lvl>
    <w:lvl w:ilvl="8" w:tplc="300A0005" w:tentative="1">
      <w:start w:val="1"/>
      <w:numFmt w:val="bullet"/>
      <w:lvlText w:val=""/>
      <w:lvlJc w:val="left"/>
      <w:pPr>
        <w:ind w:left="6622" w:hanging="360"/>
      </w:pPr>
      <w:rPr>
        <w:rFonts w:ascii="Wingdings" w:hAnsi="Wingdings" w:hint="default"/>
      </w:rPr>
    </w:lvl>
  </w:abstractNum>
  <w:abstractNum w:abstractNumId="187" w15:restartNumberingAfterBreak="0">
    <w:nsid w:val="6FEC0FD9"/>
    <w:multiLevelType w:val="hybridMultilevel"/>
    <w:tmpl w:val="5316CAE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1">
      <w:start w:val="1"/>
      <w:numFmt w:val="bullet"/>
      <w:lvlText w:val=""/>
      <w:lvlJc w:val="left"/>
      <w:pPr>
        <w:ind w:left="2520" w:hanging="360"/>
      </w:pPr>
      <w:rPr>
        <w:rFonts w:ascii="Symbol" w:hAnsi="Symbol"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8" w15:restartNumberingAfterBreak="0">
    <w:nsid w:val="6FF425E5"/>
    <w:multiLevelType w:val="hybridMultilevel"/>
    <w:tmpl w:val="D24059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9" w15:restartNumberingAfterBreak="0">
    <w:nsid w:val="7030360E"/>
    <w:multiLevelType w:val="hybridMultilevel"/>
    <w:tmpl w:val="D35278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0" w15:restartNumberingAfterBreak="0">
    <w:nsid w:val="70570BBF"/>
    <w:multiLevelType w:val="multilevel"/>
    <w:tmpl w:val="BDA635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1" w15:restartNumberingAfterBreak="0">
    <w:nsid w:val="70C45B0C"/>
    <w:multiLevelType w:val="multilevel"/>
    <w:tmpl w:val="3732CF70"/>
    <w:lvl w:ilvl="0">
      <w:start w:val="1"/>
      <w:numFmt w:val="decimal"/>
      <w:lvlText w:val="%1."/>
      <w:lvlJc w:val="left"/>
      <w:pPr>
        <w:ind w:left="644" w:hanging="360"/>
      </w:pPr>
    </w:lvl>
    <w:lvl w:ilvl="1">
      <w:start w:val="1"/>
      <w:numFmt w:val="decimal"/>
      <w:isLgl/>
      <w:lvlText w:val="%1.%2."/>
      <w:lvlJc w:val="left"/>
      <w:pPr>
        <w:ind w:left="720" w:hanging="360"/>
      </w:pPr>
      <w:rPr>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2160" w:hanging="1800"/>
      </w:pPr>
      <w:rPr>
        <w:color w:val="auto"/>
      </w:rPr>
    </w:lvl>
  </w:abstractNum>
  <w:abstractNum w:abstractNumId="192" w15:restartNumberingAfterBreak="0">
    <w:nsid w:val="72127946"/>
    <w:multiLevelType w:val="hybridMultilevel"/>
    <w:tmpl w:val="8EACCD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3" w15:restartNumberingAfterBreak="0">
    <w:nsid w:val="72476EBD"/>
    <w:multiLevelType w:val="hybridMultilevel"/>
    <w:tmpl w:val="617E793E"/>
    <w:lvl w:ilvl="0" w:tplc="083A153E">
      <w:start w:val="9"/>
      <w:numFmt w:val="bullet"/>
      <w:lvlText w:val=""/>
      <w:lvlJc w:val="left"/>
      <w:pPr>
        <w:ind w:left="720" w:hanging="360"/>
      </w:pPr>
      <w:rPr>
        <w:rFonts w:ascii="Symbol" w:eastAsia="Calibri" w:hAnsi="Symbol" w:cs="Calibri Light"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4" w15:restartNumberingAfterBreak="0">
    <w:nsid w:val="72C246EE"/>
    <w:multiLevelType w:val="hybridMultilevel"/>
    <w:tmpl w:val="BECABF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5" w15:restartNumberingAfterBreak="0">
    <w:nsid w:val="73AA150B"/>
    <w:multiLevelType w:val="multilevel"/>
    <w:tmpl w:val="3732CF70"/>
    <w:lvl w:ilvl="0">
      <w:start w:val="1"/>
      <w:numFmt w:val="decimal"/>
      <w:lvlText w:val="%1."/>
      <w:lvlJc w:val="left"/>
      <w:pPr>
        <w:ind w:left="644" w:hanging="360"/>
      </w:pPr>
    </w:lvl>
    <w:lvl w:ilvl="1">
      <w:start w:val="1"/>
      <w:numFmt w:val="decimal"/>
      <w:isLgl/>
      <w:lvlText w:val="%1.%2."/>
      <w:lvlJc w:val="left"/>
      <w:pPr>
        <w:ind w:left="720" w:hanging="360"/>
      </w:pPr>
      <w:rPr>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2160" w:hanging="1800"/>
      </w:pPr>
      <w:rPr>
        <w:color w:val="auto"/>
      </w:rPr>
    </w:lvl>
  </w:abstractNum>
  <w:abstractNum w:abstractNumId="196" w15:restartNumberingAfterBreak="0">
    <w:nsid w:val="740236FE"/>
    <w:multiLevelType w:val="multilevel"/>
    <w:tmpl w:val="0DD26E64"/>
    <w:lvl w:ilvl="0">
      <w:start w:val="1"/>
      <w:numFmt w:val="decimal"/>
      <w:pStyle w:val="Estilo1"/>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7" w15:restartNumberingAfterBreak="0">
    <w:nsid w:val="74AE757E"/>
    <w:multiLevelType w:val="multilevel"/>
    <w:tmpl w:val="5A085D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74AE7A34"/>
    <w:multiLevelType w:val="hybridMultilevel"/>
    <w:tmpl w:val="269EFADE"/>
    <w:lvl w:ilvl="0" w:tplc="300A0001">
      <w:start w:val="1"/>
      <w:numFmt w:val="bullet"/>
      <w:lvlText w:val=""/>
      <w:lvlJc w:val="left"/>
      <w:pPr>
        <w:ind w:left="1353" w:hanging="360"/>
      </w:pPr>
      <w:rPr>
        <w:rFonts w:ascii="Symbol" w:hAnsi="Symbol" w:hint="default"/>
      </w:rPr>
    </w:lvl>
    <w:lvl w:ilvl="1" w:tplc="300A000F">
      <w:start w:val="1"/>
      <w:numFmt w:val="decimal"/>
      <w:lvlText w:val="%2."/>
      <w:lvlJc w:val="left"/>
      <w:pPr>
        <w:ind w:left="2073" w:hanging="360"/>
      </w:pPr>
      <w:rPr>
        <w:rFonts w:hint="default"/>
      </w:rPr>
    </w:lvl>
    <w:lvl w:ilvl="2" w:tplc="300A0005" w:tentative="1">
      <w:start w:val="1"/>
      <w:numFmt w:val="bullet"/>
      <w:lvlText w:val=""/>
      <w:lvlJc w:val="left"/>
      <w:pPr>
        <w:ind w:left="2793" w:hanging="360"/>
      </w:pPr>
      <w:rPr>
        <w:rFonts w:ascii="Wingdings" w:hAnsi="Wingdings" w:hint="default"/>
      </w:rPr>
    </w:lvl>
    <w:lvl w:ilvl="3" w:tplc="300A0001" w:tentative="1">
      <w:start w:val="1"/>
      <w:numFmt w:val="bullet"/>
      <w:lvlText w:val=""/>
      <w:lvlJc w:val="left"/>
      <w:pPr>
        <w:ind w:left="3513" w:hanging="360"/>
      </w:pPr>
      <w:rPr>
        <w:rFonts w:ascii="Symbol" w:hAnsi="Symbol" w:hint="default"/>
      </w:rPr>
    </w:lvl>
    <w:lvl w:ilvl="4" w:tplc="300A0003" w:tentative="1">
      <w:start w:val="1"/>
      <w:numFmt w:val="bullet"/>
      <w:lvlText w:val="o"/>
      <w:lvlJc w:val="left"/>
      <w:pPr>
        <w:ind w:left="4233" w:hanging="360"/>
      </w:pPr>
      <w:rPr>
        <w:rFonts w:ascii="Courier New" w:hAnsi="Courier New" w:cs="Courier New" w:hint="default"/>
      </w:rPr>
    </w:lvl>
    <w:lvl w:ilvl="5" w:tplc="300A0005" w:tentative="1">
      <w:start w:val="1"/>
      <w:numFmt w:val="bullet"/>
      <w:lvlText w:val=""/>
      <w:lvlJc w:val="left"/>
      <w:pPr>
        <w:ind w:left="4953" w:hanging="360"/>
      </w:pPr>
      <w:rPr>
        <w:rFonts w:ascii="Wingdings" w:hAnsi="Wingdings" w:hint="default"/>
      </w:rPr>
    </w:lvl>
    <w:lvl w:ilvl="6" w:tplc="300A0001" w:tentative="1">
      <w:start w:val="1"/>
      <w:numFmt w:val="bullet"/>
      <w:lvlText w:val=""/>
      <w:lvlJc w:val="left"/>
      <w:pPr>
        <w:ind w:left="5673" w:hanging="360"/>
      </w:pPr>
      <w:rPr>
        <w:rFonts w:ascii="Symbol" w:hAnsi="Symbol" w:hint="default"/>
      </w:rPr>
    </w:lvl>
    <w:lvl w:ilvl="7" w:tplc="300A0003" w:tentative="1">
      <w:start w:val="1"/>
      <w:numFmt w:val="bullet"/>
      <w:lvlText w:val="o"/>
      <w:lvlJc w:val="left"/>
      <w:pPr>
        <w:ind w:left="6393" w:hanging="360"/>
      </w:pPr>
      <w:rPr>
        <w:rFonts w:ascii="Courier New" w:hAnsi="Courier New" w:cs="Courier New" w:hint="default"/>
      </w:rPr>
    </w:lvl>
    <w:lvl w:ilvl="8" w:tplc="300A0005" w:tentative="1">
      <w:start w:val="1"/>
      <w:numFmt w:val="bullet"/>
      <w:lvlText w:val=""/>
      <w:lvlJc w:val="left"/>
      <w:pPr>
        <w:ind w:left="7113" w:hanging="360"/>
      </w:pPr>
      <w:rPr>
        <w:rFonts w:ascii="Wingdings" w:hAnsi="Wingdings" w:hint="default"/>
      </w:rPr>
    </w:lvl>
  </w:abstractNum>
  <w:abstractNum w:abstractNumId="199" w15:restartNumberingAfterBreak="0">
    <w:nsid w:val="74B92AE0"/>
    <w:multiLevelType w:val="hybridMultilevel"/>
    <w:tmpl w:val="D9CACB7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0" w15:restartNumberingAfterBreak="0">
    <w:nsid w:val="750B6561"/>
    <w:multiLevelType w:val="multilevel"/>
    <w:tmpl w:val="CB5AF3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1" w15:restartNumberingAfterBreak="0">
    <w:nsid w:val="751320EF"/>
    <w:multiLevelType w:val="hybridMultilevel"/>
    <w:tmpl w:val="7D6655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2" w15:restartNumberingAfterBreak="0">
    <w:nsid w:val="7537058D"/>
    <w:multiLevelType w:val="hybridMultilevel"/>
    <w:tmpl w:val="608072A8"/>
    <w:lvl w:ilvl="0" w:tplc="1AFA5804">
      <w:start w:val="1"/>
      <w:numFmt w:val="decimal"/>
      <w:lvlText w:val="%1."/>
      <w:lvlJc w:val="left"/>
      <w:pPr>
        <w:ind w:left="503" w:hanging="360"/>
      </w:pPr>
      <w:rPr>
        <w:rFonts w:ascii="Cambria" w:eastAsia="Cambria" w:hAnsi="Cambria" w:cs="Cambria" w:hint="default"/>
        <w:b w:val="0"/>
        <w:bCs w:val="0"/>
        <w:i w:val="0"/>
        <w:iCs w:val="0"/>
        <w:spacing w:val="0"/>
        <w:w w:val="100"/>
        <w:sz w:val="22"/>
        <w:szCs w:val="22"/>
        <w:lang w:val="es-ES" w:eastAsia="en-US" w:bidi="ar-SA"/>
      </w:rPr>
    </w:lvl>
    <w:lvl w:ilvl="1" w:tplc="284E80AA">
      <w:numFmt w:val="bullet"/>
      <w:lvlText w:val="•"/>
      <w:lvlJc w:val="left"/>
      <w:pPr>
        <w:ind w:left="1328" w:hanging="360"/>
      </w:pPr>
      <w:rPr>
        <w:rFonts w:hint="default"/>
        <w:lang w:val="es-ES" w:eastAsia="en-US" w:bidi="ar-SA"/>
      </w:rPr>
    </w:lvl>
    <w:lvl w:ilvl="2" w:tplc="7ACA319C">
      <w:numFmt w:val="bullet"/>
      <w:lvlText w:val="•"/>
      <w:lvlJc w:val="left"/>
      <w:pPr>
        <w:ind w:left="2157" w:hanging="360"/>
      </w:pPr>
      <w:rPr>
        <w:rFonts w:hint="default"/>
        <w:lang w:val="es-ES" w:eastAsia="en-US" w:bidi="ar-SA"/>
      </w:rPr>
    </w:lvl>
    <w:lvl w:ilvl="3" w:tplc="90FC9F2A">
      <w:numFmt w:val="bullet"/>
      <w:lvlText w:val="•"/>
      <w:lvlJc w:val="left"/>
      <w:pPr>
        <w:ind w:left="2986" w:hanging="360"/>
      </w:pPr>
      <w:rPr>
        <w:rFonts w:hint="default"/>
        <w:lang w:val="es-ES" w:eastAsia="en-US" w:bidi="ar-SA"/>
      </w:rPr>
    </w:lvl>
    <w:lvl w:ilvl="4" w:tplc="AC3E5552">
      <w:numFmt w:val="bullet"/>
      <w:lvlText w:val="•"/>
      <w:lvlJc w:val="left"/>
      <w:pPr>
        <w:ind w:left="3815" w:hanging="360"/>
      </w:pPr>
      <w:rPr>
        <w:rFonts w:hint="default"/>
        <w:lang w:val="es-ES" w:eastAsia="en-US" w:bidi="ar-SA"/>
      </w:rPr>
    </w:lvl>
    <w:lvl w:ilvl="5" w:tplc="9EDCFD0A">
      <w:numFmt w:val="bullet"/>
      <w:lvlText w:val="•"/>
      <w:lvlJc w:val="left"/>
      <w:pPr>
        <w:ind w:left="4644" w:hanging="360"/>
      </w:pPr>
      <w:rPr>
        <w:rFonts w:hint="default"/>
        <w:lang w:val="es-ES" w:eastAsia="en-US" w:bidi="ar-SA"/>
      </w:rPr>
    </w:lvl>
    <w:lvl w:ilvl="6" w:tplc="F760E6DC">
      <w:numFmt w:val="bullet"/>
      <w:lvlText w:val="•"/>
      <w:lvlJc w:val="left"/>
      <w:pPr>
        <w:ind w:left="5473" w:hanging="360"/>
      </w:pPr>
      <w:rPr>
        <w:rFonts w:hint="default"/>
        <w:lang w:val="es-ES" w:eastAsia="en-US" w:bidi="ar-SA"/>
      </w:rPr>
    </w:lvl>
    <w:lvl w:ilvl="7" w:tplc="28A81012">
      <w:numFmt w:val="bullet"/>
      <w:lvlText w:val="•"/>
      <w:lvlJc w:val="left"/>
      <w:pPr>
        <w:ind w:left="6301" w:hanging="360"/>
      </w:pPr>
      <w:rPr>
        <w:rFonts w:hint="default"/>
        <w:lang w:val="es-ES" w:eastAsia="en-US" w:bidi="ar-SA"/>
      </w:rPr>
    </w:lvl>
    <w:lvl w:ilvl="8" w:tplc="BDCCF6C2">
      <w:numFmt w:val="bullet"/>
      <w:lvlText w:val="•"/>
      <w:lvlJc w:val="left"/>
      <w:pPr>
        <w:ind w:left="7130" w:hanging="360"/>
      </w:pPr>
      <w:rPr>
        <w:rFonts w:hint="default"/>
        <w:lang w:val="es-ES" w:eastAsia="en-US" w:bidi="ar-SA"/>
      </w:rPr>
    </w:lvl>
  </w:abstractNum>
  <w:abstractNum w:abstractNumId="203" w15:restartNumberingAfterBreak="0">
    <w:nsid w:val="759C2A61"/>
    <w:multiLevelType w:val="multilevel"/>
    <w:tmpl w:val="01B4B1AE"/>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4" w15:restartNumberingAfterBreak="0">
    <w:nsid w:val="75A2291D"/>
    <w:multiLevelType w:val="hybridMultilevel"/>
    <w:tmpl w:val="0C5EC6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5" w15:restartNumberingAfterBreak="0">
    <w:nsid w:val="75BB50F9"/>
    <w:multiLevelType w:val="hybridMultilevel"/>
    <w:tmpl w:val="600AF5D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6" w15:restartNumberingAfterBreak="0">
    <w:nsid w:val="75C43273"/>
    <w:multiLevelType w:val="multilevel"/>
    <w:tmpl w:val="EA8800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75CA0632"/>
    <w:multiLevelType w:val="multilevel"/>
    <w:tmpl w:val="BA12E72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765B5D43"/>
    <w:multiLevelType w:val="hybridMultilevel"/>
    <w:tmpl w:val="5F604620"/>
    <w:lvl w:ilvl="0" w:tplc="05B082E4">
      <w:numFmt w:val="bullet"/>
      <w:lvlText w:val="-"/>
      <w:lvlJc w:val="left"/>
      <w:pPr>
        <w:ind w:left="720" w:hanging="360"/>
      </w:pPr>
      <w:rPr>
        <w:rFonts w:ascii="Calibri" w:eastAsia="Calibri" w:hAnsi="Calibri" w:cs="Calibri" w:hint="default"/>
      </w:rPr>
    </w:lvl>
    <w:lvl w:ilvl="1" w:tplc="05B082E4">
      <w:numFmt w:val="bullet"/>
      <w:lvlText w:val="-"/>
      <w:lvlJc w:val="left"/>
      <w:pPr>
        <w:ind w:left="1440" w:hanging="360"/>
      </w:pPr>
      <w:rPr>
        <w:rFonts w:ascii="Calibri" w:eastAsia="Calibri" w:hAnsi="Calibri" w:cs="Calibri"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9" w15:restartNumberingAfterBreak="0">
    <w:nsid w:val="795453C7"/>
    <w:multiLevelType w:val="hybridMultilevel"/>
    <w:tmpl w:val="7AC438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0" w15:restartNumberingAfterBreak="0">
    <w:nsid w:val="79C00B61"/>
    <w:multiLevelType w:val="multilevel"/>
    <w:tmpl w:val="7B2CC44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79F910C8"/>
    <w:multiLevelType w:val="multilevel"/>
    <w:tmpl w:val="B3E28F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2" w15:restartNumberingAfterBreak="0">
    <w:nsid w:val="7A9B5AF5"/>
    <w:multiLevelType w:val="multilevel"/>
    <w:tmpl w:val="10CA705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3" w15:restartNumberingAfterBreak="0">
    <w:nsid w:val="7C1B6F14"/>
    <w:multiLevelType w:val="multilevel"/>
    <w:tmpl w:val="3DDC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C423F83"/>
    <w:multiLevelType w:val="multilevel"/>
    <w:tmpl w:val="810AC56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5" w15:restartNumberingAfterBreak="0">
    <w:nsid w:val="7CE2395C"/>
    <w:multiLevelType w:val="hybridMultilevel"/>
    <w:tmpl w:val="9A541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6" w15:restartNumberingAfterBreak="0">
    <w:nsid w:val="7E165696"/>
    <w:multiLevelType w:val="hybridMultilevel"/>
    <w:tmpl w:val="DCB8300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9"/>
  </w:num>
  <w:num w:numId="2">
    <w:abstractNumId w:val="132"/>
  </w:num>
  <w:num w:numId="3">
    <w:abstractNumId w:val="145"/>
  </w:num>
  <w:num w:numId="4">
    <w:abstractNumId w:val="196"/>
  </w:num>
  <w:num w:numId="5">
    <w:abstractNumId w:val="85"/>
  </w:num>
  <w:num w:numId="6">
    <w:abstractNumId w:val="104"/>
  </w:num>
  <w:num w:numId="7">
    <w:abstractNumId w:val="174"/>
  </w:num>
  <w:num w:numId="8">
    <w:abstractNumId w:val="98"/>
  </w:num>
  <w:num w:numId="9">
    <w:abstractNumId w:val="211"/>
  </w:num>
  <w:num w:numId="10">
    <w:abstractNumId w:val="175"/>
  </w:num>
  <w:num w:numId="11">
    <w:abstractNumId w:val="129"/>
  </w:num>
  <w:num w:numId="12">
    <w:abstractNumId w:val="180"/>
  </w:num>
  <w:num w:numId="13">
    <w:abstractNumId w:val="58"/>
  </w:num>
  <w:num w:numId="14">
    <w:abstractNumId w:val="94"/>
  </w:num>
  <w:num w:numId="15">
    <w:abstractNumId w:val="105"/>
  </w:num>
  <w:num w:numId="16">
    <w:abstractNumId w:val="190"/>
  </w:num>
  <w:num w:numId="17">
    <w:abstractNumId w:val="166"/>
  </w:num>
  <w:num w:numId="18">
    <w:abstractNumId w:val="176"/>
  </w:num>
  <w:num w:numId="19">
    <w:abstractNumId w:val="42"/>
  </w:num>
  <w:num w:numId="20">
    <w:abstractNumId w:val="151"/>
  </w:num>
  <w:num w:numId="21">
    <w:abstractNumId w:val="193"/>
  </w:num>
  <w:num w:numId="22">
    <w:abstractNumId w:val="138"/>
  </w:num>
  <w:num w:numId="23">
    <w:abstractNumId w:val="187"/>
  </w:num>
  <w:num w:numId="24">
    <w:abstractNumId w:val="7"/>
  </w:num>
  <w:num w:numId="25">
    <w:abstractNumId w:val="122"/>
  </w:num>
  <w:num w:numId="26">
    <w:abstractNumId w:val="186"/>
  </w:num>
  <w:num w:numId="27">
    <w:abstractNumId w:val="32"/>
  </w:num>
  <w:num w:numId="28">
    <w:abstractNumId w:val="75"/>
  </w:num>
  <w:num w:numId="29">
    <w:abstractNumId w:val="44"/>
  </w:num>
  <w:num w:numId="30">
    <w:abstractNumId w:val="12"/>
  </w:num>
  <w:num w:numId="31">
    <w:abstractNumId w:val="144"/>
  </w:num>
  <w:num w:numId="32">
    <w:abstractNumId w:val="21"/>
  </w:num>
  <w:num w:numId="33">
    <w:abstractNumId w:val="57"/>
  </w:num>
  <w:num w:numId="34">
    <w:abstractNumId w:val="188"/>
  </w:num>
  <w:num w:numId="35">
    <w:abstractNumId w:val="118"/>
  </w:num>
  <w:num w:numId="36">
    <w:abstractNumId w:val="10"/>
  </w:num>
  <w:num w:numId="37">
    <w:abstractNumId w:val="33"/>
  </w:num>
  <w:num w:numId="38">
    <w:abstractNumId w:val="194"/>
  </w:num>
  <w:num w:numId="39">
    <w:abstractNumId w:val="150"/>
  </w:num>
  <w:num w:numId="40">
    <w:abstractNumId w:val="92"/>
  </w:num>
  <w:num w:numId="41">
    <w:abstractNumId w:val="179"/>
  </w:num>
  <w:num w:numId="42">
    <w:abstractNumId w:val="110"/>
  </w:num>
  <w:num w:numId="43">
    <w:abstractNumId w:val="91"/>
  </w:num>
  <w:num w:numId="44">
    <w:abstractNumId w:val="88"/>
  </w:num>
  <w:num w:numId="45">
    <w:abstractNumId w:val="141"/>
  </w:num>
  <w:num w:numId="46">
    <w:abstractNumId w:val="116"/>
  </w:num>
  <w:num w:numId="47">
    <w:abstractNumId w:val="208"/>
  </w:num>
  <w:num w:numId="48">
    <w:abstractNumId w:val="82"/>
  </w:num>
  <w:num w:numId="49">
    <w:abstractNumId w:val="37"/>
  </w:num>
  <w:num w:numId="50">
    <w:abstractNumId w:val="18"/>
  </w:num>
  <w:num w:numId="51">
    <w:abstractNumId w:val="205"/>
  </w:num>
  <w:num w:numId="52">
    <w:abstractNumId w:val="25"/>
  </w:num>
  <w:num w:numId="53">
    <w:abstractNumId w:val="102"/>
  </w:num>
  <w:num w:numId="54">
    <w:abstractNumId w:val="72"/>
  </w:num>
  <w:num w:numId="55">
    <w:abstractNumId w:val="2"/>
  </w:num>
  <w:num w:numId="56">
    <w:abstractNumId w:val="87"/>
  </w:num>
  <w:num w:numId="57">
    <w:abstractNumId w:val="49"/>
  </w:num>
  <w:num w:numId="58">
    <w:abstractNumId w:val="41"/>
  </w:num>
  <w:num w:numId="59">
    <w:abstractNumId w:val="51"/>
  </w:num>
  <w:num w:numId="60">
    <w:abstractNumId w:val="71"/>
  </w:num>
  <w:num w:numId="61">
    <w:abstractNumId w:val="178"/>
  </w:num>
  <w:num w:numId="62">
    <w:abstractNumId w:val="45"/>
  </w:num>
  <w:num w:numId="63">
    <w:abstractNumId w:val="55"/>
  </w:num>
  <w:num w:numId="64">
    <w:abstractNumId w:val="201"/>
  </w:num>
  <w:num w:numId="65">
    <w:abstractNumId w:val="1"/>
  </w:num>
  <w:num w:numId="66">
    <w:abstractNumId w:val="164"/>
  </w:num>
  <w:num w:numId="67">
    <w:abstractNumId w:val="50"/>
  </w:num>
  <w:num w:numId="68">
    <w:abstractNumId w:val="167"/>
  </w:num>
  <w:num w:numId="69">
    <w:abstractNumId w:val="115"/>
  </w:num>
  <w:num w:numId="70">
    <w:abstractNumId w:val="96"/>
  </w:num>
  <w:num w:numId="71">
    <w:abstractNumId w:val="80"/>
  </w:num>
  <w:num w:numId="72">
    <w:abstractNumId w:val="119"/>
  </w:num>
  <w:num w:numId="73">
    <w:abstractNumId w:val="127"/>
  </w:num>
  <w:num w:numId="74">
    <w:abstractNumId w:val="214"/>
  </w:num>
  <w:num w:numId="75">
    <w:abstractNumId w:val="203"/>
  </w:num>
  <w:num w:numId="76">
    <w:abstractNumId w:val="56"/>
  </w:num>
  <w:num w:numId="77">
    <w:abstractNumId w:val="128"/>
  </w:num>
  <w:num w:numId="78">
    <w:abstractNumId w:val="79"/>
  </w:num>
  <w:num w:numId="79">
    <w:abstractNumId w:val="155"/>
  </w:num>
  <w:num w:numId="80">
    <w:abstractNumId w:val="38"/>
  </w:num>
  <w:num w:numId="81">
    <w:abstractNumId w:val="137"/>
  </w:num>
  <w:num w:numId="82">
    <w:abstractNumId w:val="31"/>
  </w:num>
  <w:num w:numId="83">
    <w:abstractNumId w:val="123"/>
  </w:num>
  <w:num w:numId="84">
    <w:abstractNumId w:val="169"/>
  </w:num>
  <w:num w:numId="85">
    <w:abstractNumId w:val="78"/>
  </w:num>
  <w:num w:numId="86">
    <w:abstractNumId w:val="213"/>
  </w:num>
  <w:num w:numId="87">
    <w:abstractNumId w:val="130"/>
  </w:num>
  <w:num w:numId="88">
    <w:abstractNumId w:val="67"/>
  </w:num>
  <w:num w:numId="89">
    <w:abstractNumId w:val="64"/>
  </w:num>
  <w:num w:numId="90">
    <w:abstractNumId w:val="147"/>
  </w:num>
  <w:num w:numId="91">
    <w:abstractNumId w:val="124"/>
  </w:num>
  <w:num w:numId="92">
    <w:abstractNumId w:val="112"/>
  </w:num>
  <w:num w:numId="93">
    <w:abstractNumId w:val="27"/>
  </w:num>
  <w:num w:numId="94">
    <w:abstractNumId w:val="53"/>
  </w:num>
  <w:num w:numId="95">
    <w:abstractNumId w:val="6"/>
  </w:num>
  <w:num w:numId="96">
    <w:abstractNumId w:val="54"/>
  </w:num>
  <w:num w:numId="97">
    <w:abstractNumId w:val="3"/>
  </w:num>
  <w:num w:numId="98">
    <w:abstractNumId w:val="162"/>
  </w:num>
  <w:num w:numId="99">
    <w:abstractNumId w:val="60"/>
  </w:num>
  <w:num w:numId="100">
    <w:abstractNumId w:val="156"/>
  </w:num>
  <w:num w:numId="101">
    <w:abstractNumId w:val="43"/>
  </w:num>
  <w:num w:numId="102">
    <w:abstractNumId w:val="133"/>
  </w:num>
  <w:num w:numId="103">
    <w:abstractNumId w:val="68"/>
  </w:num>
  <w:num w:numId="104">
    <w:abstractNumId w:val="99"/>
  </w:num>
  <w:num w:numId="105">
    <w:abstractNumId w:val="5"/>
  </w:num>
  <w:num w:numId="106">
    <w:abstractNumId w:val="16"/>
  </w:num>
  <w:num w:numId="107">
    <w:abstractNumId w:val="198"/>
  </w:num>
  <w:num w:numId="108">
    <w:abstractNumId w:val="40"/>
  </w:num>
  <w:num w:numId="109">
    <w:abstractNumId w:val="159"/>
  </w:num>
  <w:num w:numId="110">
    <w:abstractNumId w:val="171"/>
  </w:num>
  <w:num w:numId="111">
    <w:abstractNumId w:val="146"/>
  </w:num>
  <w:num w:numId="112">
    <w:abstractNumId w:val="206"/>
  </w:num>
  <w:num w:numId="113">
    <w:abstractNumId w:val="212"/>
  </w:num>
  <w:num w:numId="114">
    <w:abstractNumId w:val="70"/>
  </w:num>
  <w:num w:numId="115">
    <w:abstractNumId w:val="35"/>
  </w:num>
  <w:num w:numId="116">
    <w:abstractNumId w:val="4"/>
  </w:num>
  <w:num w:numId="117">
    <w:abstractNumId w:val="97"/>
  </w:num>
  <w:num w:numId="118">
    <w:abstractNumId w:val="120"/>
  </w:num>
  <w:num w:numId="119">
    <w:abstractNumId w:val="22"/>
  </w:num>
  <w:num w:numId="120">
    <w:abstractNumId w:val="157"/>
  </w:num>
  <w:num w:numId="121">
    <w:abstractNumId w:val="139"/>
  </w:num>
  <w:num w:numId="122">
    <w:abstractNumId w:val="131"/>
  </w:num>
  <w:num w:numId="123">
    <w:abstractNumId w:val="36"/>
  </w:num>
  <w:num w:numId="124">
    <w:abstractNumId w:val="202"/>
  </w:num>
  <w:num w:numId="125">
    <w:abstractNumId w:val="63"/>
  </w:num>
  <w:num w:numId="126">
    <w:abstractNumId w:val="109"/>
  </w:num>
  <w:num w:numId="127">
    <w:abstractNumId w:val="163"/>
  </w:num>
  <w:num w:numId="128">
    <w:abstractNumId w:val="20"/>
  </w:num>
  <w:num w:numId="129">
    <w:abstractNumId w:val="100"/>
  </w:num>
  <w:num w:numId="130">
    <w:abstractNumId w:val="107"/>
  </w:num>
  <w:num w:numId="131">
    <w:abstractNumId w:val="73"/>
  </w:num>
  <w:num w:numId="132">
    <w:abstractNumId w:val="152"/>
  </w:num>
  <w:num w:numId="133">
    <w:abstractNumId w:val="200"/>
  </w:num>
  <w:num w:numId="134">
    <w:abstractNumId w:val="11"/>
  </w:num>
  <w:num w:numId="135">
    <w:abstractNumId w:val="47"/>
  </w:num>
  <w:num w:numId="136">
    <w:abstractNumId w:val="17"/>
  </w:num>
  <w:num w:numId="137">
    <w:abstractNumId w:val="0"/>
  </w:num>
  <w:num w:numId="138">
    <w:abstractNumId w:val="149"/>
  </w:num>
  <w:num w:numId="139">
    <w:abstractNumId w:val="192"/>
  </w:num>
  <w:num w:numId="140">
    <w:abstractNumId w:val="117"/>
  </w:num>
  <w:num w:numId="141">
    <w:abstractNumId w:val="182"/>
  </w:num>
  <w:num w:numId="142">
    <w:abstractNumId w:val="15"/>
  </w:num>
  <w:num w:numId="143">
    <w:abstractNumId w:val="209"/>
  </w:num>
  <w:num w:numId="144">
    <w:abstractNumId w:val="204"/>
  </w:num>
  <w:num w:numId="145">
    <w:abstractNumId w:val="216"/>
  </w:num>
  <w:num w:numId="146">
    <w:abstractNumId w:val="142"/>
  </w:num>
  <w:num w:numId="147">
    <w:abstractNumId w:val="215"/>
  </w:num>
  <w:num w:numId="148">
    <w:abstractNumId w:val="69"/>
  </w:num>
  <w:num w:numId="149">
    <w:abstractNumId w:val="39"/>
  </w:num>
  <w:num w:numId="150">
    <w:abstractNumId w:val="121"/>
  </w:num>
  <w:num w:numId="151">
    <w:abstractNumId w:val="154"/>
  </w:num>
  <w:num w:numId="152">
    <w:abstractNumId w:val="136"/>
  </w:num>
  <w:num w:numId="153">
    <w:abstractNumId w:val="23"/>
  </w:num>
  <w:num w:numId="154">
    <w:abstractNumId w:val="106"/>
  </w:num>
  <w:num w:numId="155">
    <w:abstractNumId w:val="59"/>
  </w:num>
  <w:num w:numId="156">
    <w:abstractNumId w:val="66"/>
  </w:num>
  <w:num w:numId="157">
    <w:abstractNumId w:val="135"/>
  </w:num>
  <w:num w:numId="158">
    <w:abstractNumId w:val="26"/>
  </w:num>
  <w:num w:numId="159">
    <w:abstractNumId w:val="65"/>
  </w:num>
  <w:num w:numId="160">
    <w:abstractNumId w:val="77"/>
  </w:num>
  <w:num w:numId="161">
    <w:abstractNumId w:val="28"/>
  </w:num>
  <w:num w:numId="162">
    <w:abstractNumId w:val="48"/>
  </w:num>
  <w:num w:numId="163">
    <w:abstractNumId w:val="199"/>
  </w:num>
  <w:num w:numId="164">
    <w:abstractNumId w:val="125"/>
  </w:num>
  <w:num w:numId="165">
    <w:abstractNumId w:val="168"/>
  </w:num>
  <w:num w:numId="166">
    <w:abstractNumId w:val="84"/>
  </w:num>
  <w:num w:numId="167">
    <w:abstractNumId w:val="161"/>
  </w:num>
  <w:num w:numId="168">
    <w:abstractNumId w:val="74"/>
  </w:num>
  <w:num w:numId="169">
    <w:abstractNumId w:val="101"/>
  </w:num>
  <w:num w:numId="17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2"/>
  </w:num>
  <w:num w:numId="17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43"/>
  </w:num>
  <w:num w:numId="177">
    <w:abstractNumId w:val="126"/>
  </w:num>
  <w:num w:numId="178">
    <w:abstractNumId w:val="81"/>
  </w:num>
  <w:num w:numId="179">
    <w:abstractNumId w:val="158"/>
  </w:num>
  <w:num w:numId="180">
    <w:abstractNumId w:val="160"/>
  </w:num>
  <w:num w:numId="181">
    <w:abstractNumId w:val="114"/>
  </w:num>
  <w:num w:numId="182">
    <w:abstractNumId w:val="29"/>
  </w:num>
  <w:num w:numId="183">
    <w:abstractNumId w:val="113"/>
  </w:num>
  <w:num w:numId="184">
    <w:abstractNumId w:val="134"/>
  </w:num>
  <w:num w:numId="185">
    <w:abstractNumId w:val="76"/>
  </w:num>
  <w:num w:numId="186">
    <w:abstractNumId w:val="210"/>
  </w:num>
  <w:num w:numId="187">
    <w:abstractNumId w:val="197"/>
  </w:num>
  <w:num w:numId="188">
    <w:abstractNumId w:val="90"/>
  </w:num>
  <w:num w:numId="189">
    <w:abstractNumId w:val="181"/>
  </w:num>
  <w:num w:numId="190">
    <w:abstractNumId w:val="207"/>
  </w:num>
  <w:num w:numId="191">
    <w:abstractNumId w:val="170"/>
  </w:num>
  <w:num w:numId="192">
    <w:abstractNumId w:val="34"/>
  </w:num>
  <w:num w:numId="193">
    <w:abstractNumId w:val="165"/>
  </w:num>
  <w:num w:numId="194">
    <w:abstractNumId w:val="153"/>
  </w:num>
  <w:num w:numId="195">
    <w:abstractNumId w:val="177"/>
  </w:num>
  <w:num w:numId="196">
    <w:abstractNumId w:val="172"/>
  </w:num>
  <w:num w:numId="197">
    <w:abstractNumId w:val="173"/>
  </w:num>
  <w:num w:numId="198">
    <w:abstractNumId w:val="62"/>
  </w:num>
  <w:num w:numId="199">
    <w:abstractNumId w:val="103"/>
  </w:num>
  <w:num w:numId="200">
    <w:abstractNumId w:val="9"/>
  </w:num>
  <w:num w:numId="201">
    <w:abstractNumId w:val="189"/>
  </w:num>
  <w:num w:numId="202">
    <w:abstractNumId w:val="30"/>
  </w:num>
  <w:num w:numId="203">
    <w:abstractNumId w:val="13"/>
  </w:num>
  <w:num w:numId="204">
    <w:abstractNumId w:val="93"/>
  </w:num>
  <w:num w:numId="205">
    <w:abstractNumId w:val="148"/>
  </w:num>
  <w:num w:numId="206">
    <w:abstractNumId w:val="185"/>
  </w:num>
  <w:num w:numId="207">
    <w:abstractNumId w:val="111"/>
  </w:num>
  <w:num w:numId="208">
    <w:abstractNumId w:val="108"/>
  </w:num>
  <w:num w:numId="209">
    <w:abstractNumId w:val="86"/>
  </w:num>
  <w:num w:numId="210">
    <w:abstractNumId w:val="46"/>
  </w:num>
  <w:num w:numId="211">
    <w:abstractNumId w:val="183"/>
  </w:num>
  <w:num w:numId="212">
    <w:abstractNumId w:val="89"/>
  </w:num>
  <w:num w:numId="213">
    <w:abstractNumId w:val="140"/>
  </w:num>
  <w:num w:numId="214">
    <w:abstractNumId w:val="61"/>
  </w:num>
  <w:num w:numId="215">
    <w:abstractNumId w:val="95"/>
  </w:num>
  <w:num w:numId="216">
    <w:abstractNumId w:val="24"/>
  </w:num>
  <w:num w:numId="217">
    <w:abstractNumId w:val="8"/>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F03"/>
    <w:rsid w:val="00001CA3"/>
    <w:rsid w:val="000418AE"/>
    <w:rsid w:val="00047DA0"/>
    <w:rsid w:val="00067511"/>
    <w:rsid w:val="00067DE4"/>
    <w:rsid w:val="000718B8"/>
    <w:rsid w:val="0008474F"/>
    <w:rsid w:val="00091074"/>
    <w:rsid w:val="0009182E"/>
    <w:rsid w:val="00091EF4"/>
    <w:rsid w:val="000A1AE7"/>
    <w:rsid w:val="000A4588"/>
    <w:rsid w:val="000B73AA"/>
    <w:rsid w:val="000C1DEC"/>
    <w:rsid w:val="000E5EE3"/>
    <w:rsid w:val="00102E95"/>
    <w:rsid w:val="00113E4B"/>
    <w:rsid w:val="0012332C"/>
    <w:rsid w:val="00132CFA"/>
    <w:rsid w:val="00134FF2"/>
    <w:rsid w:val="00140159"/>
    <w:rsid w:val="00147963"/>
    <w:rsid w:val="00155C19"/>
    <w:rsid w:val="00157648"/>
    <w:rsid w:val="0016337C"/>
    <w:rsid w:val="00183F81"/>
    <w:rsid w:val="00186095"/>
    <w:rsid w:val="00190089"/>
    <w:rsid w:val="00192E54"/>
    <w:rsid w:val="001A18BA"/>
    <w:rsid w:val="001B25B5"/>
    <w:rsid w:val="001B43BE"/>
    <w:rsid w:val="001C665C"/>
    <w:rsid w:val="001E01AE"/>
    <w:rsid w:val="001F193B"/>
    <w:rsid w:val="00201D11"/>
    <w:rsid w:val="002026B0"/>
    <w:rsid w:val="00213F2B"/>
    <w:rsid w:val="002354C3"/>
    <w:rsid w:val="00251A00"/>
    <w:rsid w:val="00275F62"/>
    <w:rsid w:val="00276D61"/>
    <w:rsid w:val="00281672"/>
    <w:rsid w:val="002B52C2"/>
    <w:rsid w:val="002C1808"/>
    <w:rsid w:val="002C6016"/>
    <w:rsid w:val="002C72B0"/>
    <w:rsid w:val="00307A6B"/>
    <w:rsid w:val="00341041"/>
    <w:rsid w:val="00343AB4"/>
    <w:rsid w:val="00356067"/>
    <w:rsid w:val="0035781A"/>
    <w:rsid w:val="003A269C"/>
    <w:rsid w:val="003A4EC6"/>
    <w:rsid w:val="003A5515"/>
    <w:rsid w:val="003B0F6F"/>
    <w:rsid w:val="003C39F2"/>
    <w:rsid w:val="003D45F7"/>
    <w:rsid w:val="003E61A1"/>
    <w:rsid w:val="003F2ADC"/>
    <w:rsid w:val="0041570C"/>
    <w:rsid w:val="00415726"/>
    <w:rsid w:val="004214C1"/>
    <w:rsid w:val="00450639"/>
    <w:rsid w:val="00467BB4"/>
    <w:rsid w:val="004A3F62"/>
    <w:rsid w:val="004A6E2C"/>
    <w:rsid w:val="004A75BD"/>
    <w:rsid w:val="004D1CC3"/>
    <w:rsid w:val="004E19BF"/>
    <w:rsid w:val="004F45F7"/>
    <w:rsid w:val="00512E79"/>
    <w:rsid w:val="0052002E"/>
    <w:rsid w:val="005241FC"/>
    <w:rsid w:val="005366E1"/>
    <w:rsid w:val="00545682"/>
    <w:rsid w:val="00556A73"/>
    <w:rsid w:val="00566245"/>
    <w:rsid w:val="00567960"/>
    <w:rsid w:val="005817CB"/>
    <w:rsid w:val="00595C27"/>
    <w:rsid w:val="005974FF"/>
    <w:rsid w:val="005D4AFE"/>
    <w:rsid w:val="005D5E97"/>
    <w:rsid w:val="005F05EE"/>
    <w:rsid w:val="00610E01"/>
    <w:rsid w:val="0061437F"/>
    <w:rsid w:val="00622265"/>
    <w:rsid w:val="006375E9"/>
    <w:rsid w:val="006562FE"/>
    <w:rsid w:val="006733F0"/>
    <w:rsid w:val="00692A56"/>
    <w:rsid w:val="006A391B"/>
    <w:rsid w:val="006B52E8"/>
    <w:rsid w:val="006B744F"/>
    <w:rsid w:val="006C5D51"/>
    <w:rsid w:val="006E0BF8"/>
    <w:rsid w:val="006E30AC"/>
    <w:rsid w:val="00715537"/>
    <w:rsid w:val="007318EF"/>
    <w:rsid w:val="0073218A"/>
    <w:rsid w:val="0073608C"/>
    <w:rsid w:val="00742F93"/>
    <w:rsid w:val="0077151D"/>
    <w:rsid w:val="007A45F6"/>
    <w:rsid w:val="007A7201"/>
    <w:rsid w:val="007B0CD8"/>
    <w:rsid w:val="00815199"/>
    <w:rsid w:val="00841408"/>
    <w:rsid w:val="00850D33"/>
    <w:rsid w:val="00855FD8"/>
    <w:rsid w:val="00857AD8"/>
    <w:rsid w:val="008C1613"/>
    <w:rsid w:val="008F5AD4"/>
    <w:rsid w:val="0090196B"/>
    <w:rsid w:val="00910BEC"/>
    <w:rsid w:val="0092605B"/>
    <w:rsid w:val="00926335"/>
    <w:rsid w:val="009348E0"/>
    <w:rsid w:val="00941411"/>
    <w:rsid w:val="00945524"/>
    <w:rsid w:val="00977DB2"/>
    <w:rsid w:val="009900A2"/>
    <w:rsid w:val="009D39DF"/>
    <w:rsid w:val="009F26D2"/>
    <w:rsid w:val="00A10C9C"/>
    <w:rsid w:val="00A11CE5"/>
    <w:rsid w:val="00A3434F"/>
    <w:rsid w:val="00A44EB3"/>
    <w:rsid w:val="00A6778F"/>
    <w:rsid w:val="00A80F55"/>
    <w:rsid w:val="00A815DD"/>
    <w:rsid w:val="00A912D5"/>
    <w:rsid w:val="00A96ECC"/>
    <w:rsid w:val="00AA4939"/>
    <w:rsid w:val="00AF12BE"/>
    <w:rsid w:val="00AF69B3"/>
    <w:rsid w:val="00B03CEC"/>
    <w:rsid w:val="00B14D90"/>
    <w:rsid w:val="00B62CFA"/>
    <w:rsid w:val="00B72D82"/>
    <w:rsid w:val="00BE367C"/>
    <w:rsid w:val="00BE424E"/>
    <w:rsid w:val="00BF001E"/>
    <w:rsid w:val="00BF256E"/>
    <w:rsid w:val="00C06F03"/>
    <w:rsid w:val="00C206C8"/>
    <w:rsid w:val="00C40461"/>
    <w:rsid w:val="00C420E7"/>
    <w:rsid w:val="00C538A0"/>
    <w:rsid w:val="00C751F5"/>
    <w:rsid w:val="00C760F6"/>
    <w:rsid w:val="00C775F3"/>
    <w:rsid w:val="00C90769"/>
    <w:rsid w:val="00CA1FC5"/>
    <w:rsid w:val="00CF0AD2"/>
    <w:rsid w:val="00CF1202"/>
    <w:rsid w:val="00CF6DB2"/>
    <w:rsid w:val="00D36769"/>
    <w:rsid w:val="00D4678F"/>
    <w:rsid w:val="00D56429"/>
    <w:rsid w:val="00D7766C"/>
    <w:rsid w:val="00D7773A"/>
    <w:rsid w:val="00D85310"/>
    <w:rsid w:val="00D922D9"/>
    <w:rsid w:val="00DA55F0"/>
    <w:rsid w:val="00DB40CC"/>
    <w:rsid w:val="00DD4660"/>
    <w:rsid w:val="00E04AD4"/>
    <w:rsid w:val="00E23641"/>
    <w:rsid w:val="00E24503"/>
    <w:rsid w:val="00E30DD7"/>
    <w:rsid w:val="00E45708"/>
    <w:rsid w:val="00E55F64"/>
    <w:rsid w:val="00E63D01"/>
    <w:rsid w:val="00E7589F"/>
    <w:rsid w:val="00E76426"/>
    <w:rsid w:val="00E86A22"/>
    <w:rsid w:val="00EA3742"/>
    <w:rsid w:val="00EC08B4"/>
    <w:rsid w:val="00EE578D"/>
    <w:rsid w:val="00F14D4F"/>
    <w:rsid w:val="00F25650"/>
    <w:rsid w:val="00F25917"/>
    <w:rsid w:val="00F40F2C"/>
    <w:rsid w:val="00F716E9"/>
    <w:rsid w:val="00F7193D"/>
    <w:rsid w:val="00F81B20"/>
    <w:rsid w:val="00F90BB6"/>
    <w:rsid w:val="00F90F1C"/>
    <w:rsid w:val="00F92A21"/>
    <w:rsid w:val="00F934B4"/>
    <w:rsid w:val="00F95116"/>
    <w:rsid w:val="00FA2789"/>
    <w:rsid w:val="00FA6E21"/>
    <w:rsid w:val="00FB13A2"/>
    <w:rsid w:val="00FC2A3D"/>
    <w:rsid w:val="00FC39C3"/>
    <w:rsid w:val="00FD1FAB"/>
    <w:rsid w:val="00FE727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A63B6"/>
  <w15:chartTrackingRefBased/>
  <w15:docId w15:val="{FEF5849A-3880-4782-822E-B9965DCB0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4" w:uiPriority="44"/>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F03"/>
    <w:pPr>
      <w:spacing w:after="0" w:line="240" w:lineRule="auto"/>
    </w:pPr>
    <w:rPr>
      <w:sz w:val="24"/>
      <w:szCs w:val="24"/>
    </w:rPr>
  </w:style>
  <w:style w:type="paragraph" w:styleId="Ttulo1">
    <w:name w:val="heading 1"/>
    <w:basedOn w:val="Normal"/>
    <w:next w:val="Normal"/>
    <w:link w:val="Ttulo1Car"/>
    <w:uiPriority w:val="9"/>
    <w:qFormat/>
    <w:rsid w:val="00C06F0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06F0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C06F03"/>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C06F03"/>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C06F03"/>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C06F03"/>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102E95"/>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ar"/>
    <w:uiPriority w:val="9"/>
    <w:unhideWhenUsed/>
    <w:qFormat/>
    <w:rsid w:val="00C06F0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102E95"/>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06F0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06F0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C06F03"/>
    <w:rPr>
      <w:rFonts w:asciiTheme="majorHAnsi" w:eastAsiaTheme="majorEastAsia" w:hAnsiTheme="majorHAnsi" w:cstheme="majorBidi"/>
      <w:color w:val="1F3763" w:themeColor="accent1" w:themeShade="7F"/>
      <w:sz w:val="24"/>
      <w:szCs w:val="24"/>
    </w:rPr>
  </w:style>
  <w:style w:type="paragraph" w:styleId="Sinespaciado">
    <w:name w:val="No Spacing"/>
    <w:aliases w:val="LUIGI"/>
    <w:link w:val="SinespaciadoCar"/>
    <w:uiPriority w:val="1"/>
    <w:qFormat/>
    <w:rsid w:val="00C06F03"/>
    <w:pPr>
      <w:spacing w:after="0" w:line="240" w:lineRule="auto"/>
    </w:pPr>
    <w:rPr>
      <w:rFonts w:eastAsiaTheme="minorEastAsia"/>
      <w:lang w:eastAsia="es-EC"/>
    </w:rPr>
  </w:style>
  <w:style w:type="character" w:customStyle="1" w:styleId="SinespaciadoCar">
    <w:name w:val="Sin espaciado Car"/>
    <w:aliases w:val="LUIGI Car"/>
    <w:basedOn w:val="Fuentedeprrafopredeter"/>
    <w:link w:val="Sinespaciado"/>
    <w:uiPriority w:val="1"/>
    <w:rsid w:val="00C06F03"/>
    <w:rPr>
      <w:rFonts w:eastAsiaTheme="minorEastAsia"/>
      <w:lang w:eastAsia="es-EC"/>
    </w:rPr>
  </w:style>
  <w:style w:type="paragraph" w:styleId="Prrafodelista">
    <w:name w:val="List Paragraph"/>
    <w:aliases w:val="TIT 2 IND,Titulo parrafo,Lista vistosa - Énfasis 11,List inteligentarium,Capítulo,Texto,Titulo 1,List Paragraph1,Indice,Listados numerados,List Paragraph,Párrafo de lista1,MPE4,Párrafo_Título,titulo 5,Dot pt,No Spacing1,Bullet ,Bullet 1"/>
    <w:basedOn w:val="Normal"/>
    <w:link w:val="PrrafodelistaCar"/>
    <w:uiPriority w:val="1"/>
    <w:qFormat/>
    <w:rsid w:val="00C06F03"/>
    <w:pPr>
      <w:ind w:left="720"/>
      <w:contextualSpacing/>
    </w:pPr>
  </w:style>
  <w:style w:type="paragraph" w:styleId="TtuloTDC">
    <w:name w:val="TOC Heading"/>
    <w:basedOn w:val="Ttulo1"/>
    <w:next w:val="Normal"/>
    <w:uiPriority w:val="39"/>
    <w:unhideWhenUsed/>
    <w:qFormat/>
    <w:rsid w:val="00C06F03"/>
    <w:pPr>
      <w:spacing w:line="259" w:lineRule="auto"/>
      <w:outlineLvl w:val="9"/>
    </w:pPr>
    <w:rPr>
      <w:lang w:eastAsia="es-EC"/>
    </w:rPr>
  </w:style>
  <w:style w:type="paragraph" w:styleId="TDC1">
    <w:name w:val="toc 1"/>
    <w:aliases w:val="Índice de Tablas"/>
    <w:basedOn w:val="Normal"/>
    <w:next w:val="Normal"/>
    <w:autoRedefine/>
    <w:uiPriority w:val="39"/>
    <w:unhideWhenUsed/>
    <w:rsid w:val="00C06F03"/>
    <w:pPr>
      <w:spacing w:after="100"/>
    </w:pPr>
  </w:style>
  <w:style w:type="paragraph" w:styleId="TDC2">
    <w:name w:val="toc 2"/>
    <w:basedOn w:val="Normal"/>
    <w:next w:val="Normal"/>
    <w:autoRedefine/>
    <w:uiPriority w:val="39"/>
    <w:unhideWhenUsed/>
    <w:rsid w:val="00512E79"/>
    <w:pPr>
      <w:tabs>
        <w:tab w:val="right" w:leader="dot" w:pos="8494"/>
      </w:tabs>
      <w:spacing w:after="100"/>
      <w:ind w:left="240"/>
    </w:pPr>
    <w:rPr>
      <w:rFonts w:ascii="Calibri Light" w:hAnsi="Calibri Light" w:cs="Calibri Light"/>
      <w:b/>
      <w:noProof/>
      <w:sz w:val="22"/>
      <w:szCs w:val="22"/>
      <w:lang w:val="es-ES" w:eastAsia="es-EC"/>
    </w:rPr>
  </w:style>
  <w:style w:type="paragraph" w:styleId="TDC3">
    <w:name w:val="toc 3"/>
    <w:basedOn w:val="Normal"/>
    <w:next w:val="Normal"/>
    <w:autoRedefine/>
    <w:uiPriority w:val="39"/>
    <w:unhideWhenUsed/>
    <w:rsid w:val="00C06F03"/>
    <w:pPr>
      <w:spacing w:after="100"/>
      <w:ind w:left="480"/>
    </w:pPr>
  </w:style>
  <w:style w:type="character" w:styleId="Hipervnculo">
    <w:name w:val="Hyperlink"/>
    <w:basedOn w:val="Fuentedeprrafopredeter"/>
    <w:uiPriority w:val="99"/>
    <w:unhideWhenUsed/>
    <w:rsid w:val="00C06F03"/>
    <w:rPr>
      <w:color w:val="0563C1" w:themeColor="hyperlink"/>
      <w:u w:val="single"/>
    </w:rPr>
  </w:style>
  <w:style w:type="paragraph" w:styleId="Lista">
    <w:name w:val="List"/>
    <w:basedOn w:val="Normal"/>
    <w:uiPriority w:val="99"/>
    <w:unhideWhenUsed/>
    <w:rsid w:val="00C06F03"/>
    <w:pPr>
      <w:ind w:left="283" w:hanging="283"/>
      <w:contextualSpacing/>
    </w:pPr>
  </w:style>
  <w:style w:type="paragraph" w:styleId="Textoindependiente">
    <w:name w:val="Body Text"/>
    <w:basedOn w:val="Normal"/>
    <w:link w:val="TextoindependienteCar"/>
    <w:uiPriority w:val="1"/>
    <w:unhideWhenUsed/>
    <w:qFormat/>
    <w:rsid w:val="00C06F03"/>
    <w:pPr>
      <w:spacing w:after="120"/>
    </w:pPr>
  </w:style>
  <w:style w:type="character" w:customStyle="1" w:styleId="TextoindependienteCar">
    <w:name w:val="Texto independiente Car"/>
    <w:basedOn w:val="Fuentedeprrafopredeter"/>
    <w:link w:val="Textoindependiente"/>
    <w:uiPriority w:val="1"/>
    <w:rsid w:val="00C06F03"/>
    <w:rPr>
      <w:sz w:val="24"/>
      <w:szCs w:val="24"/>
    </w:rPr>
  </w:style>
  <w:style w:type="paragraph" w:styleId="Descripcin">
    <w:name w:val="caption"/>
    <w:aliases w:val="indices,Car,TOC Heading,Epígrafe, Car, Char1,Char1"/>
    <w:basedOn w:val="Normal"/>
    <w:next w:val="Normal"/>
    <w:link w:val="DescripcinCar"/>
    <w:uiPriority w:val="35"/>
    <w:unhideWhenUsed/>
    <w:qFormat/>
    <w:rsid w:val="00C06F03"/>
    <w:pPr>
      <w:keepNext/>
      <w:jc w:val="center"/>
    </w:pPr>
    <w:rPr>
      <w:i/>
      <w:iCs/>
      <w:color w:val="44546A" w:themeColor="text2"/>
      <w:sz w:val="18"/>
      <w:szCs w:val="18"/>
    </w:rPr>
  </w:style>
  <w:style w:type="paragraph" w:styleId="Textonotapie">
    <w:name w:val="footnote text"/>
    <w:basedOn w:val="Normal"/>
    <w:link w:val="TextonotapieCar"/>
    <w:uiPriority w:val="99"/>
    <w:semiHidden/>
    <w:unhideWhenUsed/>
    <w:rsid w:val="00C06F03"/>
    <w:rPr>
      <w:sz w:val="20"/>
      <w:szCs w:val="20"/>
    </w:rPr>
  </w:style>
  <w:style w:type="character" w:customStyle="1" w:styleId="TextonotapieCar">
    <w:name w:val="Texto nota pie Car"/>
    <w:basedOn w:val="Fuentedeprrafopredeter"/>
    <w:link w:val="Textonotapie"/>
    <w:uiPriority w:val="99"/>
    <w:rsid w:val="00C06F03"/>
    <w:rPr>
      <w:sz w:val="20"/>
      <w:szCs w:val="20"/>
    </w:rPr>
  </w:style>
  <w:style w:type="character" w:styleId="Refdenotaalpie">
    <w:name w:val="footnote reference"/>
    <w:basedOn w:val="Fuentedeprrafopredeter"/>
    <w:uiPriority w:val="99"/>
    <w:unhideWhenUsed/>
    <w:rsid w:val="00C06F03"/>
    <w:rPr>
      <w:vertAlign w:val="superscript"/>
    </w:rPr>
  </w:style>
  <w:style w:type="character" w:customStyle="1" w:styleId="Ttulo4Car">
    <w:name w:val="Título 4 Car"/>
    <w:basedOn w:val="Fuentedeprrafopredeter"/>
    <w:link w:val="Ttulo4"/>
    <w:uiPriority w:val="9"/>
    <w:rsid w:val="00C06F03"/>
    <w:rPr>
      <w:rFonts w:asciiTheme="majorHAnsi" w:eastAsiaTheme="majorEastAsia" w:hAnsiTheme="majorHAnsi" w:cstheme="majorBidi"/>
      <w:i/>
      <w:iCs/>
      <w:color w:val="2F5496" w:themeColor="accent1" w:themeShade="BF"/>
      <w:sz w:val="24"/>
      <w:szCs w:val="24"/>
    </w:rPr>
  </w:style>
  <w:style w:type="character" w:customStyle="1" w:styleId="Ttulo8Car">
    <w:name w:val="Título 8 Car"/>
    <w:basedOn w:val="Fuentedeprrafopredeter"/>
    <w:link w:val="Ttulo8"/>
    <w:uiPriority w:val="9"/>
    <w:rsid w:val="00C06F03"/>
    <w:rPr>
      <w:rFonts w:asciiTheme="majorHAnsi" w:eastAsiaTheme="majorEastAsia" w:hAnsiTheme="majorHAnsi" w:cstheme="majorBidi"/>
      <w:color w:val="272727" w:themeColor="text1" w:themeTint="D8"/>
      <w:sz w:val="21"/>
      <w:szCs w:val="21"/>
    </w:rPr>
  </w:style>
  <w:style w:type="character" w:customStyle="1" w:styleId="Ttulo5Car">
    <w:name w:val="Título 5 Car"/>
    <w:basedOn w:val="Fuentedeprrafopredeter"/>
    <w:link w:val="Ttulo5"/>
    <w:uiPriority w:val="9"/>
    <w:rsid w:val="00C06F03"/>
    <w:rPr>
      <w:rFonts w:asciiTheme="majorHAnsi" w:eastAsiaTheme="majorEastAsia" w:hAnsiTheme="majorHAnsi" w:cstheme="majorBidi"/>
      <w:color w:val="2F5496" w:themeColor="accent1" w:themeShade="BF"/>
      <w:sz w:val="24"/>
      <w:szCs w:val="24"/>
    </w:rPr>
  </w:style>
  <w:style w:type="character" w:customStyle="1" w:styleId="Ttulo6Car">
    <w:name w:val="Título 6 Car"/>
    <w:basedOn w:val="Fuentedeprrafopredeter"/>
    <w:link w:val="Ttulo6"/>
    <w:uiPriority w:val="9"/>
    <w:rsid w:val="00C06F03"/>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90196B"/>
    <w:pPr>
      <w:widowControl w:val="0"/>
      <w:autoSpaceDE w:val="0"/>
      <w:autoSpaceDN w:val="0"/>
    </w:pPr>
    <w:rPr>
      <w:rFonts w:ascii="Verdana" w:eastAsia="Verdana" w:hAnsi="Verdana" w:cs="Verdana"/>
      <w:sz w:val="22"/>
      <w:szCs w:val="22"/>
      <w:lang w:val="es-ES"/>
    </w:rPr>
  </w:style>
  <w:style w:type="character" w:styleId="Refdecomentario">
    <w:name w:val="annotation reference"/>
    <w:basedOn w:val="Fuentedeprrafopredeter"/>
    <w:uiPriority w:val="99"/>
    <w:semiHidden/>
    <w:unhideWhenUsed/>
    <w:rsid w:val="0090196B"/>
    <w:rPr>
      <w:sz w:val="16"/>
      <w:szCs w:val="16"/>
    </w:rPr>
  </w:style>
  <w:style w:type="paragraph" w:styleId="Textocomentario">
    <w:name w:val="annotation text"/>
    <w:basedOn w:val="Normal"/>
    <w:link w:val="TextocomentarioCar"/>
    <w:uiPriority w:val="99"/>
    <w:unhideWhenUsed/>
    <w:rsid w:val="0090196B"/>
    <w:rPr>
      <w:sz w:val="20"/>
      <w:szCs w:val="20"/>
    </w:rPr>
  </w:style>
  <w:style w:type="character" w:customStyle="1" w:styleId="TextocomentarioCar">
    <w:name w:val="Texto comentario Car"/>
    <w:basedOn w:val="Fuentedeprrafopredeter"/>
    <w:link w:val="Textocomentario"/>
    <w:uiPriority w:val="99"/>
    <w:rsid w:val="0090196B"/>
    <w:rPr>
      <w:sz w:val="20"/>
      <w:szCs w:val="20"/>
    </w:rPr>
  </w:style>
  <w:style w:type="paragraph" w:styleId="Textodeglobo">
    <w:name w:val="Balloon Text"/>
    <w:basedOn w:val="Normal"/>
    <w:link w:val="TextodegloboCar"/>
    <w:uiPriority w:val="99"/>
    <w:semiHidden/>
    <w:unhideWhenUsed/>
    <w:rsid w:val="0090196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196B"/>
    <w:rPr>
      <w:rFonts w:ascii="Segoe UI" w:hAnsi="Segoe UI" w:cs="Segoe UI"/>
      <w:sz w:val="18"/>
      <w:szCs w:val="18"/>
    </w:rPr>
  </w:style>
  <w:style w:type="table" w:styleId="Tablaconcuadrcula2-nfasis1">
    <w:name w:val="Grid Table 2 Accent 1"/>
    <w:basedOn w:val="Tablanormal"/>
    <w:uiPriority w:val="47"/>
    <w:rsid w:val="00E4570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1">
    <w:name w:val="Grid Table 4 Accent 1"/>
    <w:basedOn w:val="Tablanormal"/>
    <w:uiPriority w:val="49"/>
    <w:rsid w:val="00C775F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suntodelcomentario">
    <w:name w:val="annotation subject"/>
    <w:basedOn w:val="Textocomentario"/>
    <w:next w:val="Textocomentario"/>
    <w:link w:val="AsuntodelcomentarioCar"/>
    <w:uiPriority w:val="99"/>
    <w:semiHidden/>
    <w:unhideWhenUsed/>
    <w:rsid w:val="00C775F3"/>
    <w:rPr>
      <w:b/>
      <w:bCs/>
    </w:rPr>
  </w:style>
  <w:style w:type="character" w:customStyle="1" w:styleId="AsuntodelcomentarioCar">
    <w:name w:val="Asunto del comentario Car"/>
    <w:basedOn w:val="TextocomentarioCar"/>
    <w:link w:val="Asuntodelcomentario"/>
    <w:uiPriority w:val="99"/>
    <w:semiHidden/>
    <w:rsid w:val="00C775F3"/>
    <w:rPr>
      <w:b/>
      <w:bCs/>
      <w:sz w:val="20"/>
      <w:szCs w:val="20"/>
    </w:rPr>
  </w:style>
  <w:style w:type="character" w:customStyle="1" w:styleId="PrrafodelistaCar">
    <w:name w:val="Párrafo de lista Car"/>
    <w:aliases w:val="TIT 2 IND Car,Titulo parrafo Car,Lista vistosa - Énfasis 11 Car,List inteligentarium Car,Capítulo Car,Texto Car,Titulo 1 Car,List Paragraph1 Car,Indice Car,Listados numerados Car,List Paragraph Car,Párrafo de lista1 Car,MPE4 Car"/>
    <w:link w:val="Prrafodelista"/>
    <w:uiPriority w:val="1"/>
    <w:qFormat/>
    <w:rsid w:val="00251A00"/>
    <w:rPr>
      <w:sz w:val="24"/>
      <w:szCs w:val="24"/>
    </w:rPr>
  </w:style>
  <w:style w:type="character" w:customStyle="1" w:styleId="DescripcinCar">
    <w:name w:val="Descripción Car"/>
    <w:aliases w:val="indices Car,Car Car,TOC Heading Car,Epígrafe Car, Car Car, Char1 Car,Char1 Car"/>
    <w:link w:val="Descripcin"/>
    <w:uiPriority w:val="35"/>
    <w:locked/>
    <w:rsid w:val="00251A00"/>
    <w:rPr>
      <w:i/>
      <w:iCs/>
      <w:color w:val="44546A" w:themeColor="text2"/>
      <w:sz w:val="18"/>
      <w:szCs w:val="18"/>
    </w:rPr>
  </w:style>
  <w:style w:type="paragraph" w:customStyle="1" w:styleId="Default">
    <w:name w:val="Default"/>
    <w:basedOn w:val="Normal"/>
    <w:rsid w:val="00251A00"/>
    <w:pPr>
      <w:autoSpaceDE w:val="0"/>
      <w:autoSpaceDN w:val="0"/>
    </w:pPr>
    <w:rPr>
      <w:rFonts w:ascii="Arial" w:eastAsia="Calibri" w:hAnsi="Arial" w:cs="Arial"/>
      <w:color w:val="000000"/>
      <w:lang w:eastAsia="es-EC"/>
    </w:rPr>
  </w:style>
  <w:style w:type="paragraph" w:customStyle="1" w:styleId="Tablas">
    <w:name w:val="Tablas"/>
    <w:basedOn w:val="Descripcin"/>
    <w:link w:val="TablasCar"/>
    <w:qFormat/>
    <w:rsid w:val="00251A00"/>
    <w:pPr>
      <w:keepNext w:val="0"/>
      <w:spacing w:after="200"/>
    </w:pPr>
    <w:rPr>
      <w:rFonts w:ascii="Calibri" w:eastAsia="Calibri" w:hAnsi="Calibri" w:cs="Times New Roman"/>
      <w:color w:val="44546A"/>
    </w:rPr>
  </w:style>
  <w:style w:type="character" w:customStyle="1" w:styleId="TablasCar">
    <w:name w:val="Tablas Car"/>
    <w:link w:val="Tablas"/>
    <w:rsid w:val="00251A00"/>
    <w:rPr>
      <w:rFonts w:ascii="Calibri" w:eastAsia="Calibri" w:hAnsi="Calibri" w:cs="Times New Roman"/>
      <w:i/>
      <w:iCs/>
      <w:color w:val="44546A"/>
      <w:sz w:val="18"/>
      <w:szCs w:val="18"/>
    </w:rPr>
  </w:style>
  <w:style w:type="character" w:customStyle="1" w:styleId="Ttulo7Car">
    <w:name w:val="Título 7 Car"/>
    <w:basedOn w:val="Fuentedeprrafopredeter"/>
    <w:link w:val="Ttulo7"/>
    <w:uiPriority w:val="9"/>
    <w:rsid w:val="00102E95"/>
    <w:rPr>
      <w:rFonts w:ascii="Arial" w:eastAsia="Arial" w:hAnsi="Arial" w:cs="Arial"/>
      <w:b/>
      <w:bCs/>
      <w:i/>
      <w:iCs/>
    </w:rPr>
  </w:style>
  <w:style w:type="character" w:customStyle="1" w:styleId="Ttulo9Car">
    <w:name w:val="Título 9 Car"/>
    <w:basedOn w:val="Fuentedeprrafopredeter"/>
    <w:link w:val="Ttulo9"/>
    <w:uiPriority w:val="9"/>
    <w:rsid w:val="00102E95"/>
    <w:rPr>
      <w:rFonts w:ascii="Arial" w:eastAsia="Arial" w:hAnsi="Arial" w:cs="Arial"/>
      <w:i/>
      <w:iCs/>
      <w:sz w:val="21"/>
      <w:szCs w:val="21"/>
    </w:rPr>
  </w:style>
  <w:style w:type="paragraph" w:styleId="Encabezado">
    <w:name w:val="header"/>
    <w:basedOn w:val="Normal"/>
    <w:link w:val="EncabezadoCar"/>
    <w:uiPriority w:val="99"/>
    <w:unhideWhenUsed/>
    <w:rsid w:val="00102E95"/>
    <w:pPr>
      <w:tabs>
        <w:tab w:val="center" w:pos="4252"/>
        <w:tab w:val="right" w:pos="8504"/>
      </w:tabs>
    </w:pPr>
    <w:rPr>
      <w:rFonts w:ascii="Calibri" w:eastAsia="Calibri" w:hAnsi="Calibri" w:cs="Times New Roman"/>
    </w:rPr>
  </w:style>
  <w:style w:type="character" w:customStyle="1" w:styleId="EncabezadoCar">
    <w:name w:val="Encabezado Car"/>
    <w:basedOn w:val="Fuentedeprrafopredeter"/>
    <w:link w:val="Encabezado"/>
    <w:uiPriority w:val="99"/>
    <w:rsid w:val="00102E95"/>
    <w:rPr>
      <w:rFonts w:ascii="Calibri" w:eastAsia="Calibri" w:hAnsi="Calibri" w:cs="Times New Roman"/>
      <w:sz w:val="24"/>
      <w:szCs w:val="24"/>
    </w:rPr>
  </w:style>
  <w:style w:type="paragraph" w:styleId="Piedepgina">
    <w:name w:val="footer"/>
    <w:basedOn w:val="Normal"/>
    <w:link w:val="PiedepginaCar"/>
    <w:uiPriority w:val="99"/>
    <w:unhideWhenUsed/>
    <w:rsid w:val="00102E95"/>
    <w:pPr>
      <w:tabs>
        <w:tab w:val="center" w:pos="4252"/>
        <w:tab w:val="right" w:pos="8504"/>
      </w:tabs>
    </w:pPr>
    <w:rPr>
      <w:rFonts w:ascii="Calibri" w:eastAsia="Calibri" w:hAnsi="Calibri" w:cs="Times New Roman"/>
    </w:rPr>
  </w:style>
  <w:style w:type="character" w:customStyle="1" w:styleId="PiedepginaCar">
    <w:name w:val="Pie de página Car"/>
    <w:basedOn w:val="Fuentedeprrafopredeter"/>
    <w:link w:val="Piedepgina"/>
    <w:uiPriority w:val="99"/>
    <w:rsid w:val="00102E95"/>
    <w:rPr>
      <w:rFonts w:ascii="Calibri" w:eastAsia="Calibri" w:hAnsi="Calibri" w:cs="Times New Roman"/>
      <w:sz w:val="24"/>
      <w:szCs w:val="24"/>
    </w:rPr>
  </w:style>
  <w:style w:type="paragraph" w:styleId="NormalWeb">
    <w:name w:val="Normal (Web)"/>
    <w:basedOn w:val="Normal"/>
    <w:uiPriority w:val="99"/>
    <w:unhideWhenUsed/>
    <w:rsid w:val="00102E95"/>
    <w:pPr>
      <w:spacing w:before="100" w:beforeAutospacing="1" w:after="100" w:afterAutospacing="1"/>
    </w:pPr>
    <w:rPr>
      <w:rFonts w:ascii="Times New Roman" w:eastAsia="Times New Roman" w:hAnsi="Times New Roman" w:cs="Times New Roman"/>
      <w:lang w:eastAsia="es-EC"/>
    </w:rPr>
  </w:style>
  <w:style w:type="character" w:styleId="Textoennegrita">
    <w:name w:val="Strong"/>
    <w:uiPriority w:val="22"/>
    <w:qFormat/>
    <w:rsid w:val="00102E95"/>
    <w:rPr>
      <w:b/>
      <w:bCs/>
    </w:rPr>
  </w:style>
  <w:style w:type="table" w:styleId="Tablaconcuadrcula">
    <w:name w:val="Table Grid"/>
    <w:basedOn w:val="Tablanormal"/>
    <w:uiPriority w:val="39"/>
    <w:rsid w:val="00102E95"/>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102E95"/>
    <w:pPr>
      <w:spacing w:after="0" w:line="240" w:lineRule="auto"/>
    </w:pPr>
    <w:rPr>
      <w:rFonts w:ascii="Calibri" w:eastAsia="Calibri" w:hAnsi="Calibri" w:cs="Times New Roman"/>
      <w:sz w:val="20"/>
      <w:szCs w:val="20"/>
      <w:lang w:eastAsia="es-EC"/>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nfasis">
    <w:name w:val="Emphasis"/>
    <w:aliases w:val="Figuras"/>
    <w:uiPriority w:val="20"/>
    <w:qFormat/>
    <w:rsid w:val="00102E95"/>
    <w:rPr>
      <w:i/>
      <w:iCs/>
      <w:color w:val="2F5496"/>
      <w:sz w:val="18"/>
    </w:rPr>
  </w:style>
  <w:style w:type="paragraph" w:customStyle="1" w:styleId="contenido">
    <w:name w:val="contenido"/>
    <w:basedOn w:val="Normal"/>
    <w:uiPriority w:val="99"/>
    <w:semiHidden/>
    <w:rsid w:val="00102E95"/>
    <w:rPr>
      <w:rFonts w:ascii="Times New Roman" w:eastAsia="Calibri" w:hAnsi="Times New Roman" w:cs="Times New Roman"/>
      <w:lang w:eastAsia="es-EC"/>
    </w:rPr>
  </w:style>
  <w:style w:type="paragraph" w:customStyle="1" w:styleId="msonormal0">
    <w:name w:val="msonormal"/>
    <w:basedOn w:val="Normal"/>
    <w:uiPriority w:val="99"/>
    <w:rsid w:val="00102E95"/>
    <w:pPr>
      <w:spacing w:before="100" w:beforeAutospacing="1" w:after="100" w:afterAutospacing="1"/>
    </w:pPr>
    <w:rPr>
      <w:rFonts w:ascii="Times New Roman" w:eastAsia="Times New Roman" w:hAnsi="Times New Roman" w:cs="Times New Roman"/>
      <w:lang w:eastAsia="es-EC"/>
    </w:rPr>
  </w:style>
  <w:style w:type="character" w:customStyle="1" w:styleId="contentpasted0">
    <w:name w:val="contentpasted0"/>
    <w:basedOn w:val="Fuentedeprrafopredeter"/>
    <w:rsid w:val="00102E95"/>
  </w:style>
  <w:style w:type="paragraph" w:styleId="Tabladeilustraciones">
    <w:name w:val="table of figures"/>
    <w:basedOn w:val="Normal"/>
    <w:next w:val="Normal"/>
    <w:uiPriority w:val="99"/>
    <w:unhideWhenUsed/>
    <w:rsid w:val="00102E95"/>
    <w:pPr>
      <w:spacing w:line="259" w:lineRule="auto"/>
    </w:pPr>
    <w:rPr>
      <w:rFonts w:ascii="Calibri" w:eastAsia="Calibri" w:hAnsi="Calibri" w:cs="Times New Roman"/>
      <w:sz w:val="22"/>
      <w:szCs w:val="22"/>
    </w:rPr>
  </w:style>
  <w:style w:type="character" w:customStyle="1" w:styleId="Heading1Char">
    <w:name w:val="Heading 1 Char"/>
    <w:uiPriority w:val="9"/>
    <w:rsid w:val="00102E95"/>
    <w:rPr>
      <w:rFonts w:ascii="Arial" w:eastAsia="Arial" w:hAnsi="Arial" w:cs="Arial"/>
      <w:sz w:val="40"/>
      <w:szCs w:val="40"/>
    </w:rPr>
  </w:style>
  <w:style w:type="character" w:customStyle="1" w:styleId="Heading2Char">
    <w:name w:val="Heading 2 Char"/>
    <w:uiPriority w:val="9"/>
    <w:rsid w:val="00102E95"/>
    <w:rPr>
      <w:rFonts w:ascii="Arial" w:eastAsia="Arial" w:hAnsi="Arial" w:cs="Arial"/>
      <w:sz w:val="34"/>
    </w:rPr>
  </w:style>
  <w:style w:type="character" w:customStyle="1" w:styleId="Heading3Char">
    <w:name w:val="Heading 3 Char"/>
    <w:uiPriority w:val="9"/>
    <w:rsid w:val="00102E95"/>
    <w:rPr>
      <w:rFonts w:ascii="Arial" w:eastAsia="Arial" w:hAnsi="Arial" w:cs="Arial"/>
      <w:sz w:val="30"/>
      <w:szCs w:val="30"/>
    </w:rPr>
  </w:style>
  <w:style w:type="character" w:customStyle="1" w:styleId="Heading4Char">
    <w:name w:val="Heading 4 Char"/>
    <w:uiPriority w:val="9"/>
    <w:rsid w:val="00102E95"/>
    <w:rPr>
      <w:rFonts w:ascii="Arial" w:eastAsia="Arial" w:hAnsi="Arial" w:cs="Arial"/>
      <w:b/>
      <w:bCs/>
      <w:sz w:val="26"/>
      <w:szCs w:val="26"/>
    </w:rPr>
  </w:style>
  <w:style w:type="character" w:customStyle="1" w:styleId="Heading5Char">
    <w:name w:val="Heading 5 Char"/>
    <w:uiPriority w:val="9"/>
    <w:rsid w:val="00102E95"/>
    <w:rPr>
      <w:rFonts w:ascii="Arial" w:eastAsia="Arial" w:hAnsi="Arial" w:cs="Arial"/>
      <w:b/>
      <w:bCs/>
      <w:sz w:val="24"/>
      <w:szCs w:val="24"/>
    </w:rPr>
  </w:style>
  <w:style w:type="paragraph" w:styleId="Ttulo">
    <w:name w:val="Title"/>
    <w:basedOn w:val="Normal"/>
    <w:next w:val="Normal"/>
    <w:link w:val="TtuloCar"/>
    <w:uiPriority w:val="10"/>
    <w:qFormat/>
    <w:rsid w:val="00102E95"/>
    <w:pPr>
      <w:spacing w:before="300" w:after="200"/>
      <w:contextualSpacing/>
    </w:pPr>
    <w:rPr>
      <w:rFonts w:ascii="Calibri" w:eastAsia="Calibri" w:hAnsi="Calibri" w:cs="Times New Roman"/>
      <w:sz w:val="48"/>
      <w:szCs w:val="48"/>
    </w:rPr>
  </w:style>
  <w:style w:type="character" w:customStyle="1" w:styleId="TtuloCar">
    <w:name w:val="Título Car"/>
    <w:basedOn w:val="Fuentedeprrafopredeter"/>
    <w:link w:val="Ttulo"/>
    <w:uiPriority w:val="10"/>
    <w:rsid w:val="00102E95"/>
    <w:rPr>
      <w:rFonts w:ascii="Calibri" w:eastAsia="Calibri" w:hAnsi="Calibri" w:cs="Times New Roman"/>
      <w:sz w:val="48"/>
      <w:szCs w:val="48"/>
    </w:rPr>
  </w:style>
  <w:style w:type="paragraph" w:styleId="Subttulo">
    <w:name w:val="Subtitle"/>
    <w:basedOn w:val="Normal"/>
    <w:next w:val="Normal"/>
    <w:link w:val="SubttuloCar"/>
    <w:uiPriority w:val="11"/>
    <w:qFormat/>
    <w:rsid w:val="00102E95"/>
    <w:pPr>
      <w:spacing w:before="200" w:after="200"/>
    </w:pPr>
    <w:rPr>
      <w:rFonts w:ascii="Calibri" w:eastAsia="Calibri" w:hAnsi="Calibri" w:cs="Times New Roman"/>
    </w:rPr>
  </w:style>
  <w:style w:type="character" w:customStyle="1" w:styleId="SubttuloCar">
    <w:name w:val="Subtítulo Car"/>
    <w:basedOn w:val="Fuentedeprrafopredeter"/>
    <w:link w:val="Subttulo"/>
    <w:uiPriority w:val="11"/>
    <w:rsid w:val="00102E95"/>
    <w:rPr>
      <w:rFonts w:ascii="Calibri" w:eastAsia="Calibri" w:hAnsi="Calibri" w:cs="Times New Roman"/>
      <w:sz w:val="24"/>
      <w:szCs w:val="24"/>
    </w:rPr>
  </w:style>
  <w:style w:type="paragraph" w:styleId="Cita">
    <w:name w:val="Quote"/>
    <w:basedOn w:val="Normal"/>
    <w:next w:val="Normal"/>
    <w:link w:val="CitaCar"/>
    <w:uiPriority w:val="29"/>
    <w:qFormat/>
    <w:rsid w:val="00102E95"/>
    <w:pPr>
      <w:ind w:left="720" w:right="720"/>
    </w:pPr>
    <w:rPr>
      <w:rFonts w:ascii="Calibri" w:eastAsia="Calibri" w:hAnsi="Calibri" w:cs="Times New Roman"/>
      <w:i/>
    </w:rPr>
  </w:style>
  <w:style w:type="character" w:customStyle="1" w:styleId="CitaCar">
    <w:name w:val="Cita Car"/>
    <w:basedOn w:val="Fuentedeprrafopredeter"/>
    <w:link w:val="Cita"/>
    <w:uiPriority w:val="29"/>
    <w:rsid w:val="00102E95"/>
    <w:rPr>
      <w:rFonts w:ascii="Calibri" w:eastAsia="Calibri" w:hAnsi="Calibri" w:cs="Times New Roman"/>
      <w:i/>
      <w:sz w:val="24"/>
      <w:szCs w:val="24"/>
    </w:rPr>
  </w:style>
  <w:style w:type="paragraph" w:styleId="Citadestacada">
    <w:name w:val="Intense Quote"/>
    <w:basedOn w:val="Normal"/>
    <w:next w:val="Normal"/>
    <w:link w:val="CitadestacadaCar"/>
    <w:uiPriority w:val="30"/>
    <w:qFormat/>
    <w:rsid w:val="00102E95"/>
    <w:pPr>
      <w:pBdr>
        <w:top w:val="single" w:sz="4" w:space="5" w:color="FFFFFF"/>
        <w:left w:val="single" w:sz="4" w:space="10" w:color="FFFFFF"/>
        <w:bottom w:val="single" w:sz="4" w:space="5" w:color="FFFFFF"/>
        <w:right w:val="single" w:sz="4" w:space="10" w:color="FFFFFF"/>
      </w:pBdr>
      <w:shd w:val="clear" w:color="auto" w:fill="F2F2F2"/>
      <w:ind w:left="720" w:right="720"/>
    </w:pPr>
    <w:rPr>
      <w:rFonts w:ascii="Calibri" w:eastAsia="Calibri" w:hAnsi="Calibri" w:cs="Times New Roman"/>
      <w:i/>
    </w:rPr>
  </w:style>
  <w:style w:type="character" w:customStyle="1" w:styleId="CitadestacadaCar">
    <w:name w:val="Cita destacada Car"/>
    <w:basedOn w:val="Fuentedeprrafopredeter"/>
    <w:link w:val="Citadestacada"/>
    <w:uiPriority w:val="30"/>
    <w:rsid w:val="00102E95"/>
    <w:rPr>
      <w:rFonts w:ascii="Calibri" w:eastAsia="Calibri" w:hAnsi="Calibri" w:cs="Times New Roman"/>
      <w:i/>
      <w:sz w:val="24"/>
      <w:szCs w:val="24"/>
      <w:shd w:val="clear" w:color="auto" w:fill="F2F2F2"/>
    </w:rPr>
  </w:style>
  <w:style w:type="character" w:customStyle="1" w:styleId="HeaderChar">
    <w:name w:val="Header Char"/>
    <w:basedOn w:val="Fuentedeprrafopredeter"/>
    <w:uiPriority w:val="99"/>
    <w:rsid w:val="00102E95"/>
  </w:style>
  <w:style w:type="character" w:customStyle="1" w:styleId="FooterChar">
    <w:name w:val="Footer Char"/>
    <w:basedOn w:val="Fuentedeprrafopredeter"/>
    <w:uiPriority w:val="99"/>
    <w:rsid w:val="00102E95"/>
  </w:style>
  <w:style w:type="character" w:customStyle="1" w:styleId="CaptionChar">
    <w:name w:val="Caption Char"/>
    <w:uiPriority w:val="99"/>
    <w:rsid w:val="00102E95"/>
  </w:style>
  <w:style w:type="table" w:customStyle="1" w:styleId="TableGridLight">
    <w:name w:val="Table Grid Light"/>
    <w:basedOn w:val="Tablanormal"/>
    <w:uiPriority w:val="59"/>
    <w:rsid w:val="00102E95"/>
    <w:pPr>
      <w:spacing w:after="0" w:line="240" w:lineRule="auto"/>
    </w:pPr>
    <w:rPr>
      <w:rFonts w:ascii="Calibri" w:eastAsia="Calibri" w:hAnsi="Calibri" w:cs="Times New Roman"/>
      <w:sz w:val="20"/>
      <w:szCs w:val="20"/>
      <w:lang w:eastAsia="es-EC"/>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styleId="Tablanormal1">
    <w:name w:val="Plain Table 1"/>
    <w:basedOn w:val="Tablanormal"/>
    <w:uiPriority w:val="59"/>
    <w:rsid w:val="00102E95"/>
    <w:pPr>
      <w:spacing w:after="0" w:line="240" w:lineRule="auto"/>
    </w:pPr>
    <w:rPr>
      <w:rFonts w:ascii="Calibri" w:eastAsia="Calibri" w:hAnsi="Calibri" w:cs="Times New Roman"/>
      <w:sz w:val="20"/>
      <w:szCs w:val="20"/>
      <w:lang w:eastAsia="es-EC"/>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styleId="Tablanormal2">
    <w:name w:val="Plain Table 2"/>
    <w:basedOn w:val="Tablanormal"/>
    <w:uiPriority w:val="59"/>
    <w:rsid w:val="00102E95"/>
    <w:pPr>
      <w:spacing w:after="0" w:line="240" w:lineRule="auto"/>
    </w:pPr>
    <w:rPr>
      <w:rFonts w:ascii="Calibri" w:eastAsia="Calibri" w:hAnsi="Calibri" w:cs="Times New Roman"/>
      <w:sz w:val="20"/>
      <w:szCs w:val="20"/>
      <w:lang w:eastAsia="es-EC"/>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styleId="Tablanormal3">
    <w:name w:val="Plain Table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Tablanormal4">
    <w:name w:val="Plain Table 4"/>
    <w:basedOn w:val="Tablanormal"/>
    <w:uiPriority w:val="44"/>
    <w:rsid w:val="00102E95"/>
    <w:pPr>
      <w:spacing w:after="0" w:line="240" w:lineRule="auto"/>
    </w:pPr>
    <w:rPr>
      <w:rFonts w:ascii="Calibri" w:eastAsia="Calibri" w:hAnsi="Calibri" w:cs="Times New Roman"/>
      <w:sz w:val="20"/>
      <w:szCs w:val="20"/>
      <w:lang w:eastAsia="es-EC"/>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Tablanormal5">
    <w:name w:val="Plain Table 5"/>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Tablaconcuadrcula1clara">
    <w:name w:val="Grid Table 1 Light"/>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styleId="Tabladecuadrcula2">
    <w:name w:val="Grid Table 2"/>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Tabladecuadrcula3">
    <w:name w:val="Grid Table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Tabladecuadrcula4">
    <w:name w:val="Grid Table 4"/>
    <w:basedOn w:val="Tablanormal"/>
    <w:uiPriority w:val="5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Tablanormal"/>
    <w:uiPriority w:val="5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Tablanormal"/>
    <w:uiPriority w:val="5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Tablanormal"/>
    <w:uiPriority w:val="5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Tablanormal"/>
    <w:uiPriority w:val="5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Tablanormal"/>
    <w:uiPriority w:val="5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Tablanormal"/>
    <w:uiPriority w:val="5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Tablaconcuadrcula5oscura">
    <w:name w:val="Grid Table 5 Dark"/>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styleId="Tablaconcuadrcula6concolores">
    <w:name w:val="Grid Table 6 Colorful"/>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styleId="Tablaconcuadrcula7concolores">
    <w:name w:val="Grid Table 7 Colorful"/>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styleId="Tabladelista1clara">
    <w:name w:val="List Table 1 Light"/>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styleId="Tabladelista2">
    <w:name w:val="List Table 2"/>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Tabladelista3">
    <w:name w:val="List Table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styleId="Tabladelista4">
    <w:name w:val="List Table 4"/>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Tabladelista5oscura">
    <w:name w:val="List Table 5 Dark"/>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styleId="Tabladelista6concolores">
    <w:name w:val="List Table 6 Colorful"/>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styleId="Tabladelista7concolores">
    <w:name w:val="List Table 7 Colorful"/>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Tablanormal"/>
    <w:uiPriority w:val="99"/>
    <w:rsid w:val="00102E95"/>
    <w:pPr>
      <w:spacing w:after="0" w:line="240" w:lineRule="auto"/>
    </w:pPr>
    <w:rPr>
      <w:rFonts w:ascii="Calibri" w:eastAsia="Calibri" w:hAnsi="Calibri" w:cs="Times New Roman"/>
      <w:color w:val="404040"/>
      <w:sz w:val="20"/>
      <w:szCs w:val="20"/>
      <w:lang w:eastAsia="es-EC"/>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Tablanormal"/>
    <w:uiPriority w:val="99"/>
    <w:rsid w:val="00102E95"/>
    <w:pPr>
      <w:spacing w:after="0" w:line="240" w:lineRule="auto"/>
    </w:pPr>
    <w:rPr>
      <w:rFonts w:ascii="Calibri" w:eastAsia="Calibri" w:hAnsi="Calibri" w:cs="Times New Roman"/>
      <w:color w:val="404040"/>
      <w:sz w:val="20"/>
      <w:szCs w:val="20"/>
      <w:lang w:eastAsia="es-EC"/>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Tablanormal"/>
    <w:uiPriority w:val="99"/>
    <w:rsid w:val="00102E95"/>
    <w:pPr>
      <w:spacing w:after="0" w:line="240" w:lineRule="auto"/>
    </w:pPr>
    <w:rPr>
      <w:rFonts w:ascii="Calibri" w:eastAsia="Calibri" w:hAnsi="Calibri" w:cs="Times New Roman"/>
      <w:color w:val="404040"/>
      <w:sz w:val="20"/>
      <w:szCs w:val="20"/>
      <w:lang w:eastAsia="es-EC"/>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Tablanormal"/>
    <w:uiPriority w:val="99"/>
    <w:rsid w:val="00102E95"/>
    <w:pPr>
      <w:spacing w:after="0" w:line="240" w:lineRule="auto"/>
    </w:pPr>
    <w:rPr>
      <w:rFonts w:ascii="Calibri" w:eastAsia="Calibri" w:hAnsi="Calibri" w:cs="Times New Roman"/>
      <w:color w:val="404040"/>
      <w:sz w:val="20"/>
      <w:szCs w:val="20"/>
      <w:lang w:eastAsia="es-EC"/>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Tablanormal"/>
    <w:uiPriority w:val="99"/>
    <w:rsid w:val="00102E95"/>
    <w:pPr>
      <w:spacing w:after="0" w:line="240" w:lineRule="auto"/>
    </w:pPr>
    <w:rPr>
      <w:rFonts w:ascii="Calibri" w:eastAsia="Calibri" w:hAnsi="Calibri" w:cs="Times New Roman"/>
      <w:color w:val="404040"/>
      <w:sz w:val="20"/>
      <w:szCs w:val="20"/>
      <w:lang w:eastAsia="es-EC"/>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Tablanormal"/>
    <w:uiPriority w:val="99"/>
    <w:rsid w:val="00102E95"/>
    <w:pPr>
      <w:spacing w:after="0" w:line="240" w:lineRule="auto"/>
    </w:pPr>
    <w:rPr>
      <w:rFonts w:ascii="Calibri" w:eastAsia="Calibri" w:hAnsi="Calibri" w:cs="Times New Roman"/>
      <w:color w:val="404040"/>
      <w:sz w:val="20"/>
      <w:szCs w:val="20"/>
      <w:lang w:eastAsia="es-EC"/>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Tablanormal"/>
    <w:uiPriority w:val="99"/>
    <w:rsid w:val="00102E95"/>
    <w:pPr>
      <w:spacing w:after="0" w:line="240" w:lineRule="auto"/>
    </w:pPr>
    <w:rPr>
      <w:rFonts w:ascii="Calibri" w:eastAsia="Calibri" w:hAnsi="Calibri" w:cs="Times New Roman"/>
      <w:color w:val="404040"/>
      <w:sz w:val="20"/>
      <w:szCs w:val="20"/>
      <w:lang w:eastAsia="es-EC"/>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Tablanormal"/>
    <w:uiPriority w:val="99"/>
    <w:rsid w:val="00102E95"/>
    <w:pPr>
      <w:spacing w:after="0" w:line="240" w:lineRule="auto"/>
    </w:pPr>
    <w:rPr>
      <w:rFonts w:ascii="Calibri" w:eastAsia="Calibri" w:hAnsi="Calibri" w:cs="Times New Roman"/>
      <w:color w:val="404040"/>
      <w:sz w:val="20"/>
      <w:szCs w:val="20"/>
      <w:lang w:eastAsia="es-EC"/>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Tablanormal"/>
    <w:uiPriority w:val="99"/>
    <w:rsid w:val="00102E95"/>
    <w:pPr>
      <w:spacing w:after="0" w:line="240" w:lineRule="auto"/>
    </w:pPr>
    <w:rPr>
      <w:rFonts w:ascii="Calibri" w:eastAsia="Calibri" w:hAnsi="Calibri" w:cs="Times New Roman"/>
      <w:color w:val="404040"/>
      <w:sz w:val="20"/>
      <w:szCs w:val="20"/>
      <w:lang w:eastAsia="es-EC"/>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Tablanormal"/>
    <w:uiPriority w:val="99"/>
    <w:rsid w:val="00102E95"/>
    <w:pPr>
      <w:spacing w:after="0" w:line="240" w:lineRule="auto"/>
    </w:pPr>
    <w:rPr>
      <w:rFonts w:ascii="Calibri" w:eastAsia="Calibri" w:hAnsi="Calibri" w:cs="Times New Roman"/>
      <w:color w:val="404040"/>
      <w:sz w:val="20"/>
      <w:szCs w:val="20"/>
      <w:lang w:eastAsia="es-EC"/>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Tablanormal"/>
    <w:uiPriority w:val="99"/>
    <w:rsid w:val="00102E95"/>
    <w:pPr>
      <w:spacing w:after="0" w:line="240" w:lineRule="auto"/>
    </w:pPr>
    <w:rPr>
      <w:rFonts w:ascii="Calibri" w:eastAsia="Calibri" w:hAnsi="Calibri" w:cs="Times New Roman"/>
      <w:color w:val="404040"/>
      <w:sz w:val="20"/>
      <w:szCs w:val="20"/>
      <w:lang w:eastAsia="es-EC"/>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Tablanormal"/>
    <w:uiPriority w:val="99"/>
    <w:rsid w:val="00102E95"/>
    <w:pPr>
      <w:spacing w:after="0" w:line="240" w:lineRule="auto"/>
    </w:pPr>
    <w:rPr>
      <w:rFonts w:ascii="Calibri" w:eastAsia="Calibri" w:hAnsi="Calibri" w:cs="Times New Roman"/>
      <w:color w:val="404040"/>
      <w:sz w:val="20"/>
      <w:szCs w:val="20"/>
      <w:lang w:eastAsia="es-EC"/>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Tablanormal"/>
    <w:uiPriority w:val="99"/>
    <w:rsid w:val="00102E95"/>
    <w:pPr>
      <w:spacing w:after="0" w:line="240" w:lineRule="auto"/>
    </w:pPr>
    <w:rPr>
      <w:rFonts w:ascii="Calibri" w:eastAsia="Calibri" w:hAnsi="Calibri" w:cs="Times New Roman"/>
      <w:color w:val="404040"/>
      <w:sz w:val="20"/>
      <w:szCs w:val="20"/>
      <w:lang w:eastAsia="es-EC"/>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Tablanormal"/>
    <w:uiPriority w:val="99"/>
    <w:rsid w:val="00102E95"/>
    <w:pPr>
      <w:spacing w:after="0" w:line="240" w:lineRule="auto"/>
    </w:pPr>
    <w:rPr>
      <w:rFonts w:ascii="Calibri" w:eastAsia="Calibri" w:hAnsi="Calibri" w:cs="Times New Roman"/>
      <w:color w:val="404040"/>
      <w:sz w:val="20"/>
      <w:szCs w:val="20"/>
      <w:lang w:eastAsia="es-EC"/>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Tablanormal"/>
    <w:uiPriority w:val="99"/>
    <w:rsid w:val="00102E95"/>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Textonotaalfinal">
    <w:name w:val="endnote text"/>
    <w:basedOn w:val="Normal"/>
    <w:link w:val="TextonotaalfinalCar"/>
    <w:uiPriority w:val="99"/>
    <w:semiHidden/>
    <w:unhideWhenUsed/>
    <w:rsid w:val="00102E95"/>
    <w:rPr>
      <w:rFonts w:ascii="Calibri" w:eastAsia="Calibri" w:hAnsi="Calibri" w:cs="Times New Roman"/>
      <w:sz w:val="20"/>
    </w:rPr>
  </w:style>
  <w:style w:type="character" w:customStyle="1" w:styleId="TextonotaalfinalCar">
    <w:name w:val="Texto nota al final Car"/>
    <w:basedOn w:val="Fuentedeprrafopredeter"/>
    <w:link w:val="Textonotaalfinal"/>
    <w:uiPriority w:val="99"/>
    <w:rsid w:val="00102E95"/>
    <w:rPr>
      <w:rFonts w:ascii="Calibri" w:eastAsia="Calibri" w:hAnsi="Calibri" w:cs="Times New Roman"/>
      <w:sz w:val="20"/>
      <w:szCs w:val="24"/>
    </w:rPr>
  </w:style>
  <w:style w:type="character" w:styleId="Refdenotaalfinal">
    <w:name w:val="endnote reference"/>
    <w:uiPriority w:val="99"/>
    <w:semiHidden/>
    <w:unhideWhenUsed/>
    <w:rsid w:val="00102E95"/>
    <w:rPr>
      <w:vertAlign w:val="superscript"/>
    </w:rPr>
  </w:style>
  <w:style w:type="paragraph" w:styleId="TDC4">
    <w:name w:val="toc 4"/>
    <w:basedOn w:val="Normal"/>
    <w:next w:val="Normal"/>
    <w:uiPriority w:val="39"/>
    <w:unhideWhenUsed/>
    <w:rsid w:val="00102E95"/>
    <w:pPr>
      <w:spacing w:after="57"/>
      <w:ind w:left="850"/>
    </w:pPr>
    <w:rPr>
      <w:rFonts w:ascii="Calibri" w:eastAsia="Calibri" w:hAnsi="Calibri" w:cs="Times New Roman"/>
    </w:rPr>
  </w:style>
  <w:style w:type="paragraph" w:styleId="TDC5">
    <w:name w:val="toc 5"/>
    <w:basedOn w:val="Normal"/>
    <w:next w:val="Normal"/>
    <w:uiPriority w:val="39"/>
    <w:unhideWhenUsed/>
    <w:rsid w:val="00102E95"/>
    <w:pPr>
      <w:spacing w:after="57"/>
      <w:ind w:left="1134"/>
    </w:pPr>
    <w:rPr>
      <w:rFonts w:ascii="Calibri" w:eastAsia="Calibri" w:hAnsi="Calibri" w:cs="Times New Roman"/>
    </w:rPr>
  </w:style>
  <w:style w:type="paragraph" w:styleId="TDC6">
    <w:name w:val="toc 6"/>
    <w:basedOn w:val="Normal"/>
    <w:next w:val="Normal"/>
    <w:uiPriority w:val="39"/>
    <w:unhideWhenUsed/>
    <w:rsid w:val="00102E95"/>
    <w:pPr>
      <w:spacing w:after="57"/>
      <w:ind w:left="1417"/>
    </w:pPr>
    <w:rPr>
      <w:rFonts w:ascii="Calibri" w:eastAsia="Calibri" w:hAnsi="Calibri" w:cs="Times New Roman"/>
    </w:rPr>
  </w:style>
  <w:style w:type="paragraph" w:styleId="TDC7">
    <w:name w:val="toc 7"/>
    <w:basedOn w:val="Normal"/>
    <w:next w:val="Normal"/>
    <w:uiPriority w:val="39"/>
    <w:unhideWhenUsed/>
    <w:rsid w:val="00102E95"/>
    <w:pPr>
      <w:spacing w:after="57"/>
      <w:ind w:left="1701"/>
    </w:pPr>
    <w:rPr>
      <w:rFonts w:ascii="Calibri" w:eastAsia="Calibri" w:hAnsi="Calibri" w:cs="Times New Roman"/>
    </w:rPr>
  </w:style>
  <w:style w:type="paragraph" w:styleId="TDC8">
    <w:name w:val="toc 8"/>
    <w:basedOn w:val="Normal"/>
    <w:next w:val="Normal"/>
    <w:uiPriority w:val="39"/>
    <w:unhideWhenUsed/>
    <w:rsid w:val="00102E95"/>
    <w:pPr>
      <w:spacing w:after="57"/>
      <w:ind w:left="1984"/>
    </w:pPr>
    <w:rPr>
      <w:rFonts w:ascii="Calibri" w:eastAsia="Calibri" w:hAnsi="Calibri" w:cs="Times New Roman"/>
    </w:rPr>
  </w:style>
  <w:style w:type="paragraph" w:styleId="TDC9">
    <w:name w:val="toc 9"/>
    <w:basedOn w:val="Normal"/>
    <w:next w:val="Normal"/>
    <w:uiPriority w:val="39"/>
    <w:unhideWhenUsed/>
    <w:rsid w:val="00102E95"/>
    <w:pPr>
      <w:spacing w:after="57"/>
      <w:ind w:left="2268"/>
    </w:pPr>
    <w:rPr>
      <w:rFonts w:ascii="Calibri" w:eastAsia="Calibri" w:hAnsi="Calibri" w:cs="Times New Roman"/>
    </w:rPr>
  </w:style>
  <w:style w:type="paragraph" w:styleId="ndice2">
    <w:name w:val="index 2"/>
    <w:basedOn w:val="Normal"/>
    <w:next w:val="Normal"/>
    <w:autoRedefine/>
    <w:uiPriority w:val="99"/>
    <w:semiHidden/>
    <w:unhideWhenUsed/>
    <w:rsid w:val="00102E95"/>
    <w:pPr>
      <w:ind w:left="480" w:hanging="240"/>
    </w:pPr>
    <w:rPr>
      <w:rFonts w:ascii="Calibri" w:eastAsia="Calibri" w:hAnsi="Calibri" w:cs="Times New Roman"/>
    </w:rPr>
  </w:style>
  <w:style w:type="character" w:styleId="Mencinsinresolver">
    <w:name w:val="Unresolved Mention"/>
    <w:uiPriority w:val="99"/>
    <w:semiHidden/>
    <w:unhideWhenUsed/>
    <w:rsid w:val="00102E95"/>
    <w:rPr>
      <w:color w:val="605E5C"/>
      <w:shd w:val="clear" w:color="auto" w:fill="E1DFDD"/>
    </w:rPr>
  </w:style>
  <w:style w:type="table" w:customStyle="1" w:styleId="TableNormal">
    <w:name w:val="Table Normal"/>
    <w:uiPriority w:val="2"/>
    <w:semiHidden/>
    <w:unhideWhenUsed/>
    <w:qFormat/>
    <w:rsid w:val="00102E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Hipervnculovisitado">
    <w:name w:val="FollowedHyperlink"/>
    <w:uiPriority w:val="99"/>
    <w:semiHidden/>
    <w:unhideWhenUsed/>
    <w:rsid w:val="0035781A"/>
    <w:rPr>
      <w:color w:val="954F72"/>
      <w:u w:val="single"/>
    </w:rPr>
  </w:style>
  <w:style w:type="character" w:customStyle="1" w:styleId="markedcontent">
    <w:name w:val="markedcontent"/>
    <w:rsid w:val="00BF001E"/>
  </w:style>
  <w:style w:type="character" w:customStyle="1" w:styleId="fadeinm1hgl8">
    <w:name w:val="_fadein_m1hgl_8"/>
    <w:basedOn w:val="Fuentedeprrafopredeter"/>
    <w:rsid w:val="00BF001E"/>
  </w:style>
  <w:style w:type="table" w:customStyle="1" w:styleId="Tablaconcuadrcula4-nfasis51">
    <w:name w:val="Tabla con cuadrícula 4 - Énfasis 51"/>
    <w:basedOn w:val="Tablanormal"/>
    <w:next w:val="Tablaconcuadrcula4-nfasis5"/>
    <w:uiPriority w:val="49"/>
    <w:rsid w:val="006733F0"/>
    <w:pPr>
      <w:spacing w:after="0" w:line="240" w:lineRule="auto"/>
    </w:pPr>
    <w:rPr>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5">
    <w:name w:val="Grid Table 4 Accent 5"/>
    <w:basedOn w:val="Tablanormal"/>
    <w:uiPriority w:val="49"/>
    <w:rsid w:val="006733F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aragraph">
    <w:name w:val="paragraph"/>
    <w:basedOn w:val="Normal"/>
    <w:rsid w:val="00C420E7"/>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C420E7"/>
  </w:style>
  <w:style w:type="character" w:customStyle="1" w:styleId="eop">
    <w:name w:val="eop"/>
    <w:basedOn w:val="Fuentedeprrafopredeter"/>
    <w:rsid w:val="00C420E7"/>
  </w:style>
  <w:style w:type="character" w:customStyle="1" w:styleId="v9tjod">
    <w:name w:val="v9tjod"/>
    <w:basedOn w:val="Fuentedeprrafopredeter"/>
    <w:rsid w:val="004E19BF"/>
  </w:style>
  <w:style w:type="paragraph" w:customStyle="1" w:styleId="Estilo1">
    <w:name w:val="Estilo1"/>
    <w:basedOn w:val="Ttulo2"/>
    <w:link w:val="Estilo1Car"/>
    <w:qFormat/>
    <w:rsid w:val="00CF1202"/>
    <w:pPr>
      <w:numPr>
        <w:numId w:val="4"/>
      </w:numPr>
    </w:pPr>
    <w:rPr>
      <w:sz w:val="24"/>
      <w:szCs w:val="24"/>
    </w:rPr>
  </w:style>
  <w:style w:type="character" w:customStyle="1" w:styleId="Estilo1Car">
    <w:name w:val="Estilo1 Car"/>
    <w:basedOn w:val="Ttulo2Car"/>
    <w:link w:val="Estilo1"/>
    <w:rsid w:val="00CF1202"/>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DATOSMEM\Downloads\rendici&#243;n%20de%20cuentas%202024%20versi&#243;nfinal.docx" TargetMode="External"/><Relationship Id="rId18" Type="http://schemas.openxmlformats.org/officeDocument/2006/relationships/image" Target="media/image2.png"/><Relationship Id="rId26" Type="http://schemas.openxmlformats.org/officeDocument/2006/relationships/chart" Target="charts/chart9.xml"/><Relationship Id="rId39" Type="http://schemas.openxmlformats.org/officeDocument/2006/relationships/image" Target="media/image15.png"/><Relationship Id="rId21" Type="http://schemas.openxmlformats.org/officeDocument/2006/relationships/chart" Target="charts/chart4.xml"/><Relationship Id="rId34" Type="http://schemas.openxmlformats.org/officeDocument/2006/relationships/image" Target="media/image10.jpeg"/><Relationship Id="rId42" Type="http://schemas.openxmlformats.org/officeDocument/2006/relationships/chart" Target="charts/chart10.xml"/><Relationship Id="rId47" Type="http://schemas.openxmlformats.org/officeDocument/2006/relationships/chart" Target="charts/chart14.xml"/><Relationship Id="rId50" Type="http://schemas.openxmlformats.org/officeDocument/2006/relationships/chart" Target="charts/chart17.xm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5.png"/><Relationship Id="rId11" Type="http://schemas.openxmlformats.org/officeDocument/2006/relationships/hyperlink" Target="file:///D:\DATOSMEM\Downloads\rendici&#243;n%20de%20cuentas%202024%20versi&#243;nfinal.docx" TargetMode="External"/><Relationship Id="rId24" Type="http://schemas.openxmlformats.org/officeDocument/2006/relationships/chart" Target="charts/chart7.xm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image" Target="media/image20.png"/><Relationship Id="rId58" Type="http://schemas.openxmlformats.org/officeDocument/2006/relationships/hyperlink" Target="https://www.gestionderiesgos.gob.ec/resoluciones-coe/"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2.xml"/><Relationship Id="rId14" Type="http://schemas.openxmlformats.org/officeDocument/2006/relationships/hyperlink" Target="file:///D:\DATOSMEM\Downloads\rendici&#243;n%20de%20cuentas%202024%20versi&#243;nfinal.docx" TargetMode="External"/><Relationship Id="rId22" Type="http://schemas.openxmlformats.org/officeDocument/2006/relationships/chart" Target="charts/chart5.xm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chart" Target="charts/chart11.xml"/><Relationship Id="rId48" Type="http://schemas.openxmlformats.org/officeDocument/2006/relationships/chart" Target="charts/chart15.xml"/><Relationship Id="rId56" Type="http://schemas.openxmlformats.org/officeDocument/2006/relationships/footer" Target="footer1.xml"/><Relationship Id="rId8" Type="http://schemas.openxmlformats.org/officeDocument/2006/relationships/hyperlink" Target="file:///D:\DATOSMEM\Downloads\rendici&#243;n%20de%20cuentas%202024%20versi&#243;nfinal.docx" TargetMode="External"/><Relationship Id="rId51" Type="http://schemas.openxmlformats.org/officeDocument/2006/relationships/chart" Target="charts/chart18.xml"/><Relationship Id="rId3" Type="http://schemas.openxmlformats.org/officeDocument/2006/relationships/styles" Target="styles.xml"/><Relationship Id="rId12" Type="http://schemas.openxmlformats.org/officeDocument/2006/relationships/hyperlink" Target="file:///D:\DATOSMEM\Downloads\rendici&#243;n%20de%20cuentas%202024%20versi&#243;nfinal.docx" TargetMode="Externa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chart" Target="charts/chart13.xml"/><Relationship Id="rId59" Type="http://schemas.openxmlformats.org/officeDocument/2006/relationships/hyperlink" Target="https://www.recursosyenergia.gob.ec/se-normalizan-operaciones-petroleras-en-el-oleoducto-de-crudos-pesados/" TargetMode="External"/><Relationship Id="rId20" Type="http://schemas.openxmlformats.org/officeDocument/2006/relationships/chart" Target="charts/chart3.xml"/><Relationship Id="rId41" Type="http://schemas.openxmlformats.org/officeDocument/2006/relationships/image" Target="media/image17.pn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DATOSMEM\Downloads\rendici&#243;n%20de%20cuentas%202024%20versi&#243;nfinal.docx" TargetMode="External"/><Relationship Id="rId23" Type="http://schemas.openxmlformats.org/officeDocument/2006/relationships/chart" Target="charts/chart6.xml"/><Relationship Id="rId28" Type="http://schemas.openxmlformats.org/officeDocument/2006/relationships/image" Target="media/image4.jpeg"/><Relationship Id="rId36" Type="http://schemas.openxmlformats.org/officeDocument/2006/relationships/image" Target="media/image12.png"/><Relationship Id="rId49" Type="http://schemas.openxmlformats.org/officeDocument/2006/relationships/chart" Target="charts/chart16.xml"/><Relationship Id="rId57" Type="http://schemas.openxmlformats.org/officeDocument/2006/relationships/hyperlink" Target="https://www.recursosyenergia.gob.ec/consulta-previa-libre-e-informada/" TargetMode="External"/><Relationship Id="rId10" Type="http://schemas.openxmlformats.org/officeDocument/2006/relationships/hyperlink" Target="file:///D:\DATOSMEM\Downloads\rendici&#243;n%20de%20cuentas%202024%20versi&#243;nfinal.docx" TargetMode="External"/><Relationship Id="rId31" Type="http://schemas.openxmlformats.org/officeDocument/2006/relationships/image" Target="media/image7.jpeg"/><Relationship Id="rId44" Type="http://schemas.openxmlformats.org/officeDocument/2006/relationships/chart" Target="charts/chart12.xml"/><Relationship Id="rId52" Type="http://schemas.openxmlformats.org/officeDocument/2006/relationships/chart" Target="charts/chart19.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D:\DATOSMEM\Downloads\rendici&#243;n%20de%20cuentas%202024%20versi&#243;nfinal.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Mi%20unidad\JZC%20MEM\2025\Informes\Informe%20Rendicion%20de%20Cuentas\Observaciones%20CGPGE\2%20Formato%20Ilustraciones%20Rendici&#243;n%20de%20Cuentas%202024.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srvuiovfs01.mrnnr.corp\Departamental\DITAM\2024\3.%20Base%20de%20datos\Base%20recaudaci&#243;n%20tributaria\12.%20Diciembre\M-F-S.11-DITAM-13%20MatrizAnalisisGraficosRecaudaci&#243;n_V01%20DIC.xlsm"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oleObject" Target="file:///\\srvuiovfs01.mrnnr.corp\Departamental\DITAM\2024\3.%20Base%20de%20datos\Base%20de%20exportaciones\12.%20Diciembre\M-F-S.11-DITAM-10%20Base%20Exportaciones%20Dic-24.xlsm"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oleObject" Target="file:///\\srvuiovfs01.mrnnr.corp\Departamental\DITAM\2024\3.%20Base%20de%20datos\Base%20de%20exportaciones\12.%20Diciembre\M-F-S.11-DITAM-10%20Base%20Exportaciones%20Dic-24.xlsm"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13.xml.rels><?xml version="1.0" encoding="UTF-8" standalone="yes"?>
<Relationships xmlns="http://schemas.openxmlformats.org/package/2006/relationships"><Relationship Id="rId3" Type="http://schemas.openxmlformats.org/officeDocument/2006/relationships/image" Target="../media/image19.jpg"/><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DATOSMEM\Downloads\Tablas%20Graficos%20DGTOGTEE(1).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D:\DATOSMEM\Downloads\Tablas%20Graficos%20DGTOGTEE(1).xlsx" TargetMode="External"/><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3" Type="http://schemas.openxmlformats.org/officeDocument/2006/relationships/oleObject" Target="file:///D:\DATOSMEM\Downloads\PRECIO%20MEDIO%202024%201.xlsx" TargetMode="External"/><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oleObject" Target="file:///D:\DATOSMEM\Desktop\2025\INFORME%20DE%20GESTI&#211;N%202024\CELEC%20Factu%20recau%20%20enero%20-%20DIC%202024.xlsx" TargetMode="External"/><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oleObject" Target="file:///D:\DATOSMEM\Desktop\2025\INFORME%20DE%20GESTI&#211;N%202024\ELECAUSTRO%20Factu%20recau%20%20enero%20-%20DIC%202024%20GRAFI%201.xlsx" TargetMode="External"/><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essy\Downloads\2025-04-24_3_Formato%20Ilustraciones%20Rendici&#243;n%20de%20Cuentas%202024(SDCEE).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2" Type="http://schemas.openxmlformats.org/officeDocument/2006/relationships/oleObject" Target="file:///D:\DATOSMEM\Documents\DAIEH\RENDICI&#211;N%20DE%20CUENTAS\Informaci&#243;n%20DAIEH%20Rendici&#243;n%20de%20Cuentas%202024_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DATOSMEM\Documents\DAIEH\RENDICI&#211;N%20DE%20CUENTAS\Informaci&#243;n%20DAIEH%20Rendici&#243;n%20de%20Cuentas%202024_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DATOSMEM\Documents\DAIEH\RENDICI&#211;N%20DE%20CUENTAS\Informaci&#243;n%20DAIEH%20Rendici&#243;n%20de%20Cuentas%202024_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DATOSMEM\Downloads\25012024_Grafico%20Rendicion%20De%20Cuentas%20SEEPGN.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DATOSMEM\Downloads\25012024_Grafico%20Rendicion%20De%20Cuentas%20SEEPGN.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DATOSMEM\Downloads\25012024_Grafico%20Rendicion%20De%20Cuentas%20SEEPGN.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garciar\Downloads\25012024_Grafico%20Rendicion%20De%20Cuentas%20SEEPGN(2).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s-EC"/>
              <a:t>Contrataciones públicas realizadas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s-EC"/>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3'!$A$4:$A$11</c:f>
              <c:strCache>
                <c:ptCount val="8"/>
                <c:pt idx="0">
                  <c:v>Ínfimas Cuantías</c:v>
                </c:pt>
                <c:pt idx="1">
                  <c:v>Catálogo Electrónico</c:v>
                </c:pt>
                <c:pt idx="2">
                  <c:v>Licitación de Seguro</c:v>
                </c:pt>
                <c:pt idx="3">
                  <c:v>Menor Cuantías Ser</c:v>
                </c:pt>
                <c:pt idx="4">
                  <c:v>Régimen Especial</c:v>
                </c:pt>
                <c:pt idx="5">
                  <c:v>Subasta Inversa</c:v>
                </c:pt>
                <c:pt idx="6">
                  <c:v>Procedimiento Espe</c:v>
                </c:pt>
                <c:pt idx="7">
                  <c:v>Cotización</c:v>
                </c:pt>
              </c:strCache>
            </c:strRef>
          </c:cat>
          <c:val>
            <c:numRef>
              <c:f>'Figura 3'!$B$4:$B$11</c:f>
              <c:numCache>
                <c:formatCode>General</c:formatCode>
                <c:ptCount val="8"/>
                <c:pt idx="0">
                  <c:v>31</c:v>
                </c:pt>
                <c:pt idx="1">
                  <c:v>9</c:v>
                </c:pt>
                <c:pt idx="2">
                  <c:v>1</c:v>
                </c:pt>
                <c:pt idx="3">
                  <c:v>1</c:v>
                </c:pt>
                <c:pt idx="4">
                  <c:v>3</c:v>
                </c:pt>
                <c:pt idx="5">
                  <c:v>4</c:v>
                </c:pt>
                <c:pt idx="6">
                  <c:v>2</c:v>
                </c:pt>
                <c:pt idx="7">
                  <c:v>2</c:v>
                </c:pt>
              </c:numCache>
            </c:numRef>
          </c:val>
          <c:extLst>
            <c:ext xmlns:c16="http://schemas.microsoft.com/office/drawing/2014/chart" uri="{C3380CC4-5D6E-409C-BE32-E72D297353CC}">
              <c16:uniqueId val="{00000000-C452-470B-8C47-A51957AA2428}"/>
            </c:ext>
          </c:extLst>
        </c:ser>
        <c:dLbls>
          <c:dLblPos val="outEnd"/>
          <c:showLegendKey val="0"/>
          <c:showVal val="1"/>
          <c:showCatName val="0"/>
          <c:showSerName val="0"/>
          <c:showPercent val="0"/>
          <c:showBubbleSize val="0"/>
        </c:dLbls>
        <c:gapWidth val="219"/>
        <c:overlap val="-27"/>
        <c:axId val="352137167"/>
        <c:axId val="339355967"/>
      </c:barChart>
      <c:catAx>
        <c:axId val="352137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EC"/>
          </a:p>
        </c:txPr>
        <c:crossAx val="339355967"/>
        <c:crosses val="autoZero"/>
        <c:auto val="1"/>
        <c:lblAlgn val="ctr"/>
        <c:lblOffset val="100"/>
        <c:noMultiLvlLbl val="0"/>
      </c:catAx>
      <c:valAx>
        <c:axId val="339355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EC"/>
          </a:p>
        </c:txPr>
        <c:crossAx val="3521371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EC"/>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j-lt"/>
                <a:ea typeface="+mn-ea"/>
                <a:cs typeface="+mn-cs"/>
              </a:defRPr>
            </a:pPr>
            <a:r>
              <a:rPr lang="es-EC" sz="1050" b="1" i="0" baseline="0">
                <a:effectLst/>
                <a:latin typeface="+mj-lt"/>
              </a:rPr>
              <a:t>RECAUDACIÓN TRIBUTARIA</a:t>
            </a:r>
            <a:endParaRPr lang="es-EC" sz="1050">
              <a:effectLst/>
              <a:latin typeface="+mj-lt"/>
            </a:endParaRPr>
          </a:p>
        </c:rich>
      </c:tx>
      <c:layout>
        <c:manualLayout>
          <c:xMode val="edge"/>
          <c:yMode val="edge"/>
          <c:x val="0.27602586713697824"/>
          <c:y val="0"/>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j-lt"/>
              <a:ea typeface="+mn-ea"/>
              <a:cs typeface="+mn-cs"/>
            </a:defRPr>
          </a:pPr>
          <a:endParaRPr lang="es-EC"/>
        </a:p>
      </c:txPr>
    </c:title>
    <c:autoTitleDeleted val="0"/>
    <c:plotArea>
      <c:layout>
        <c:manualLayout>
          <c:layoutTarget val="inner"/>
          <c:xMode val="edge"/>
          <c:yMode val="edge"/>
          <c:x val="4.9930651872399444E-2"/>
          <c:y val="0.19432888597258677"/>
          <c:w val="0.93897364771151182"/>
          <c:h val="0.64884186351706041"/>
        </c:manualLayout>
      </c:layout>
      <c:barChart>
        <c:barDir val="bar"/>
        <c:grouping val="stacked"/>
        <c:varyColors val="0"/>
        <c:ser>
          <c:idx val="0"/>
          <c:order val="0"/>
          <c:tx>
            <c:strRef>
              <c:f>'GRÁFICO 8'!$B$3</c:f>
              <c:strCache>
                <c:ptCount val="1"/>
                <c:pt idx="0">
                  <c:v>PROYECCIÓN</c:v>
                </c:pt>
              </c:strCache>
            </c:strRef>
          </c:tx>
          <c:spPr>
            <a:solidFill>
              <a:schemeClr val="accent1"/>
            </a:solidFill>
            <a:ln>
              <a:noFill/>
            </a:ln>
            <a:effectLst/>
          </c:spPr>
          <c:invertIfNegative val="0"/>
          <c:val>
            <c:numRef>
              <c:f>'GRÁFICO 8'!$B$4</c:f>
              <c:numCache>
                <c:formatCode>_(* #,##0.00_);_(* \(#,##0.00\);_(* "-"??_);_(@_)</c:formatCode>
                <c:ptCount val="1"/>
                <c:pt idx="0">
                  <c:v>227.77</c:v>
                </c:pt>
              </c:numCache>
            </c:numRef>
          </c:val>
          <c:extLst>
            <c:ext xmlns:c16="http://schemas.microsoft.com/office/drawing/2014/chart" uri="{C3380CC4-5D6E-409C-BE32-E72D297353CC}">
              <c16:uniqueId val="{00000000-A17E-466B-8551-EAF0939FFBCB}"/>
            </c:ext>
          </c:extLst>
        </c:ser>
        <c:ser>
          <c:idx val="1"/>
          <c:order val="1"/>
          <c:tx>
            <c:strRef>
              <c:f>'GRÁFICO 8'!$C$3</c:f>
              <c:strCache>
                <c:ptCount val="1"/>
                <c:pt idx="0">
                  <c:v>REAL</c:v>
                </c:pt>
              </c:strCache>
            </c:strRef>
          </c:tx>
          <c:spPr>
            <a:solidFill>
              <a:schemeClr val="accent2"/>
            </a:solidFill>
            <a:ln>
              <a:noFill/>
            </a:ln>
            <a:effectLst/>
          </c:spPr>
          <c:invertIfNegative val="0"/>
          <c:val>
            <c:numRef>
              <c:f>'GRÁFICO 8'!$C$4</c:f>
              <c:numCache>
                <c:formatCode>_(* #,##0.00_);_(* \(#,##0.00\);_(* "-"??_);_(@_)</c:formatCode>
                <c:ptCount val="1"/>
                <c:pt idx="0">
                  <c:v>229.94917351000004</c:v>
                </c:pt>
              </c:numCache>
            </c:numRef>
          </c:val>
          <c:extLst>
            <c:ext xmlns:c16="http://schemas.microsoft.com/office/drawing/2014/chart" uri="{C3380CC4-5D6E-409C-BE32-E72D297353CC}">
              <c16:uniqueId val="{00000001-A17E-466B-8551-EAF0939FFBCB}"/>
            </c:ext>
          </c:extLst>
        </c:ser>
        <c:dLbls>
          <c:showLegendKey val="0"/>
          <c:showVal val="0"/>
          <c:showCatName val="0"/>
          <c:showSerName val="0"/>
          <c:showPercent val="0"/>
          <c:showBubbleSize val="0"/>
        </c:dLbls>
        <c:gapWidth val="150"/>
        <c:overlap val="100"/>
        <c:axId val="109068800"/>
        <c:axId val="1687505647"/>
      </c:barChart>
      <c:valAx>
        <c:axId val="1687505647"/>
        <c:scaling>
          <c:orientation val="minMax"/>
          <c:max val="250"/>
          <c:min val="0"/>
        </c:scaling>
        <c:delete val="1"/>
        <c:axPos val="t"/>
        <c:numFmt formatCode="_(* #,##0.00_);_(* \(#,##0.00\);_(* &quot;-&quot;??_);_(@_)" sourceLinked="1"/>
        <c:majorTickMark val="out"/>
        <c:minorTickMark val="none"/>
        <c:tickLblPos val="nextTo"/>
        <c:crossAx val="109068800"/>
        <c:crosses val="max"/>
        <c:crossBetween val="between"/>
      </c:valAx>
      <c:catAx>
        <c:axId val="109068800"/>
        <c:scaling>
          <c:orientation val="minMax"/>
        </c:scaling>
        <c:delete val="1"/>
        <c:axPos val="l"/>
        <c:numFmt formatCode="General" sourceLinked="1"/>
        <c:majorTickMark val="out"/>
        <c:minorTickMark val="none"/>
        <c:tickLblPos val="nextTo"/>
        <c:crossAx val="168750564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noFill/>
      <a:round/>
    </a:ln>
    <a:effectLst/>
  </c:spPr>
  <c:txPr>
    <a:bodyPr/>
    <a:lstStyle/>
    <a:p>
      <a:pPr>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523552025876284"/>
          <c:y val="1.8363862411935349E-2"/>
          <c:w val="0.42782147734492176"/>
          <c:h val="0.91175233551810408"/>
        </c:manualLayout>
      </c:layout>
      <c:barChart>
        <c:barDir val="bar"/>
        <c:grouping val="clustered"/>
        <c:varyColors val="0"/>
        <c:ser>
          <c:idx val="0"/>
          <c:order val="0"/>
          <c:spPr>
            <a:solidFill>
              <a:schemeClr val="accent1"/>
            </a:solidFill>
            <a:ln>
              <a:noFill/>
            </a:ln>
            <a:effectLst/>
          </c:spPr>
          <c:invertIfNegative val="0"/>
          <c:dPt>
            <c:idx val="3"/>
            <c:invertIfNegative val="0"/>
            <c:bubble3D val="0"/>
            <c:spPr>
              <a:solidFill>
                <a:schemeClr val="accent5">
                  <a:lumMod val="75000"/>
                </a:schemeClr>
              </a:solidFill>
              <a:ln>
                <a:noFill/>
              </a:ln>
              <a:effectLst/>
            </c:spPr>
            <c:extLst>
              <c:ext xmlns:c16="http://schemas.microsoft.com/office/drawing/2014/chart" uri="{C3380CC4-5D6E-409C-BE32-E72D297353CC}">
                <c16:uniqueId val="{00000001-2641-43BF-9F1D-BE6778BEAA15}"/>
              </c:ext>
            </c:extLst>
          </c:dPt>
          <c:dPt>
            <c:idx val="4"/>
            <c:invertIfNegative val="0"/>
            <c:bubble3D val="0"/>
            <c:spPr>
              <a:solidFill>
                <a:srgbClr val="00B050"/>
              </a:solidFill>
              <a:ln>
                <a:noFill/>
              </a:ln>
              <a:effectLst/>
            </c:spPr>
            <c:extLst>
              <c:ext xmlns:c16="http://schemas.microsoft.com/office/drawing/2014/chart" uri="{C3380CC4-5D6E-409C-BE32-E72D297353CC}">
                <c16:uniqueId val="{00000003-2641-43BF-9F1D-BE6778BEAA15}"/>
              </c:ext>
            </c:extLst>
          </c:dPt>
          <c:dLbls>
            <c:dLbl>
              <c:idx val="3"/>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9386DCA7-2B57-4C67-BF71-DBD3DFFAD24F}" type="VALUE">
                      <a:rPr lang="en-US" b="0">
                        <a:solidFill>
                          <a:sysClr val="windowText" lastClr="000000"/>
                        </a:solidFill>
                      </a:rPr>
                      <a:pPr>
                        <a:defRPr>
                          <a:solidFill>
                            <a:sysClr val="windowText" lastClr="000000"/>
                          </a:solidFill>
                        </a:defRPr>
                      </a:pPr>
                      <a:t>[VALOR]</a:t>
                    </a:fld>
                    <a:endParaRPr lang="es-EC"/>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641-43BF-9F1D-BE6778BEAA15}"/>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mn-lt"/>
                      <a:ea typeface="+mn-ea"/>
                      <a:cs typeface="+mn-cs"/>
                    </a:defRPr>
                  </a:pPr>
                  <a:endParaRPr lang="es-EC"/>
                </a:p>
              </c:txPr>
              <c:showLegendKey val="0"/>
              <c:showVal val="1"/>
              <c:showCatName val="0"/>
              <c:showSerName val="0"/>
              <c:showPercent val="0"/>
              <c:showBubbleSize val="0"/>
              <c:extLst>
                <c:ext xmlns:c16="http://schemas.microsoft.com/office/drawing/2014/chart" uri="{C3380CC4-5D6E-409C-BE32-E72D297353CC}">
                  <c16:uniqueId val="{00000003-2641-43BF-9F1D-BE6778BEAA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1'!$D$7:$D$35</c:f>
              <c:strCache>
                <c:ptCount val="29"/>
                <c:pt idx="0">
                  <c:v>PETROLEO CRUDO</c:v>
                </c:pt>
                <c:pt idx="1">
                  <c:v>CAMARON</c:v>
                </c:pt>
                <c:pt idx="2">
                  <c:v>BANANO Y PLATANO</c:v>
                </c:pt>
                <c:pt idx="3">
                  <c:v>CACAO Y ELABORADOS</c:v>
                </c:pt>
                <c:pt idx="4">
                  <c:v>PRODUCTOS MINEROS</c:v>
                </c:pt>
                <c:pt idx="5">
                  <c:v>ENLATADOS DE PESCADO</c:v>
                </c:pt>
                <c:pt idx="6">
                  <c:v>OTROS INDUSTRIALIZADOS</c:v>
                </c:pt>
                <c:pt idx="7">
                  <c:v>FLORES NATURALES</c:v>
                </c:pt>
                <c:pt idx="8">
                  <c:v>DERIVADOS DE PETROLEO</c:v>
                </c:pt>
                <c:pt idx="9">
                  <c:v>OTRAS MANUFAC. DE METALES</c:v>
                </c:pt>
                <c:pt idx="10">
                  <c:v>MADERA</c:v>
                </c:pt>
                <c:pt idx="11">
                  <c:v>FRUTAS</c:v>
                </c:pt>
                <c:pt idx="12">
                  <c:v>ATUN Y PESCADO</c:v>
                </c:pt>
                <c:pt idx="13">
                  <c:v>OTROS PRIMARIOS</c:v>
                </c:pt>
                <c:pt idx="14">
                  <c:v>ELABORADOS DE BANANO</c:v>
                </c:pt>
                <c:pt idx="15">
                  <c:v>QUIMICOS Y FARMACOS</c:v>
                </c:pt>
                <c:pt idx="16">
                  <c:v>EXTRACTOS Y ACEITES VEGETALES</c:v>
                </c:pt>
                <c:pt idx="17">
                  <c:v>MANUFAC. DE CUERO, PLASTICO Y CAUCHO</c:v>
                </c:pt>
                <c:pt idx="18">
                  <c:v>CAFE Y ELABORADOS</c:v>
                </c:pt>
                <c:pt idx="19">
                  <c:v>HARINA DE PESCADO</c:v>
                </c:pt>
                <c:pt idx="20">
                  <c:v>JUGOS Y CONSERVAS DE FRUTAS</c:v>
                </c:pt>
                <c:pt idx="21">
                  <c:v>TABACO EN RAMA</c:v>
                </c:pt>
                <c:pt idx="22">
                  <c:v>VEHICULOS Y SUS PARTES</c:v>
                </c:pt>
                <c:pt idx="23">
                  <c:v>OTROS ELABORADOS DEL MAR</c:v>
                </c:pt>
                <c:pt idx="24">
                  <c:v>MADERAS TERCIADAS Y PRENSADAS</c:v>
                </c:pt>
                <c:pt idx="25">
                  <c:v>MANUFAC. DE PAPEL Y CARTON</c:v>
                </c:pt>
                <c:pt idx="26">
                  <c:v>OTRAS MANUFAC. DE TEXTILES</c:v>
                </c:pt>
                <c:pt idx="27">
                  <c:v>PRENDAS DE VESTIR DE FIBRAS TEXTILES</c:v>
                </c:pt>
                <c:pt idx="28">
                  <c:v>ABACA</c:v>
                </c:pt>
              </c:strCache>
            </c:strRef>
          </c:cat>
          <c:val>
            <c:numRef>
              <c:f>'GRÁFICO 1'!$F$7:$F$35</c:f>
              <c:numCache>
                <c:formatCode>_-* #,##0.00\ _€_-;\-* #,##0.00\ _€_-;_-* "-"??\ _€_-;_-@_-</c:formatCode>
                <c:ptCount val="29"/>
                <c:pt idx="0">
                  <c:v>8646.5434858700009</c:v>
                </c:pt>
                <c:pt idx="1">
                  <c:v>6991.7384651019802</c:v>
                </c:pt>
                <c:pt idx="2">
                  <c:v>3838.701655704002</c:v>
                </c:pt>
                <c:pt idx="3">
                  <c:v>3617.9470403849919</c:v>
                </c:pt>
                <c:pt idx="4">
                  <c:v>3074.8507688880054</c:v>
                </c:pt>
                <c:pt idx="5">
                  <c:v>1675.9833267870001</c:v>
                </c:pt>
                <c:pt idx="6">
                  <c:v>1048.8607374809922</c:v>
                </c:pt>
                <c:pt idx="7">
                  <c:v>1015.9540520220016</c:v>
                </c:pt>
                <c:pt idx="8">
                  <c:v>925.74586492700053</c:v>
                </c:pt>
                <c:pt idx="9">
                  <c:v>435.58149765399924</c:v>
                </c:pt>
                <c:pt idx="10">
                  <c:v>435.35715860999954</c:v>
                </c:pt>
                <c:pt idx="11">
                  <c:v>371.27758046100013</c:v>
                </c:pt>
                <c:pt idx="12">
                  <c:v>333.10866823199888</c:v>
                </c:pt>
                <c:pt idx="13">
                  <c:v>253.93553951200042</c:v>
                </c:pt>
                <c:pt idx="14">
                  <c:v>225.85243887500013</c:v>
                </c:pt>
                <c:pt idx="15">
                  <c:v>205.51103203400055</c:v>
                </c:pt>
                <c:pt idx="16">
                  <c:v>205.31096110000024</c:v>
                </c:pt>
                <c:pt idx="17">
                  <c:v>198.29156477399982</c:v>
                </c:pt>
                <c:pt idx="18">
                  <c:v>144.99803434400002</c:v>
                </c:pt>
                <c:pt idx="19">
                  <c:v>128.67845235000004</c:v>
                </c:pt>
                <c:pt idx="20">
                  <c:v>117.29329573900011</c:v>
                </c:pt>
                <c:pt idx="21">
                  <c:v>93.072712571000011</c:v>
                </c:pt>
                <c:pt idx="22">
                  <c:v>89.091470612999998</c:v>
                </c:pt>
                <c:pt idx="23">
                  <c:v>85.787878149999997</c:v>
                </c:pt>
                <c:pt idx="24">
                  <c:v>81.064902215999965</c:v>
                </c:pt>
                <c:pt idx="25">
                  <c:v>74.742516409000004</c:v>
                </c:pt>
                <c:pt idx="26">
                  <c:v>53.126288752000058</c:v>
                </c:pt>
                <c:pt idx="27">
                  <c:v>28.778521088999963</c:v>
                </c:pt>
                <c:pt idx="28">
                  <c:v>23.646572070000005</c:v>
                </c:pt>
              </c:numCache>
            </c:numRef>
          </c:val>
          <c:extLst>
            <c:ext xmlns:c16="http://schemas.microsoft.com/office/drawing/2014/chart" uri="{C3380CC4-5D6E-409C-BE32-E72D297353CC}">
              <c16:uniqueId val="{00000004-2641-43BF-9F1D-BE6778BEAA15}"/>
            </c:ext>
          </c:extLst>
        </c:ser>
        <c:dLbls>
          <c:showLegendKey val="0"/>
          <c:showVal val="0"/>
          <c:showCatName val="0"/>
          <c:showSerName val="0"/>
          <c:showPercent val="0"/>
          <c:showBubbleSize val="0"/>
        </c:dLbls>
        <c:gapWidth val="182"/>
        <c:axId val="2080119391"/>
        <c:axId val="1225544015"/>
      </c:barChart>
      <c:catAx>
        <c:axId val="20801193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225544015"/>
        <c:crosses val="autoZero"/>
        <c:auto val="0"/>
        <c:lblAlgn val="ctr"/>
        <c:lblOffset val="100"/>
        <c:noMultiLvlLbl val="0"/>
      </c:catAx>
      <c:valAx>
        <c:axId val="1225544015"/>
        <c:scaling>
          <c:orientation val="minMax"/>
          <c:max val="8500"/>
        </c:scaling>
        <c:delete val="1"/>
        <c:axPos val="t"/>
        <c:numFmt formatCode="_-* #,##0.00\ _€_-;\-* #,##0.00\ _€_-;_-* &quot;-&quot;??\ _€_-;_-@_-" sourceLinked="1"/>
        <c:majorTickMark val="out"/>
        <c:minorTickMark val="none"/>
        <c:tickLblPos val="nextTo"/>
        <c:crossAx val="2080119391"/>
        <c:crossesAt val="1"/>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'GRÁFICO 10'!$B$16</c:f>
              <c:strCache>
                <c:ptCount val="1"/>
                <c:pt idx="0">
                  <c:v>REAL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'GRÁFICO 10'!$B$17</c:f>
              <c:numCache>
                <c:formatCode>0.00%</c:formatCode>
                <c:ptCount val="1"/>
                <c:pt idx="0">
                  <c:v>0.91133692023947999</c:v>
                </c:pt>
              </c:numCache>
            </c:numRef>
          </c:val>
          <c:extLst>
            <c:ext xmlns:c16="http://schemas.microsoft.com/office/drawing/2014/chart" uri="{C3380CC4-5D6E-409C-BE32-E72D297353CC}">
              <c16:uniqueId val="{00000000-AE55-4AC8-9FC8-8CAEB1A3893D}"/>
            </c:ext>
          </c:extLst>
        </c:ser>
        <c:ser>
          <c:idx val="1"/>
          <c:order val="1"/>
          <c:tx>
            <c:strRef>
              <c:f>'GRÁFICO 10'!$C$16</c:f>
              <c:strCache>
                <c:ptCount val="1"/>
                <c:pt idx="0">
                  <c:v>PROYECCIÓN 2024</c:v>
                </c:pt>
              </c:strCache>
            </c:strRef>
          </c:tx>
          <c:spPr>
            <a:solidFill>
              <a:schemeClr val="accent2"/>
            </a:solidFill>
            <a:ln>
              <a:noFill/>
            </a:ln>
            <a:effectLst/>
          </c:spPr>
          <c:invertIfNegative val="0"/>
          <c:dLbls>
            <c:delete val="1"/>
          </c:dLbls>
          <c:val>
            <c:numRef>
              <c:f>'GRÁFICO 10'!$C$17</c:f>
              <c:numCache>
                <c:formatCode>0.00%</c:formatCode>
                <c:ptCount val="1"/>
                <c:pt idx="0">
                  <c:v>8.8663079760520014E-2</c:v>
                </c:pt>
              </c:numCache>
            </c:numRef>
          </c:val>
          <c:extLst>
            <c:ext xmlns:c16="http://schemas.microsoft.com/office/drawing/2014/chart" uri="{C3380CC4-5D6E-409C-BE32-E72D297353CC}">
              <c16:uniqueId val="{00000001-AE55-4AC8-9FC8-8CAEB1A3893D}"/>
            </c:ext>
          </c:extLst>
        </c:ser>
        <c:dLbls>
          <c:dLblPos val="ctr"/>
          <c:showLegendKey val="0"/>
          <c:showVal val="1"/>
          <c:showCatName val="0"/>
          <c:showSerName val="0"/>
          <c:showPercent val="0"/>
          <c:showBubbleSize val="0"/>
        </c:dLbls>
        <c:gapWidth val="150"/>
        <c:overlap val="100"/>
        <c:axId val="1688508383"/>
        <c:axId val="1295119087"/>
      </c:barChart>
      <c:catAx>
        <c:axId val="1688508383"/>
        <c:scaling>
          <c:orientation val="minMax"/>
        </c:scaling>
        <c:delete val="1"/>
        <c:axPos val="l"/>
        <c:numFmt formatCode="General" sourceLinked="1"/>
        <c:majorTickMark val="out"/>
        <c:minorTickMark val="none"/>
        <c:tickLblPos val="nextTo"/>
        <c:crossAx val="1295119087"/>
        <c:crosses val="autoZero"/>
        <c:auto val="1"/>
        <c:lblAlgn val="ctr"/>
        <c:lblOffset val="100"/>
        <c:noMultiLvlLbl val="0"/>
      </c:catAx>
      <c:valAx>
        <c:axId val="1295119087"/>
        <c:scaling>
          <c:orientation val="minMax"/>
          <c:max val="1.1000000000000001"/>
          <c:min val="0"/>
        </c:scaling>
        <c:delete val="1"/>
        <c:axPos val="b"/>
        <c:numFmt formatCode="0.00%" sourceLinked="1"/>
        <c:majorTickMark val="out"/>
        <c:minorTickMark val="none"/>
        <c:tickLblPos val="nextTo"/>
        <c:crossAx val="1688508383"/>
        <c:crosses val="autoZero"/>
        <c:crossBetween val="between"/>
      </c:valAx>
      <c:spPr>
        <a:noFill/>
        <a:ln>
          <a:noFill/>
        </a:ln>
        <a:effectLst/>
      </c:spPr>
    </c:plotArea>
    <c:legend>
      <c:legendPos val="b"/>
      <c:layout>
        <c:manualLayout>
          <c:xMode val="edge"/>
          <c:yMode val="edge"/>
          <c:x val="0.20975922874574437"/>
          <c:y val="0.88111283681282959"/>
          <c:w val="0.6310057074938471"/>
          <c:h val="7.74087986708083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EC"/>
        </a:p>
      </c:txPr>
    </c:legend>
    <c:plotVisOnly val="1"/>
    <c:dispBlanksAs val="gap"/>
    <c:showDLblsOverMax val="0"/>
  </c:chart>
  <c:spPr>
    <a:solidFill>
      <a:schemeClr val="bg1"/>
    </a:solidFill>
    <a:ln w="9525" cap="flat" cmpd="sng" algn="ctr">
      <a:noFill/>
      <a:round/>
    </a:ln>
    <a:effectLst/>
  </c:spPr>
  <c:txPr>
    <a:bodyPr/>
    <a:lstStyle/>
    <a:p>
      <a:pPr>
        <a:defRPr/>
      </a:pPr>
      <a:endParaRPr lang="es-EC"/>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59"/>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888888888888892E-2"/>
          <c:y val="0.41666666666666669"/>
          <c:w val="0.65"/>
          <c:h val="0.54808945756780403"/>
        </c:manualLayout>
      </c:layout>
      <c:pie3DChart>
        <c:varyColors val="1"/>
        <c:ser>
          <c:idx val="0"/>
          <c:order val="0"/>
          <c:tx>
            <c:strRef>
              <c:f>'Produccion Energética'!$C$4</c:f>
              <c:strCache>
                <c:ptCount val="1"/>
                <c:pt idx="0">
                  <c:v>GWh</c:v>
                </c:pt>
              </c:strCache>
            </c:strRef>
          </c:tx>
          <c:spPr>
            <a:ln>
              <a:solidFill>
                <a:schemeClr val="tx2">
                  <a:lumMod val="60000"/>
                  <a:lumOff val="40000"/>
                </a:schemeClr>
              </a:solidFill>
            </a:ln>
          </c:spPr>
          <c:dPt>
            <c:idx val="0"/>
            <c:bubble3D val="0"/>
            <c:spPr>
              <a:solidFill>
                <a:srgbClr val="0070C0">
                  <a:alpha val="95000"/>
                </a:srgbClr>
              </a:solidFill>
              <a:ln w="25400">
                <a:solidFill>
                  <a:schemeClr val="tx2">
                    <a:lumMod val="60000"/>
                    <a:lumOff val="40000"/>
                  </a:schemeClr>
                </a:solidFill>
              </a:ln>
              <a:effectLst/>
              <a:sp3d contourW="25400">
                <a:contourClr>
                  <a:schemeClr val="tx2">
                    <a:lumMod val="60000"/>
                    <a:lumOff val="40000"/>
                  </a:schemeClr>
                </a:contourClr>
              </a:sp3d>
            </c:spPr>
            <c:extLst>
              <c:ext xmlns:c16="http://schemas.microsoft.com/office/drawing/2014/chart" uri="{C3380CC4-5D6E-409C-BE32-E72D297353CC}">
                <c16:uniqueId val="{00000001-1D8F-400A-8E8D-6D52E9AF60D8}"/>
              </c:ext>
            </c:extLst>
          </c:dPt>
          <c:dPt>
            <c:idx val="1"/>
            <c:bubble3D val="0"/>
            <c:spPr>
              <a:solidFill>
                <a:srgbClr val="C00000"/>
              </a:solidFill>
              <a:ln w="25400">
                <a:solidFill>
                  <a:schemeClr val="tx2">
                    <a:lumMod val="60000"/>
                    <a:lumOff val="40000"/>
                  </a:schemeClr>
                </a:solidFill>
              </a:ln>
              <a:effectLst/>
              <a:sp3d contourW="25400">
                <a:contourClr>
                  <a:schemeClr val="tx2">
                    <a:lumMod val="60000"/>
                    <a:lumOff val="40000"/>
                  </a:schemeClr>
                </a:contourClr>
              </a:sp3d>
            </c:spPr>
            <c:extLst>
              <c:ext xmlns:c16="http://schemas.microsoft.com/office/drawing/2014/chart" uri="{C3380CC4-5D6E-409C-BE32-E72D297353CC}">
                <c16:uniqueId val="{00000003-1D8F-400A-8E8D-6D52E9AF60D8}"/>
              </c:ext>
            </c:extLst>
          </c:dPt>
          <c:dPt>
            <c:idx val="2"/>
            <c:bubble3D val="0"/>
            <c:spPr>
              <a:solidFill>
                <a:srgbClr val="92D050">
                  <a:alpha val="87000"/>
                </a:srgbClr>
              </a:solidFill>
              <a:ln w="25400">
                <a:solidFill>
                  <a:schemeClr val="tx2">
                    <a:lumMod val="60000"/>
                    <a:lumOff val="40000"/>
                  </a:schemeClr>
                </a:solidFill>
              </a:ln>
              <a:effectLst/>
              <a:sp3d contourW="25400">
                <a:contourClr>
                  <a:schemeClr val="tx2">
                    <a:lumMod val="60000"/>
                    <a:lumOff val="40000"/>
                  </a:schemeClr>
                </a:contourClr>
              </a:sp3d>
            </c:spPr>
            <c:extLst>
              <c:ext xmlns:c16="http://schemas.microsoft.com/office/drawing/2014/chart" uri="{C3380CC4-5D6E-409C-BE32-E72D297353CC}">
                <c16:uniqueId val="{00000005-1D8F-400A-8E8D-6D52E9AF60D8}"/>
              </c:ext>
            </c:extLst>
          </c:dPt>
          <c:dPt>
            <c:idx val="3"/>
            <c:bubble3D val="0"/>
            <c:spPr>
              <a:solidFill>
                <a:schemeClr val="bg2">
                  <a:lumMod val="50000"/>
                  <a:alpha val="87000"/>
                </a:schemeClr>
              </a:solidFill>
              <a:ln w="25400">
                <a:solidFill>
                  <a:schemeClr val="tx2">
                    <a:lumMod val="60000"/>
                    <a:lumOff val="40000"/>
                  </a:schemeClr>
                </a:solidFill>
              </a:ln>
              <a:effectLst/>
              <a:sp3d contourW="25400">
                <a:contourClr>
                  <a:schemeClr val="tx2">
                    <a:lumMod val="60000"/>
                    <a:lumOff val="40000"/>
                  </a:schemeClr>
                </a:contourClr>
              </a:sp3d>
            </c:spPr>
            <c:extLst>
              <c:ext xmlns:c16="http://schemas.microsoft.com/office/drawing/2014/chart" uri="{C3380CC4-5D6E-409C-BE32-E72D297353CC}">
                <c16:uniqueId val="{00000007-1D8F-400A-8E8D-6D52E9AF60D8}"/>
              </c:ext>
            </c:extLst>
          </c:dPt>
          <c:dLbls>
            <c:dLbl>
              <c:idx val="0"/>
              <c:tx>
                <c:rich>
                  <a:bodyPr/>
                  <a:lstStyle/>
                  <a:p>
                    <a:fld id="{D2C218BC-CE3F-46CD-8772-C59FAB366347}" type="CATEGORYNAME">
                      <a:rPr lang="en-US"/>
                      <a:pPr/>
                      <a:t>[NOMBRE DE CATEGORÍA]</a:t>
                    </a:fld>
                    <a:endParaRPr lang="en-US" baseline="0"/>
                  </a:p>
                  <a:p>
                    <a:fld id="{0D578A79-F6D6-41B8-92E9-D58F18F0D121}" type="VALUE">
                      <a:rPr lang="en-US"/>
                      <a:pPr/>
                      <a:t>[VALOR]</a:t>
                    </a:fld>
                    <a:r>
                      <a:rPr lang="en-US"/>
                      <a:t> GWh</a:t>
                    </a:r>
                    <a:endParaRPr lang="en-US" baseline="0"/>
                  </a:p>
                  <a:p>
                    <a:fld id="{70003F6C-4749-49EC-9E32-392795FF8124}" type="PERCENTAGE">
                      <a:rPr lang="en-US"/>
                      <a:pPr/>
                      <a:t>[PORCENTAJE]</a:t>
                    </a:fld>
                    <a:endParaRPr lang="es-EC"/>
                  </a:p>
                </c:rich>
              </c:tx>
              <c:dLblPos val="outEnd"/>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1D8F-400A-8E8D-6D52E9AF60D8}"/>
                </c:ext>
              </c:extLst>
            </c:dLbl>
            <c:dLbl>
              <c:idx val="1"/>
              <c:layout>
                <c:manualLayout>
                  <c:x val="-1.388888888888889E-2"/>
                  <c:y val="-7.4074074074074112E-2"/>
                </c:manualLayout>
              </c:layout>
              <c:tx>
                <c:rich>
                  <a:bodyPr/>
                  <a:lstStyle/>
                  <a:p>
                    <a:fld id="{DC6654FD-34A9-4AEF-B613-F5AA295DF594}" type="CATEGORYNAME">
                      <a:rPr lang="en-US"/>
                      <a:pPr/>
                      <a:t>[NOMBRE DE CATEGORÍA]</a:t>
                    </a:fld>
                    <a:endParaRPr lang="en-US" baseline="0"/>
                  </a:p>
                  <a:p>
                    <a:fld id="{9130F7C9-0DC2-4CA9-BF7E-3EED33689432}" type="VALUE">
                      <a:rPr lang="en-US"/>
                      <a:pPr/>
                      <a:t>[VALOR]</a:t>
                    </a:fld>
                    <a:r>
                      <a:rPr lang="en-US"/>
                      <a:t> GWh</a:t>
                    </a:r>
                    <a:endParaRPr lang="en-US" baseline="0"/>
                  </a:p>
                  <a:p>
                    <a:fld id="{D2FE6D23-63B7-4985-8C10-99B2D5948217}" type="PERCENTAGE">
                      <a:rPr lang="en-US"/>
                      <a:pPr/>
                      <a:t>[PORCENTAJE]</a:t>
                    </a:fld>
                    <a:endParaRPr lang="es-EC"/>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1D8F-400A-8E8D-6D52E9AF60D8}"/>
                </c:ext>
              </c:extLst>
            </c:dLbl>
            <c:dLbl>
              <c:idx val="2"/>
              <c:layout>
                <c:manualLayout>
                  <c:x val="8.3333333333333211E-3"/>
                  <c:y val="-0.125"/>
                </c:manualLayout>
              </c:layout>
              <c:tx>
                <c:rich>
                  <a:bodyPr/>
                  <a:lstStyle/>
                  <a:p>
                    <a:fld id="{14751014-FB7B-4168-B890-50F3BBEE8490}" type="CATEGORYNAME">
                      <a:rPr lang="en-US"/>
                      <a:pPr/>
                      <a:t>[NOMBRE DE CATEGORÍA]</a:t>
                    </a:fld>
                    <a:endParaRPr lang="en-US" baseline="0"/>
                  </a:p>
                  <a:p>
                    <a:fld id="{F72F60A1-3076-4CB9-8423-A796E1AAC83F}" type="VALUE">
                      <a:rPr lang="en-US"/>
                      <a:pPr/>
                      <a:t>[VALOR]</a:t>
                    </a:fld>
                    <a:r>
                      <a:rPr lang="en-US"/>
                      <a:t> GWh</a:t>
                    </a:r>
                    <a:endParaRPr lang="en-US" baseline="0"/>
                  </a:p>
                  <a:p>
                    <a:fld id="{7A265B95-52C9-41A7-96B2-EA375DC8D958}" type="PERCENTAGE">
                      <a:rPr lang="en-US"/>
                      <a:pPr/>
                      <a:t>[PORCENTAJE]</a:t>
                    </a:fld>
                    <a:endParaRPr lang="es-EC"/>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1D8F-400A-8E8D-6D52E9AF60D8}"/>
                </c:ext>
              </c:extLst>
            </c:dLbl>
            <c:dLbl>
              <c:idx val="3"/>
              <c:layout>
                <c:manualLayout>
                  <c:x val="0.16666666666666666"/>
                  <c:y val="-9.7222222222222238E-2"/>
                </c:manualLayout>
              </c:layout>
              <c:tx>
                <c:rich>
                  <a:bodyPr/>
                  <a:lstStyle/>
                  <a:p>
                    <a:fld id="{DBE8DC08-1F72-4F73-89E2-FD30E12F94B0}" type="CATEGORYNAME">
                      <a:rPr lang="en-US"/>
                      <a:pPr/>
                      <a:t>[NOMBRE DE CATEGORÍA]</a:t>
                    </a:fld>
                    <a:endParaRPr lang="en-US" baseline="0"/>
                  </a:p>
                  <a:p>
                    <a:fld id="{5917143B-5E14-48F8-8370-F865D9889B1C}" type="VALUE">
                      <a:rPr lang="en-US"/>
                      <a:pPr/>
                      <a:t>[VALOR]</a:t>
                    </a:fld>
                    <a:r>
                      <a:rPr lang="en-US"/>
                      <a:t> GWh</a:t>
                    </a:r>
                    <a:endParaRPr lang="en-US" baseline="0"/>
                  </a:p>
                  <a:p>
                    <a:fld id="{54B57FD3-95CC-409B-84F2-CB97CD640C9B}" type="PERCENTAGE">
                      <a:rPr lang="en-US"/>
                      <a:pPr/>
                      <a:t>[PORCENTAJE]</a:t>
                    </a:fld>
                    <a:endParaRPr lang="es-EC"/>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1D8F-400A-8E8D-6D52E9AF60D8}"/>
                </c:ext>
              </c:extLst>
            </c:dLbl>
            <c:spPr>
              <a:noFill/>
              <a:ln w="0" cmpd="dbl">
                <a:solidFill>
                  <a:sysClr val="windowText" lastClr="000000"/>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s-EC"/>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'Produccion Energética'!$B$5:$B$8</c:f>
              <c:strCache>
                <c:ptCount val="4"/>
                <c:pt idx="0">
                  <c:v>Hidroeléctrico</c:v>
                </c:pt>
                <c:pt idx="1">
                  <c:v>Termoeléctrico</c:v>
                </c:pt>
                <c:pt idx="2">
                  <c:v>No convencional</c:v>
                </c:pt>
                <c:pt idx="3">
                  <c:v>Interconexión</c:v>
                </c:pt>
              </c:strCache>
            </c:strRef>
          </c:cat>
          <c:val>
            <c:numRef>
              <c:f>'Produccion Energética'!$C$5:$C$8</c:f>
              <c:numCache>
                <c:formatCode>#,##0.00</c:formatCode>
                <c:ptCount val="4"/>
                <c:pt idx="0">
                  <c:v>22956.42</c:v>
                </c:pt>
                <c:pt idx="1">
                  <c:v>6758.83</c:v>
                </c:pt>
                <c:pt idx="2">
                  <c:v>3076.78</c:v>
                </c:pt>
                <c:pt idx="3">
                  <c:v>1269.58</c:v>
                </c:pt>
              </c:numCache>
            </c:numRef>
          </c:val>
          <c:extLst>
            <c:ext xmlns:c16="http://schemas.microsoft.com/office/drawing/2014/chart" uri="{C3380CC4-5D6E-409C-BE32-E72D297353CC}">
              <c16:uniqueId val="{00000008-1D8F-400A-8E8D-6D52E9AF60D8}"/>
            </c:ext>
          </c:extLst>
        </c:ser>
        <c:dLbls>
          <c:showLegendKey val="0"/>
          <c:showVal val="0"/>
          <c:showCatName val="0"/>
          <c:showSerName val="0"/>
          <c:showPercent val="0"/>
          <c:showBubbleSize val="0"/>
          <c:showLeaderLines val="0"/>
        </c:dLbls>
      </c:pie3DChart>
      <c:spPr>
        <a:noFill/>
        <a:ln>
          <a:solidFill>
            <a:schemeClr val="accent1">
              <a:alpha val="2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dpi="0" rotWithShape="1">
      <a:blip xmlns:r="http://schemas.openxmlformats.org/officeDocument/2006/relationships" r:embed="rId3">
        <a:alphaModFix amt="29000"/>
      </a:blip>
      <a:srcRect/>
      <a:stretch>
        <a:fillRect l="28000" t="-11000" r="3000" b="33000"/>
      </a:stretch>
    </a:blipFill>
    <a:ln w="9525" cap="flat" cmpd="sng" algn="ctr">
      <a:noFill/>
      <a:round/>
    </a:ln>
    <a:effectLst/>
  </c:spPr>
  <c:txPr>
    <a:bodyPr/>
    <a:lstStyle/>
    <a:p>
      <a:pPr>
        <a:defRPr>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s-EC"/>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'Exportación Importación 2024'!$C$3</c:f>
              <c:strCache>
                <c:ptCount val="1"/>
                <c:pt idx="0">
                  <c:v>Importaciones (GWh)</c:v>
                </c:pt>
              </c:strCache>
            </c:strRef>
          </c:tx>
          <c:spPr>
            <a:solidFill>
              <a:srgbClr val="3333CC"/>
            </a:soli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c:spPr>
          <c:invertIfNegative val="0"/>
          <c:cat>
            <c:strRef>
              <c:f>'Exportación Importación 2024'!$B$4:$B$15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'Exportación Importación 2024'!$C$4:$C$15</c:f>
              <c:numCache>
                <c:formatCode>0.00</c:formatCode>
                <c:ptCount val="12"/>
                <c:pt idx="0">
                  <c:v>48.45</c:v>
                </c:pt>
                <c:pt idx="1">
                  <c:v>10.08</c:v>
                </c:pt>
                <c:pt idx="2">
                  <c:v>129.01</c:v>
                </c:pt>
                <c:pt idx="3">
                  <c:v>37.270000000000003</c:v>
                </c:pt>
                <c:pt idx="4">
                  <c:v>46.57</c:v>
                </c:pt>
                <c:pt idx="5">
                  <c:v>16.559999999999999</c:v>
                </c:pt>
                <c:pt idx="6">
                  <c:v>50.79</c:v>
                </c:pt>
                <c:pt idx="7">
                  <c:v>282.87</c:v>
                </c:pt>
                <c:pt idx="8">
                  <c:v>245.35</c:v>
                </c:pt>
                <c:pt idx="9">
                  <c:v>5.53</c:v>
                </c:pt>
                <c:pt idx="10">
                  <c:v>140.47999999999999</c:v>
                </c:pt>
                <c:pt idx="11">
                  <c:v>256.58999999999997</c:v>
                </c:pt>
              </c:numCache>
            </c:numRef>
          </c:val>
          <c:extLst>
            <c:ext xmlns:c16="http://schemas.microsoft.com/office/drawing/2014/chart" uri="{C3380CC4-5D6E-409C-BE32-E72D297353CC}">
              <c16:uniqueId val="{00000000-82EC-4B39-8E4E-B0B5161CA15D}"/>
            </c:ext>
          </c:extLst>
        </c:ser>
        <c:ser>
          <c:idx val="1"/>
          <c:order val="1"/>
          <c:tx>
            <c:strRef>
              <c:f>'Exportación Importación 2024'!$D$3</c:f>
              <c:strCache>
                <c:ptCount val="1"/>
                <c:pt idx="0">
                  <c:v>Exportaciónes (GWh)</c:v>
                </c:pt>
              </c:strCache>
            </c:strRef>
          </c:tx>
          <c:spPr>
            <a:solidFill>
              <a:srgbClr val="FF6600"/>
            </a:soli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c:spPr>
          <c:invertIfNegative val="0"/>
          <c:cat>
            <c:strRef>
              <c:f>'Exportación Importación 2024'!$B$4:$B$15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'Exportación Importación 2024'!$D$4:$D$15</c:f>
              <c:numCache>
                <c:formatCode>General</c:formatCode>
                <c:ptCount val="12"/>
                <c:pt idx="0">
                  <c:v>0.47</c:v>
                </c:pt>
                <c:pt idx="1">
                  <c:v>4.71</c:v>
                </c:pt>
                <c:pt idx="2">
                  <c:v>0.03</c:v>
                </c:pt>
                <c:pt idx="3">
                  <c:v>0.23</c:v>
                </c:pt>
                <c:pt idx="4">
                  <c:v>0.23</c:v>
                </c:pt>
                <c:pt idx="5">
                  <c:v>38.39</c:v>
                </c:pt>
                <c:pt idx="6">
                  <c:v>0.65</c:v>
                </c:pt>
                <c:pt idx="7">
                  <c:v>0</c:v>
                </c:pt>
                <c:pt idx="8">
                  <c:v>0.01</c:v>
                </c:pt>
                <c:pt idx="9">
                  <c:v>0.25</c:v>
                </c:pt>
                <c:pt idx="10">
                  <c:v>0.15</c:v>
                </c:pt>
                <c:pt idx="11">
                  <c:v>0.01</c:v>
                </c:pt>
              </c:numCache>
            </c:numRef>
          </c:val>
          <c:extLst>
            <c:ext xmlns:c16="http://schemas.microsoft.com/office/drawing/2014/chart" uri="{C3380CC4-5D6E-409C-BE32-E72D297353CC}">
              <c16:uniqueId val="{00000001-82EC-4B39-8E4E-B0B5161CA15D}"/>
            </c:ext>
          </c:extLst>
        </c:ser>
        <c:dLbls>
          <c:showLegendKey val="0"/>
          <c:showVal val="0"/>
          <c:showCatName val="0"/>
          <c:showSerName val="0"/>
          <c:showPercent val="0"/>
          <c:showBubbleSize val="0"/>
        </c:dLbls>
        <c:gapWidth val="95"/>
        <c:overlap val="100"/>
        <c:axId val="1957859855"/>
        <c:axId val="1121961103"/>
      </c:barChart>
      <c:catAx>
        <c:axId val="195785985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21961103"/>
        <c:crosses val="autoZero"/>
        <c:auto val="1"/>
        <c:lblAlgn val="ctr"/>
        <c:lblOffset val="100"/>
        <c:noMultiLvlLbl val="0"/>
      </c:catAx>
      <c:valAx>
        <c:axId val="11219611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C"/>
                  <a:t>Energía</a:t>
                </a:r>
                <a:r>
                  <a:rPr lang="es-EC" baseline="0"/>
                  <a:t> (GWh)</a:t>
                </a:r>
                <a:endParaRPr lang="es-EC"/>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57859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58705161854769E-2"/>
          <c:y val="9.9675925925925932E-2"/>
          <c:w val="0.89019685039370078"/>
          <c:h val="0.60368802857976089"/>
        </c:manualLayout>
      </c:layout>
      <c:barChart>
        <c:barDir val="col"/>
        <c:grouping val="clustered"/>
        <c:varyColors val="0"/>
        <c:ser>
          <c:idx val="0"/>
          <c:order val="0"/>
          <c:tx>
            <c:strRef>
              <c:f>'Trans comer'!$C$5</c:f>
              <c:strCache>
                <c:ptCount val="1"/>
                <c:pt idx="0">
                  <c:v>Total Demanda (Millones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8"/>
              <c:layout>
                <c:manualLayout>
                  <c:x val="-1.1759172154280339E-2"/>
                  <c:y val="-2.3713540431586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11-4307-A1A3-18BCE4C465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'Trans comer'!$B$6:$B$17</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'Trans comer'!$C$6:$C$17</c:f>
              <c:numCache>
                <c:formatCode>General</c:formatCode>
                <c:ptCount val="12"/>
                <c:pt idx="0">
                  <c:v>113.73</c:v>
                </c:pt>
                <c:pt idx="1">
                  <c:v>95.01</c:v>
                </c:pt>
                <c:pt idx="2">
                  <c:v>112.64</c:v>
                </c:pt>
                <c:pt idx="3">
                  <c:v>108.66</c:v>
                </c:pt>
                <c:pt idx="4">
                  <c:v>90.97</c:v>
                </c:pt>
                <c:pt idx="5">
                  <c:v>109.16</c:v>
                </c:pt>
                <c:pt idx="6">
                  <c:v>153.27000000000001</c:v>
                </c:pt>
                <c:pt idx="7">
                  <c:v>119.85</c:v>
                </c:pt>
                <c:pt idx="8">
                  <c:v>152.66999999999999</c:v>
                </c:pt>
                <c:pt idx="9">
                  <c:v>138.16</c:v>
                </c:pt>
                <c:pt idx="10">
                  <c:v>132.07</c:v>
                </c:pt>
                <c:pt idx="11">
                  <c:v>185.1</c:v>
                </c:pt>
              </c:numCache>
            </c:numRef>
          </c:val>
          <c:extLst>
            <c:ext xmlns:c16="http://schemas.microsoft.com/office/drawing/2014/chart" uri="{C3380CC4-5D6E-409C-BE32-E72D297353CC}">
              <c16:uniqueId val="{00000001-FD11-4307-A1A3-18BCE4C4658A}"/>
            </c:ext>
          </c:extLst>
        </c:ser>
        <c:dLbls>
          <c:showLegendKey val="0"/>
          <c:showVal val="0"/>
          <c:showCatName val="0"/>
          <c:showSerName val="0"/>
          <c:showPercent val="0"/>
          <c:showBubbleSize val="0"/>
        </c:dLbls>
        <c:gapWidth val="150"/>
        <c:axId val="860379904"/>
        <c:axId val="827527504"/>
      </c:barChart>
      <c:lineChart>
        <c:grouping val="standard"/>
        <c:varyColors val="0"/>
        <c:ser>
          <c:idx val="1"/>
          <c:order val="1"/>
          <c:tx>
            <c:strRef>
              <c:f>'Trans comer'!$D$5</c:f>
              <c:strCache>
                <c:ptCount val="1"/>
                <c:pt idx="0">
                  <c:v>Precio Demanda Total (USD/kWh)</c:v>
                </c:pt>
              </c:strCache>
            </c:strRef>
          </c:tx>
          <c:spPr>
            <a:ln w="31750" cap="rnd">
              <a:solidFill>
                <a:schemeClr val="accent2"/>
              </a:solidFill>
              <a:round/>
            </a:ln>
            <a:effectLst/>
          </c:spPr>
          <c:marker>
            <c:symbol val="none"/>
          </c:marker>
          <c:dLbls>
            <c:dLbl>
              <c:idx val="7"/>
              <c:layout>
                <c:manualLayout>
                  <c:x val="-4.7036688617122218E-3"/>
                  <c:y val="6.6397913208442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11-4307-A1A3-18BCE4C4658A}"/>
                </c:ext>
              </c:extLst>
            </c:dLbl>
            <c:dLbl>
              <c:idx val="10"/>
              <c:layout>
                <c:manualLayout>
                  <c:x val="-1.881467544684854E-2"/>
                  <c:y val="-3.3198956604221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11-4307-A1A3-18BCE4C4658A}"/>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2"/>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'Trans comer'!$B$6:$B$17</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'Trans comer'!$D$6:$D$17</c:f>
              <c:numCache>
                <c:formatCode>General</c:formatCode>
                <c:ptCount val="12"/>
                <c:pt idx="0">
                  <c:v>4.29</c:v>
                </c:pt>
                <c:pt idx="1">
                  <c:v>3.75</c:v>
                </c:pt>
                <c:pt idx="2">
                  <c:v>4.92</c:v>
                </c:pt>
                <c:pt idx="3">
                  <c:v>4.3099999999999996</c:v>
                </c:pt>
                <c:pt idx="4">
                  <c:v>3.91</c:v>
                </c:pt>
                <c:pt idx="5">
                  <c:v>3.59</c:v>
                </c:pt>
                <c:pt idx="6">
                  <c:v>4.0999999999999996</c:v>
                </c:pt>
                <c:pt idx="7">
                  <c:v>6.19</c:v>
                </c:pt>
                <c:pt idx="8">
                  <c:v>7.87</c:v>
                </c:pt>
                <c:pt idx="9">
                  <c:v>5.87</c:v>
                </c:pt>
                <c:pt idx="10">
                  <c:v>7.9</c:v>
                </c:pt>
                <c:pt idx="11">
                  <c:v>7.62</c:v>
                </c:pt>
              </c:numCache>
            </c:numRef>
          </c:val>
          <c:smooth val="0"/>
          <c:extLst>
            <c:ext xmlns:c16="http://schemas.microsoft.com/office/drawing/2014/chart" uri="{C3380CC4-5D6E-409C-BE32-E72D297353CC}">
              <c16:uniqueId val="{00000004-FD11-4307-A1A3-18BCE4C4658A}"/>
            </c:ext>
          </c:extLst>
        </c:ser>
        <c:dLbls>
          <c:showLegendKey val="0"/>
          <c:showVal val="0"/>
          <c:showCatName val="0"/>
          <c:showSerName val="0"/>
          <c:showPercent val="0"/>
          <c:showBubbleSize val="0"/>
        </c:dLbls>
        <c:marker val="1"/>
        <c:smooth val="0"/>
        <c:axId val="1157302496"/>
        <c:axId val="1051846880"/>
      </c:lineChart>
      <c:catAx>
        <c:axId val="8603799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827527504"/>
        <c:crosses val="autoZero"/>
        <c:auto val="1"/>
        <c:lblAlgn val="ctr"/>
        <c:lblOffset val="100"/>
        <c:noMultiLvlLbl val="0"/>
      </c:catAx>
      <c:valAx>
        <c:axId val="8275275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860379904"/>
        <c:crosses val="autoZero"/>
        <c:crossBetween val="between"/>
      </c:valAx>
      <c:valAx>
        <c:axId val="10518468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157302496"/>
        <c:crosses val="max"/>
        <c:crossBetween val="between"/>
      </c:valAx>
      <c:catAx>
        <c:axId val="1157302496"/>
        <c:scaling>
          <c:orientation val="minMax"/>
        </c:scaling>
        <c:delete val="1"/>
        <c:axPos val="b"/>
        <c:numFmt formatCode="General" sourceLinked="1"/>
        <c:majorTickMark val="out"/>
        <c:minorTickMark val="none"/>
        <c:tickLblPos val="nextTo"/>
        <c:crossAx val="10518468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74563644956385"/>
          <c:y val="0.15235707067158816"/>
          <c:w val="0.76735738364174289"/>
          <c:h val="0.59882119287845159"/>
        </c:manualLayout>
      </c:layout>
      <c:barChart>
        <c:barDir val="col"/>
        <c:grouping val="clustered"/>
        <c:varyColors val="0"/>
        <c:ser>
          <c:idx val="0"/>
          <c:order val="0"/>
          <c:tx>
            <c:strRef>
              <c:f>Hoja1!$C$4</c:f>
              <c:strCache>
                <c:ptCount val="1"/>
                <c:pt idx="0">
                  <c:v>Facturación</c:v>
                </c:pt>
              </c:strCache>
            </c:strRef>
          </c:tx>
          <c:spPr>
            <a:solidFill>
              <a:schemeClr val="accent1"/>
            </a:solidFill>
            <a:ln>
              <a:noFill/>
            </a:ln>
            <a:effectLst/>
          </c:spPr>
          <c:invertIfNegative val="0"/>
          <c:dLbls>
            <c:dLbl>
              <c:idx val="4"/>
              <c:layout>
                <c:manualLayout>
                  <c:x val="2.2606533288120267E-3"/>
                  <c:y val="-2.2878059940517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BF-4209-9F4B-EE9EA0D82E56}"/>
                </c:ext>
              </c:extLst>
            </c:dLbl>
            <c:dLbl>
              <c:idx val="5"/>
              <c:layout>
                <c:manualLayout>
                  <c:x val="-2.2606533288120267E-3"/>
                  <c:y val="-6.4058567833447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BF-4209-9F4B-EE9EA0D82E56}"/>
                </c:ext>
              </c:extLst>
            </c:dLbl>
            <c:dLbl>
              <c:idx val="6"/>
              <c:layout>
                <c:manualLayout>
                  <c:x val="0"/>
                  <c:y val="-2.7456193919480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BF-4209-9F4B-EE9EA0D82E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Hoja1!$B$5:$B$16</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Hoja1!$C$5:$C$16</c:f>
              <c:numCache>
                <c:formatCode>General</c:formatCode>
                <c:ptCount val="12"/>
                <c:pt idx="0">
                  <c:v>88.03</c:v>
                </c:pt>
                <c:pt idx="1">
                  <c:v>79.61</c:v>
                </c:pt>
                <c:pt idx="2">
                  <c:v>87.77</c:v>
                </c:pt>
                <c:pt idx="3">
                  <c:v>91.34</c:v>
                </c:pt>
                <c:pt idx="4">
                  <c:v>86.55</c:v>
                </c:pt>
                <c:pt idx="5">
                  <c:v>74.78</c:v>
                </c:pt>
                <c:pt idx="6">
                  <c:v>77.47</c:v>
                </c:pt>
                <c:pt idx="7">
                  <c:v>85.1</c:v>
                </c:pt>
                <c:pt idx="8">
                  <c:v>98.82</c:v>
                </c:pt>
                <c:pt idx="9">
                  <c:v>107.46</c:v>
                </c:pt>
                <c:pt idx="10">
                  <c:v>105.27</c:v>
                </c:pt>
                <c:pt idx="11">
                  <c:v>106.37</c:v>
                </c:pt>
              </c:numCache>
            </c:numRef>
          </c:val>
          <c:extLst>
            <c:ext xmlns:c16="http://schemas.microsoft.com/office/drawing/2014/chart" uri="{C3380CC4-5D6E-409C-BE32-E72D297353CC}">
              <c16:uniqueId val="{00000003-0DBF-4209-9F4B-EE9EA0D82E56}"/>
            </c:ext>
          </c:extLst>
        </c:ser>
        <c:dLbls>
          <c:showLegendKey val="0"/>
          <c:showVal val="0"/>
          <c:showCatName val="0"/>
          <c:showSerName val="0"/>
          <c:showPercent val="0"/>
          <c:showBubbleSize val="0"/>
        </c:dLbls>
        <c:gapWidth val="219"/>
        <c:axId val="943819135"/>
        <c:axId val="890540495"/>
      </c:barChart>
      <c:lineChart>
        <c:grouping val="standard"/>
        <c:varyColors val="0"/>
        <c:ser>
          <c:idx val="1"/>
          <c:order val="1"/>
          <c:tx>
            <c:strRef>
              <c:f>Hoja1!$D$4</c:f>
              <c:strCache>
                <c:ptCount val="1"/>
                <c:pt idx="0">
                  <c:v>Recaudación</c:v>
                </c:pt>
              </c:strCache>
            </c:strRef>
          </c:tx>
          <c:spPr>
            <a:ln w="28575" cap="rnd">
              <a:solidFill>
                <a:schemeClr val="accent2"/>
              </a:solidFill>
              <a:round/>
            </a:ln>
            <a:effectLst/>
          </c:spPr>
          <c:marker>
            <c:symbol val="none"/>
          </c:marker>
          <c:dLbls>
            <c:dLbl>
              <c:idx val="4"/>
              <c:layout>
                <c:manualLayout>
                  <c:x val="-2.2606533288120349E-2"/>
                  <c:y val="2.2878059940517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BF-4209-9F4B-EE9EA0D82E56}"/>
                </c:ext>
              </c:extLst>
            </c:dLbl>
            <c:dLbl>
              <c:idx val="5"/>
              <c:layout>
                <c:manualLayout>
                  <c:x val="-2.8730055742014954E-2"/>
                  <c:y val="1.8306771365315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BF-4209-9F4B-EE9EA0D82E56}"/>
                </c:ext>
              </c:extLst>
            </c:dLbl>
            <c:dLbl>
              <c:idx val="6"/>
              <c:layout>
                <c:manualLayout>
                  <c:x val="-2.2606533288120267E-3"/>
                  <c:y val="2.745367192862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BF-4209-9F4B-EE9EA0D82E56}"/>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Hoja1!$B$5:$B$16</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Hoja1!$D$5:$D$16</c:f>
              <c:numCache>
                <c:formatCode>General</c:formatCode>
                <c:ptCount val="12"/>
                <c:pt idx="0">
                  <c:v>48.68</c:v>
                </c:pt>
                <c:pt idx="1">
                  <c:v>82.16</c:v>
                </c:pt>
                <c:pt idx="2">
                  <c:v>71.67</c:v>
                </c:pt>
                <c:pt idx="3">
                  <c:v>53.34</c:v>
                </c:pt>
                <c:pt idx="4">
                  <c:v>94.21</c:v>
                </c:pt>
                <c:pt idx="5">
                  <c:v>88.31</c:v>
                </c:pt>
                <c:pt idx="6">
                  <c:v>87.1</c:v>
                </c:pt>
                <c:pt idx="7">
                  <c:v>63.88</c:v>
                </c:pt>
                <c:pt idx="8">
                  <c:v>20.21</c:v>
                </c:pt>
                <c:pt idx="9">
                  <c:v>38.299999999999997</c:v>
                </c:pt>
                <c:pt idx="10">
                  <c:v>50.05</c:v>
                </c:pt>
                <c:pt idx="11">
                  <c:v>40.81</c:v>
                </c:pt>
              </c:numCache>
            </c:numRef>
          </c:val>
          <c:smooth val="0"/>
          <c:extLst>
            <c:ext xmlns:c16="http://schemas.microsoft.com/office/drawing/2014/chart" uri="{C3380CC4-5D6E-409C-BE32-E72D297353CC}">
              <c16:uniqueId val="{00000007-0DBF-4209-9F4B-EE9EA0D82E56}"/>
            </c:ext>
          </c:extLst>
        </c:ser>
        <c:dLbls>
          <c:showLegendKey val="0"/>
          <c:showVal val="0"/>
          <c:showCatName val="0"/>
          <c:showSerName val="0"/>
          <c:showPercent val="0"/>
          <c:showBubbleSize val="0"/>
        </c:dLbls>
        <c:marker val="1"/>
        <c:smooth val="0"/>
        <c:axId val="943819135"/>
        <c:axId val="890540495"/>
      </c:lineChart>
      <c:dateAx>
        <c:axId val="94381913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C"/>
          </a:p>
        </c:txPr>
        <c:crossAx val="890540495"/>
        <c:crosses val="autoZero"/>
        <c:auto val="1"/>
        <c:lblOffset val="100"/>
        <c:baseTimeUnit val="months"/>
      </c:dateAx>
      <c:valAx>
        <c:axId val="890540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943819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Hoja1!$C$4</c:f>
              <c:strCache>
                <c:ptCount val="1"/>
                <c:pt idx="0">
                  <c:v>Facturación</c:v>
                </c:pt>
              </c:strCache>
            </c:strRef>
          </c:tx>
          <c:spPr>
            <a:solidFill>
              <a:schemeClr val="accent1"/>
            </a:solidFill>
            <a:ln>
              <a:noFill/>
            </a:ln>
            <a:effectLst/>
          </c:spPr>
          <c:invertIfNegative val="0"/>
          <c:dLbls>
            <c:dLbl>
              <c:idx val="3"/>
              <c:layout>
                <c:manualLayout>
                  <c:x val="-2.8098911709236885E-3"/>
                  <c:y val="2.7450981804898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D4-4519-B402-CC81C5D55FA8}"/>
                </c:ext>
              </c:extLst>
            </c:dLbl>
            <c:dLbl>
              <c:idx val="4"/>
              <c:layout>
                <c:manualLayout>
                  <c:x val="-5.1514076371928175E-17"/>
                  <c:y val="1.8300654536598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D4-4519-B402-CC81C5D55F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Hoja1!$B$5:$B$16</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Hoja1!$C$5:$C$16</c:f>
              <c:numCache>
                <c:formatCode>General</c:formatCode>
                <c:ptCount val="12"/>
                <c:pt idx="0">
                  <c:v>3.35</c:v>
                </c:pt>
                <c:pt idx="1">
                  <c:v>3.4</c:v>
                </c:pt>
                <c:pt idx="2">
                  <c:v>3.56</c:v>
                </c:pt>
                <c:pt idx="3">
                  <c:v>3.21</c:v>
                </c:pt>
                <c:pt idx="4">
                  <c:v>3.26</c:v>
                </c:pt>
                <c:pt idx="5">
                  <c:v>3.38</c:v>
                </c:pt>
                <c:pt idx="6">
                  <c:v>4.96</c:v>
                </c:pt>
                <c:pt idx="7">
                  <c:v>3.57</c:v>
                </c:pt>
                <c:pt idx="8">
                  <c:v>3.05</c:v>
                </c:pt>
                <c:pt idx="9">
                  <c:v>2.59</c:v>
                </c:pt>
                <c:pt idx="10">
                  <c:v>2.29</c:v>
                </c:pt>
                <c:pt idx="11">
                  <c:v>2.81</c:v>
                </c:pt>
              </c:numCache>
            </c:numRef>
          </c:val>
          <c:extLst>
            <c:ext xmlns:c16="http://schemas.microsoft.com/office/drawing/2014/chart" uri="{C3380CC4-5D6E-409C-BE32-E72D297353CC}">
              <c16:uniqueId val="{00000002-1AD4-4519-B402-CC81C5D55FA8}"/>
            </c:ext>
          </c:extLst>
        </c:ser>
        <c:dLbls>
          <c:showLegendKey val="0"/>
          <c:showVal val="0"/>
          <c:showCatName val="0"/>
          <c:showSerName val="0"/>
          <c:showPercent val="0"/>
          <c:showBubbleSize val="0"/>
        </c:dLbls>
        <c:gapWidth val="219"/>
        <c:axId val="943819135"/>
        <c:axId val="890540495"/>
      </c:barChart>
      <c:lineChart>
        <c:grouping val="standard"/>
        <c:varyColors val="0"/>
        <c:ser>
          <c:idx val="1"/>
          <c:order val="1"/>
          <c:tx>
            <c:strRef>
              <c:f>Hoja1!$D$4</c:f>
              <c:strCache>
                <c:ptCount val="1"/>
                <c:pt idx="0">
                  <c:v>Recaudación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Hoja1!$B$5:$B$16</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Hoja1!$D$5:$D$16</c:f>
              <c:numCache>
                <c:formatCode>General</c:formatCode>
                <c:ptCount val="12"/>
                <c:pt idx="0">
                  <c:v>2.66</c:v>
                </c:pt>
                <c:pt idx="1">
                  <c:v>3.17</c:v>
                </c:pt>
                <c:pt idx="2">
                  <c:v>2.82</c:v>
                </c:pt>
                <c:pt idx="3">
                  <c:v>3.73</c:v>
                </c:pt>
                <c:pt idx="4">
                  <c:v>5.36</c:v>
                </c:pt>
                <c:pt idx="5">
                  <c:v>3.23</c:v>
                </c:pt>
                <c:pt idx="6">
                  <c:v>3.29</c:v>
                </c:pt>
                <c:pt idx="7">
                  <c:v>1.05</c:v>
                </c:pt>
                <c:pt idx="8">
                  <c:v>4.24</c:v>
                </c:pt>
                <c:pt idx="9">
                  <c:v>2.2200000000000002</c:v>
                </c:pt>
                <c:pt idx="10">
                  <c:v>2.93</c:v>
                </c:pt>
                <c:pt idx="11">
                  <c:v>3.04</c:v>
                </c:pt>
              </c:numCache>
            </c:numRef>
          </c:val>
          <c:smooth val="0"/>
          <c:extLst>
            <c:ext xmlns:c16="http://schemas.microsoft.com/office/drawing/2014/chart" uri="{C3380CC4-5D6E-409C-BE32-E72D297353CC}">
              <c16:uniqueId val="{00000003-1AD4-4519-B402-CC81C5D55FA8}"/>
            </c:ext>
          </c:extLst>
        </c:ser>
        <c:dLbls>
          <c:showLegendKey val="0"/>
          <c:showVal val="0"/>
          <c:showCatName val="0"/>
          <c:showSerName val="0"/>
          <c:showPercent val="0"/>
          <c:showBubbleSize val="0"/>
        </c:dLbls>
        <c:marker val="1"/>
        <c:smooth val="0"/>
        <c:axId val="943819135"/>
        <c:axId val="890540495"/>
      </c:lineChart>
      <c:dateAx>
        <c:axId val="94381913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C"/>
          </a:p>
        </c:txPr>
        <c:crossAx val="890540495"/>
        <c:crosses val="autoZero"/>
        <c:auto val="1"/>
        <c:lblOffset val="100"/>
        <c:baseTimeUnit val="months"/>
      </c:dateAx>
      <c:valAx>
        <c:axId val="890540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943819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614129483814518"/>
          <c:y val="6.0185185185185182E-2"/>
          <c:w val="0.68385870516185476"/>
          <c:h val="0.89814814814814814"/>
        </c:manualLayout>
      </c:layout>
      <c:barChart>
        <c:barDir val="bar"/>
        <c:grouping val="stacked"/>
        <c:varyColors val="0"/>
        <c:ser>
          <c:idx val="0"/>
          <c:order val="0"/>
          <c:tx>
            <c:strRef>
              <c:f>'Figura 7. Figura 7  Presupuesto'!$C$5</c:f>
              <c:strCache>
                <c:ptCount val="1"/>
                <c:pt idx="0">
                  <c:v>APROBADO</c:v>
                </c:pt>
              </c:strCache>
            </c:strRef>
          </c:tx>
          <c:spPr>
            <a:solidFill>
              <a:schemeClr val="accent1"/>
            </a:solidFill>
            <a:ln>
              <a:noFill/>
            </a:ln>
            <a:effectLst/>
          </c:spPr>
          <c:invertIfNegative val="0"/>
          <c:dLbls>
            <c:dLbl>
              <c:idx val="0"/>
              <c:tx>
                <c:rich>
                  <a:bodyPr/>
                  <a:lstStyle/>
                  <a:p>
                    <a:r>
                      <a:rPr lang="en-US"/>
                      <a:t>APROBADO: 705,91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B0-419B-97D5-1D194F425365}"/>
                </c:ext>
              </c:extLst>
            </c:dLbl>
            <c:dLbl>
              <c:idx val="1"/>
              <c:layout>
                <c:manualLayout>
                  <c:x val="4.4444444444444391E-2"/>
                  <c:y val="0"/>
                </c:manualLayout>
              </c:layout>
              <c:tx>
                <c:rich>
                  <a:bodyPr/>
                  <a:lstStyle/>
                  <a:p>
                    <a:r>
                      <a:rPr lang="en-US"/>
                      <a:t>APROBADO:  661,24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B0-419B-97D5-1D194F425365}"/>
                </c:ext>
              </c:extLst>
            </c:dLbl>
            <c:dLbl>
              <c:idx val="2"/>
              <c:layout>
                <c:manualLayout>
                  <c:x val="0.17222222222222217"/>
                  <c:y val="-9.2592592592592615E-2"/>
                </c:manualLayout>
              </c:layout>
              <c:tx>
                <c:rich>
                  <a:bodyPr/>
                  <a:lstStyle/>
                  <a:p>
                    <a:r>
                      <a:rPr lang="en-US">
                        <a:solidFill>
                          <a:sysClr val="windowText" lastClr="000000"/>
                        </a:solidFill>
                      </a:rPr>
                      <a:t>EJECUTADO: 44,67</a:t>
                    </a:r>
                  </a:p>
                </c:rich>
              </c:tx>
              <c:dLblPos val="ctr"/>
              <c:showLegendKey val="0"/>
              <c:showVal val="1"/>
              <c:showCatName val="0"/>
              <c:showSerName val="0"/>
              <c:showPercent val="0"/>
              <c:showBubbleSize val="0"/>
              <c:extLst>
                <c:ext xmlns:c15="http://schemas.microsoft.com/office/drawing/2012/chart" uri="{CE6537A1-D6FC-4f65-9D91-7224C49458BB}">
                  <c15:layout>
                    <c:manualLayout>
                      <c:w val="0.22356933508311463"/>
                      <c:h val="6.4745552639253412E-2"/>
                    </c:manualLayout>
                  </c15:layout>
                </c:ext>
                <c:ext xmlns:c16="http://schemas.microsoft.com/office/drawing/2014/chart" uri="{C3380CC4-5D6E-409C-BE32-E72D297353CC}">
                  <c16:uniqueId val="{00000002-D1B0-419B-97D5-1D194F4253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'Figura 7. Figura 7  Presupuesto'!$B$6:$B$8</c:f>
              <c:strCache>
                <c:ptCount val="3"/>
                <c:pt idx="0">
                  <c:v>Total Generación </c:v>
                </c:pt>
                <c:pt idx="1">
                  <c:v>CELEC EP</c:v>
                </c:pt>
                <c:pt idx="2">
                  <c:v>No Escindidas</c:v>
                </c:pt>
              </c:strCache>
            </c:strRef>
          </c:cat>
          <c:val>
            <c:numRef>
              <c:f>'Figura 7. Figura 7  Presupuesto'!$C$6:$C$8</c:f>
              <c:numCache>
                <c:formatCode>General</c:formatCode>
                <c:ptCount val="3"/>
                <c:pt idx="0">
                  <c:v>705.91</c:v>
                </c:pt>
                <c:pt idx="1">
                  <c:v>661.24</c:v>
                </c:pt>
                <c:pt idx="2">
                  <c:v>44.67</c:v>
                </c:pt>
              </c:numCache>
            </c:numRef>
          </c:val>
          <c:extLst>
            <c:ext xmlns:c16="http://schemas.microsoft.com/office/drawing/2014/chart" uri="{C3380CC4-5D6E-409C-BE32-E72D297353CC}">
              <c16:uniqueId val="{00000003-D1B0-419B-97D5-1D194F425365}"/>
            </c:ext>
          </c:extLst>
        </c:ser>
        <c:ser>
          <c:idx val="1"/>
          <c:order val="1"/>
          <c:tx>
            <c:strRef>
              <c:f>'Figura 7. Figura 7  Presupuesto'!$D$5</c:f>
              <c:strCache>
                <c:ptCount val="1"/>
                <c:pt idx="0">
                  <c:v>EJECUTADO</c:v>
                </c:pt>
              </c:strCache>
            </c:strRef>
          </c:tx>
          <c:spPr>
            <a:solidFill>
              <a:schemeClr val="accent3"/>
            </a:solidFill>
            <a:ln>
              <a:noFill/>
            </a:ln>
            <a:effectLst/>
          </c:spPr>
          <c:invertIfNegative val="0"/>
          <c:dLbls>
            <c:dLbl>
              <c:idx val="0"/>
              <c:tx>
                <c:rich>
                  <a:bodyPr/>
                  <a:lstStyle/>
                  <a:p>
                    <a:r>
                      <a:rPr lang="en-US"/>
                      <a:t>EJECUTADO: 514,45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B0-419B-97D5-1D194F425365}"/>
                </c:ext>
              </c:extLst>
            </c:dLbl>
            <c:dLbl>
              <c:idx val="1"/>
              <c:tx>
                <c:rich>
                  <a:bodyPr/>
                  <a:lstStyle/>
                  <a:p>
                    <a:r>
                      <a:rPr lang="en-US"/>
                      <a:t>EJECUTADO: 476,24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B0-419B-97D5-1D194F425365}"/>
                </c:ext>
              </c:extLst>
            </c:dLbl>
            <c:dLbl>
              <c:idx val="2"/>
              <c:layout>
                <c:manualLayout>
                  <c:x val="0.14999999999999994"/>
                  <c:y val="-1.3889071157771946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APROBADO:</a:t>
                    </a:r>
                    <a:r>
                      <a:rPr lang="en-US" baseline="0">
                        <a:solidFill>
                          <a:sysClr val="windowText" lastClr="000000"/>
                        </a:solidFill>
                      </a:rPr>
                      <a:t> </a:t>
                    </a:r>
                    <a:r>
                      <a:rPr lang="en-US">
                        <a:solidFill>
                          <a:sysClr val="windowText" lastClr="000000"/>
                        </a:solidFill>
                      </a:rPr>
                      <a:t>38,22</a:t>
                    </a:r>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ctr"/>
              <c:showLegendKey val="0"/>
              <c:showVal val="1"/>
              <c:showCatName val="0"/>
              <c:showSerName val="0"/>
              <c:showPercent val="0"/>
              <c:showBubbleSize val="0"/>
              <c:extLst>
                <c:ext xmlns:c15="http://schemas.microsoft.com/office/drawing/2012/chart" uri="{CE6537A1-D6FC-4f65-9D91-7224C49458BB}">
                  <c15:layout>
                    <c:manualLayout>
                      <c:w val="0.24579155730533683"/>
                      <c:h val="6.4745552639253412E-2"/>
                    </c:manualLayout>
                  </c15:layout>
                </c:ext>
                <c:ext xmlns:c16="http://schemas.microsoft.com/office/drawing/2014/chart" uri="{C3380CC4-5D6E-409C-BE32-E72D297353CC}">
                  <c16:uniqueId val="{00000006-D1B0-419B-97D5-1D194F4253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'Figura 7. Figura 7  Presupuesto'!$B$6:$B$8</c:f>
              <c:strCache>
                <c:ptCount val="3"/>
                <c:pt idx="0">
                  <c:v>Total Generación </c:v>
                </c:pt>
                <c:pt idx="1">
                  <c:v>CELEC EP</c:v>
                </c:pt>
                <c:pt idx="2">
                  <c:v>No Escindidas</c:v>
                </c:pt>
              </c:strCache>
            </c:strRef>
          </c:cat>
          <c:val>
            <c:numRef>
              <c:f>'Figura 7. Figura 7  Presupuesto'!$D$6:$D$8</c:f>
              <c:numCache>
                <c:formatCode>General</c:formatCode>
                <c:ptCount val="3"/>
                <c:pt idx="0">
                  <c:v>514.45000000000005</c:v>
                </c:pt>
                <c:pt idx="1">
                  <c:v>476.24</c:v>
                </c:pt>
                <c:pt idx="2">
                  <c:v>38.21</c:v>
                </c:pt>
              </c:numCache>
            </c:numRef>
          </c:val>
          <c:extLst>
            <c:ext xmlns:c16="http://schemas.microsoft.com/office/drawing/2014/chart" uri="{C3380CC4-5D6E-409C-BE32-E72D297353CC}">
              <c16:uniqueId val="{00000007-D1B0-419B-97D5-1D194F425365}"/>
            </c:ext>
          </c:extLst>
        </c:ser>
        <c:ser>
          <c:idx val="2"/>
          <c:order val="2"/>
          <c:tx>
            <c:strRef>
              <c:f>'Figura 7. Figura 7  Presupuesto'!$E$5</c:f>
              <c:strCache>
                <c:ptCount val="1"/>
                <c:pt idx="0">
                  <c:v>%</c:v>
                </c:pt>
              </c:strCache>
            </c:strRef>
          </c:tx>
          <c:spPr>
            <a:solidFill>
              <a:schemeClr val="accent5"/>
            </a:solidFill>
            <a:ln>
              <a:noFill/>
            </a:ln>
            <a:effectLst/>
          </c:spPr>
          <c:invertIfNegative val="0"/>
          <c:dLbls>
            <c:dLbl>
              <c:idx val="0"/>
              <c:layout>
                <c:manualLayout>
                  <c:x val="2.7777777777777676E-2"/>
                  <c:y val="0"/>
                </c:manualLayout>
              </c:layout>
              <c:tx>
                <c:rich>
                  <a:bodyPr/>
                  <a:lstStyle/>
                  <a:p>
                    <a:fld id="{815E5820-FB0E-43FE-90EA-7EDFA3FE33C9}" type="VALUE">
                      <a:rPr lang="en-US">
                        <a:solidFill>
                          <a:sysClr val="windowText" lastClr="000000"/>
                        </a:solidFill>
                      </a:rPr>
                      <a:pPr/>
                      <a:t>[VALOR]</a:t>
                    </a:fld>
                    <a:endParaRPr lang="es-EC"/>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1B0-419B-97D5-1D194F425365}"/>
                </c:ext>
              </c:extLst>
            </c:dLbl>
            <c:dLbl>
              <c:idx val="1"/>
              <c:layout>
                <c:manualLayout>
                  <c:x val="5.5555555555555455E-2"/>
                  <c:y val="0"/>
                </c:manualLayout>
              </c:layout>
              <c:tx>
                <c:rich>
                  <a:bodyPr/>
                  <a:lstStyle/>
                  <a:p>
                    <a:fld id="{C03CC490-F7EE-4D82-A9CB-58DB0997FDF5}" type="VALUE">
                      <a:rPr lang="en-US">
                        <a:solidFill>
                          <a:sysClr val="windowText" lastClr="000000"/>
                        </a:solidFill>
                      </a:rPr>
                      <a:pPr/>
                      <a:t>[VALOR]</a:t>
                    </a:fld>
                    <a:endParaRPr lang="es-EC"/>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1B0-419B-97D5-1D194F425365}"/>
                </c:ext>
              </c:extLst>
            </c:dLbl>
            <c:dLbl>
              <c:idx val="2"/>
              <c:layout>
                <c:manualLayout>
                  <c:x val="8.3333333333333287E-2"/>
                  <c:y val="6.4814814814814811E-2"/>
                </c:manualLayout>
              </c:layout>
              <c:tx>
                <c:rich>
                  <a:bodyPr/>
                  <a:lstStyle/>
                  <a:p>
                    <a:fld id="{661C348A-8946-4712-9A06-985D0D30E430}" type="VALUE">
                      <a:rPr lang="en-US">
                        <a:solidFill>
                          <a:sysClr val="windowText" lastClr="000000"/>
                        </a:solidFill>
                      </a:rPr>
                      <a:pPr/>
                      <a:t>[VALOR]</a:t>
                    </a:fld>
                    <a:endParaRPr lang="es-EC"/>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D1B0-419B-97D5-1D194F4253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'Figura 7. Figura 7  Presupuesto'!$B$6:$B$8</c:f>
              <c:strCache>
                <c:ptCount val="3"/>
                <c:pt idx="0">
                  <c:v>Total Generación </c:v>
                </c:pt>
                <c:pt idx="1">
                  <c:v>CELEC EP</c:v>
                </c:pt>
                <c:pt idx="2">
                  <c:v>No Escindidas</c:v>
                </c:pt>
              </c:strCache>
            </c:strRef>
          </c:cat>
          <c:val>
            <c:numRef>
              <c:f>'Figura 7. Figura 7  Presupuesto'!$E$6:$E$8</c:f>
              <c:numCache>
                <c:formatCode>0.00%</c:formatCode>
                <c:ptCount val="3"/>
                <c:pt idx="0">
                  <c:v>0.72877562295476772</c:v>
                </c:pt>
                <c:pt idx="1">
                  <c:v>0.72022261206218618</c:v>
                </c:pt>
                <c:pt idx="2">
                  <c:v>0.85538392657264384</c:v>
                </c:pt>
              </c:numCache>
            </c:numRef>
          </c:val>
          <c:extLst>
            <c:ext xmlns:c16="http://schemas.microsoft.com/office/drawing/2014/chart" uri="{C3380CC4-5D6E-409C-BE32-E72D297353CC}">
              <c16:uniqueId val="{0000000B-D1B0-419B-97D5-1D194F425365}"/>
            </c:ext>
          </c:extLst>
        </c:ser>
        <c:dLbls>
          <c:dLblPos val="ctr"/>
          <c:showLegendKey val="0"/>
          <c:showVal val="1"/>
          <c:showCatName val="0"/>
          <c:showSerName val="0"/>
          <c:showPercent val="0"/>
          <c:showBubbleSize val="0"/>
        </c:dLbls>
        <c:gapWidth val="79"/>
        <c:overlap val="100"/>
        <c:axId val="1350890832"/>
        <c:axId val="1298522800"/>
      </c:barChart>
      <c:catAx>
        <c:axId val="135089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C"/>
          </a:p>
        </c:txPr>
        <c:crossAx val="1298522800"/>
        <c:crosses val="autoZero"/>
        <c:auto val="1"/>
        <c:lblAlgn val="ctr"/>
        <c:lblOffset val="100"/>
        <c:noMultiLvlLbl val="0"/>
      </c:catAx>
      <c:valAx>
        <c:axId val="1298522800"/>
        <c:scaling>
          <c:orientation val="minMax"/>
        </c:scaling>
        <c:delete val="1"/>
        <c:axPos val="b"/>
        <c:numFmt formatCode="General" sourceLinked="1"/>
        <c:majorTickMark val="none"/>
        <c:minorTickMark val="none"/>
        <c:tickLblPos val="nextTo"/>
        <c:crossAx val="1350890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50644539359549"/>
          <c:y val="0.19633018684064785"/>
          <c:w val="0.71864207385568113"/>
          <c:h val="0.57159265256543423"/>
        </c:manualLayout>
      </c:layout>
      <c:barChart>
        <c:barDir val="col"/>
        <c:grouping val="clustered"/>
        <c:varyColors val="0"/>
        <c:ser>
          <c:idx val="0"/>
          <c:order val="0"/>
          <c:tx>
            <c:strRef>
              <c:f>'DGECEE_Figura 7'!$B$4</c:f>
              <c:strCache>
                <c:ptCount val="1"/>
                <c:pt idx="0">
                  <c:v>Facturación</c:v>
                </c:pt>
              </c:strCache>
            </c:strRef>
          </c:tx>
          <c:spPr>
            <a:solidFill>
              <a:schemeClr val="accent1"/>
            </a:solidFill>
            <a:ln>
              <a:noFill/>
            </a:ln>
            <a:effectLst/>
          </c:spPr>
          <c:invertIfNegative val="0"/>
          <c:dLbls>
            <c:dLbl>
              <c:idx val="0"/>
              <c:layout>
                <c:manualLayout>
                  <c:x val="1.8606259321442909E-3"/>
                  <c:y val="0.171950669776663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36-41B6-9150-CF6AB2855E3F}"/>
                </c:ext>
              </c:extLst>
            </c:dLbl>
            <c:dLbl>
              <c:idx val="1"/>
              <c:layout>
                <c:manualLayout>
                  <c:x val="1.8606259321442909E-3"/>
                  <c:y val="0.20566648737993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36-41B6-9150-CF6AB2855E3F}"/>
                </c:ext>
              </c:extLst>
            </c:dLbl>
            <c:dLbl>
              <c:idx val="2"/>
              <c:layout>
                <c:manualLayout>
                  <c:x val="-1.860625932144359E-3"/>
                  <c:y val="0.283212867867445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36-41B6-9150-CF6AB2855E3F}"/>
                </c:ext>
              </c:extLst>
            </c:dLbl>
            <c:dLbl>
              <c:idx val="3"/>
              <c:layout>
                <c:manualLayout>
                  <c:x val="-1.8606259321442909E-3"/>
                  <c:y val="0.337158176032673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36-41B6-9150-CF6AB2855E3F}"/>
                </c:ext>
              </c:extLst>
            </c:dLbl>
            <c:dLbl>
              <c:idx val="4"/>
              <c:layout>
                <c:manualLayout>
                  <c:x val="0"/>
                  <c:y val="0.347272921313653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36-41B6-9150-CF6AB2855E3F}"/>
                </c:ext>
              </c:extLst>
            </c:dLbl>
            <c:dLbl>
              <c:idx val="5"/>
              <c:layout>
                <c:manualLayout>
                  <c:x val="0"/>
                  <c:y val="0.293327613148425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36-41B6-9150-CF6AB2855E3F}"/>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'DGECEE_Figura 7'!$A$5:$A$10</c:f>
              <c:strCache>
                <c:ptCount val="6"/>
                <c:pt idx="0">
                  <c:v>dic-21</c:v>
                </c:pt>
                <c:pt idx="1">
                  <c:v>dic-22</c:v>
                </c:pt>
                <c:pt idx="2">
                  <c:v>dic-23</c:v>
                </c:pt>
                <c:pt idx="3">
                  <c:v>oct-24</c:v>
                </c:pt>
                <c:pt idx="4">
                  <c:v>nov-24</c:v>
                </c:pt>
                <c:pt idx="5">
                  <c:v>dic-24</c:v>
                </c:pt>
              </c:strCache>
            </c:strRef>
          </c:cat>
          <c:val>
            <c:numRef>
              <c:f>'DGECEE_Figura 7'!$B$5:$B$10</c:f>
              <c:numCache>
                <c:formatCode>#,##0.00</c:formatCode>
                <c:ptCount val="6"/>
                <c:pt idx="0">
                  <c:v>1973.476069032487</c:v>
                </c:pt>
                <c:pt idx="1">
                  <c:v>2047.0832118216488</c:v>
                </c:pt>
                <c:pt idx="2">
                  <c:v>2209.5121514804696</c:v>
                </c:pt>
                <c:pt idx="3">
                  <c:v>2245.2874140756571</c:v>
                </c:pt>
                <c:pt idx="4">
                  <c:v>2214.0975832409199</c:v>
                </c:pt>
                <c:pt idx="5">
                  <c:v>2196.19026069755</c:v>
                </c:pt>
              </c:numCache>
            </c:numRef>
          </c:val>
          <c:extLst>
            <c:ext xmlns:c16="http://schemas.microsoft.com/office/drawing/2014/chart" uri="{C3380CC4-5D6E-409C-BE32-E72D297353CC}">
              <c16:uniqueId val="{00000006-5836-41B6-9150-CF6AB2855E3F}"/>
            </c:ext>
          </c:extLst>
        </c:ser>
        <c:ser>
          <c:idx val="1"/>
          <c:order val="1"/>
          <c:tx>
            <c:strRef>
              <c:f>'DGECEE_Figura 7'!$C$4</c:f>
              <c:strCache>
                <c:ptCount val="1"/>
                <c:pt idx="0">
                  <c:v>Recaudación</c:v>
                </c:pt>
              </c:strCache>
            </c:strRef>
          </c:tx>
          <c:spPr>
            <a:solidFill>
              <a:schemeClr val="accent2"/>
            </a:solidFill>
            <a:ln>
              <a:noFill/>
            </a:ln>
            <a:effectLst/>
          </c:spPr>
          <c:invertIfNegative val="0"/>
          <c:dLbls>
            <c:dLbl>
              <c:idx val="0"/>
              <c:layout>
                <c:manualLayout>
                  <c:x val="3.4111081368522552E-17"/>
                  <c:y val="0.165207506256009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36-41B6-9150-CF6AB2855E3F}"/>
                </c:ext>
              </c:extLst>
            </c:dLbl>
            <c:dLbl>
              <c:idx val="1"/>
              <c:layout>
                <c:manualLayout>
                  <c:x val="0"/>
                  <c:y val="0.18543699681797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36-41B6-9150-CF6AB2855E3F}"/>
                </c:ext>
              </c:extLst>
            </c:dLbl>
            <c:dLbl>
              <c:idx val="2"/>
              <c:layout>
                <c:manualLayout>
                  <c:x val="-6.8222162737045104E-17"/>
                  <c:y val="0.225895977941890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36-41B6-9150-CF6AB2855E3F}"/>
                </c:ext>
              </c:extLst>
            </c:dLbl>
            <c:dLbl>
              <c:idx val="3"/>
              <c:layout>
                <c:manualLayout>
                  <c:x val="-1.8606259321444273E-3"/>
                  <c:y val="0.236010723222871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836-41B6-9150-CF6AB2855E3F}"/>
                </c:ext>
              </c:extLst>
            </c:dLbl>
            <c:dLbl>
              <c:idx val="4"/>
              <c:layout>
                <c:manualLayout>
                  <c:x val="-1.8606259321442909E-3"/>
                  <c:y val="0.279841286107118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836-41B6-9150-CF6AB2855E3F}"/>
                </c:ext>
              </c:extLst>
            </c:dLbl>
            <c:dLbl>
              <c:idx val="5"/>
              <c:layout>
                <c:manualLayout>
                  <c:x val="-3.7212518642885817E-3"/>
                  <c:y val="0.205666487379930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836-41B6-9150-CF6AB2855E3F}"/>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'DGECEE_Figura 7'!$A$5:$A$10</c:f>
              <c:strCache>
                <c:ptCount val="6"/>
                <c:pt idx="0">
                  <c:v>dic-21</c:v>
                </c:pt>
                <c:pt idx="1">
                  <c:v>dic-22</c:v>
                </c:pt>
                <c:pt idx="2">
                  <c:v>dic-23</c:v>
                </c:pt>
                <c:pt idx="3">
                  <c:v>oct-24</c:v>
                </c:pt>
                <c:pt idx="4">
                  <c:v>nov-24</c:v>
                </c:pt>
                <c:pt idx="5">
                  <c:v>dic-24</c:v>
                </c:pt>
              </c:strCache>
            </c:strRef>
          </c:cat>
          <c:val>
            <c:numRef>
              <c:f>'DGECEE_Figura 7'!$C$5:$C$10</c:f>
              <c:numCache>
                <c:formatCode>#,##0.00</c:formatCode>
                <c:ptCount val="6"/>
                <c:pt idx="0">
                  <c:v>1963.8943446911649</c:v>
                </c:pt>
                <c:pt idx="1">
                  <c:v>2023.8969292444049</c:v>
                </c:pt>
                <c:pt idx="2">
                  <c:v>2142.9911956274041</c:v>
                </c:pt>
                <c:pt idx="3">
                  <c:v>2144.1980742175551</c:v>
                </c:pt>
                <c:pt idx="4">
                  <c:v>2122.736941451757</c:v>
                </c:pt>
                <c:pt idx="5">
                  <c:v>2108.9519781449953</c:v>
                </c:pt>
              </c:numCache>
            </c:numRef>
          </c:val>
          <c:extLst>
            <c:ext xmlns:c16="http://schemas.microsoft.com/office/drawing/2014/chart" uri="{C3380CC4-5D6E-409C-BE32-E72D297353CC}">
              <c16:uniqueId val="{0000000D-5836-41B6-9150-CF6AB2855E3F}"/>
            </c:ext>
          </c:extLst>
        </c:ser>
        <c:dLbls>
          <c:showLegendKey val="0"/>
          <c:showVal val="1"/>
          <c:showCatName val="0"/>
          <c:showSerName val="0"/>
          <c:showPercent val="0"/>
          <c:showBubbleSize val="0"/>
        </c:dLbls>
        <c:gapWidth val="81"/>
        <c:axId val="313485632"/>
        <c:axId val="313488768"/>
      </c:barChart>
      <c:lineChart>
        <c:grouping val="standard"/>
        <c:varyColors val="0"/>
        <c:ser>
          <c:idx val="2"/>
          <c:order val="2"/>
          <c:tx>
            <c:strRef>
              <c:f>'DGECEE_Figura 7'!$D$4</c:f>
              <c:strCache>
                <c:ptCount val="1"/>
                <c:pt idx="0">
                  <c:v>Recaudación (%)</c:v>
                </c:pt>
              </c:strCache>
            </c:strRef>
          </c:tx>
          <c:spPr>
            <a:ln w="28575" cap="rnd">
              <a:solidFill>
                <a:schemeClr val="accent3"/>
              </a:solidFill>
              <a:round/>
            </a:ln>
            <a:effectLst/>
          </c:spPr>
          <c:marker>
            <c:symbol val="none"/>
          </c:marker>
          <c:dLbls>
            <c:dLbl>
              <c:idx val="0"/>
              <c:layout>
                <c:manualLayout>
                  <c:x val="-3.4111081368522552E-17"/>
                  <c:y val="-3.0344235842940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836-41B6-9150-CF6AB2855E3F}"/>
                </c:ext>
              </c:extLst>
            </c:dLbl>
            <c:dLbl>
              <c:idx val="1"/>
              <c:layout>
                <c:manualLayout>
                  <c:x val="0"/>
                  <c:y val="-2.3601072322287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836-41B6-9150-CF6AB2855E3F}"/>
                </c:ext>
              </c:extLst>
            </c:dLbl>
            <c:dLbl>
              <c:idx val="2"/>
              <c:layout>
                <c:manualLayout>
                  <c:x val="1.8606259321442909E-3"/>
                  <c:y val="-3.0344235842940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836-41B6-9150-CF6AB2855E3F}"/>
                </c:ext>
              </c:extLst>
            </c:dLbl>
            <c:dLbl>
              <c:idx val="3"/>
              <c:layout>
                <c:manualLayout>
                  <c:x val="-1.8606259321441543E-3"/>
                  <c:y val="-3.3715817603267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836-41B6-9150-CF6AB2855E3F}"/>
                </c:ext>
              </c:extLst>
            </c:dLbl>
            <c:dLbl>
              <c:idx val="4"/>
              <c:layout>
                <c:manualLayout>
                  <c:x val="0"/>
                  <c:y val="-3.3715817603267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836-41B6-9150-CF6AB2855E3F}"/>
                </c:ext>
              </c:extLst>
            </c:dLbl>
            <c:dLbl>
              <c:idx val="5"/>
              <c:layout>
                <c:manualLayout>
                  <c:x val="-1.8606259321444273E-3"/>
                  <c:y val="-3.3715817603267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836-41B6-9150-CF6AB2855E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'DGECEE_Figura 7'!$A$5:$A$10</c:f>
              <c:strCache>
                <c:ptCount val="6"/>
                <c:pt idx="0">
                  <c:v>dic-21</c:v>
                </c:pt>
                <c:pt idx="1">
                  <c:v>dic-22</c:v>
                </c:pt>
                <c:pt idx="2">
                  <c:v>dic-23</c:v>
                </c:pt>
                <c:pt idx="3">
                  <c:v>oct-24</c:v>
                </c:pt>
                <c:pt idx="4">
                  <c:v>nov-24</c:v>
                </c:pt>
                <c:pt idx="5">
                  <c:v>dic-24</c:v>
                </c:pt>
              </c:strCache>
            </c:strRef>
          </c:cat>
          <c:val>
            <c:numRef>
              <c:f>'DGECEE_Figura 7'!$D$5:$D$10</c:f>
              <c:numCache>
                <c:formatCode>0%</c:formatCode>
                <c:ptCount val="6"/>
                <c:pt idx="0">
                  <c:v>0.99514474764012739</c:v>
                </c:pt>
                <c:pt idx="1">
                  <c:v>0.98867350264837983</c:v>
                </c:pt>
                <c:pt idx="2">
                  <c:v>0.96989337406065246</c:v>
                </c:pt>
                <c:pt idx="3">
                  <c:v>0.95497710483549891</c:v>
                </c:pt>
                <c:pt idx="4">
                  <c:v>0.95873684950442328</c:v>
                </c:pt>
                <c:pt idx="5">
                  <c:v>0.96027744767211276</c:v>
                </c:pt>
              </c:numCache>
            </c:numRef>
          </c:val>
          <c:smooth val="0"/>
          <c:extLst>
            <c:ext xmlns:c16="http://schemas.microsoft.com/office/drawing/2014/chart" uri="{C3380CC4-5D6E-409C-BE32-E72D297353CC}">
              <c16:uniqueId val="{00000014-5836-41B6-9150-CF6AB2855E3F}"/>
            </c:ext>
          </c:extLst>
        </c:ser>
        <c:dLbls>
          <c:showLegendKey val="0"/>
          <c:showVal val="1"/>
          <c:showCatName val="0"/>
          <c:showSerName val="0"/>
          <c:showPercent val="0"/>
          <c:showBubbleSize val="0"/>
        </c:dLbls>
        <c:marker val="1"/>
        <c:smooth val="0"/>
        <c:axId val="313489160"/>
        <c:axId val="313486024"/>
      </c:lineChart>
      <c:catAx>
        <c:axId val="31348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313488768"/>
        <c:crosses val="autoZero"/>
        <c:auto val="1"/>
        <c:lblAlgn val="ctr"/>
        <c:lblOffset val="100"/>
        <c:noMultiLvlLbl val="0"/>
      </c:catAx>
      <c:valAx>
        <c:axId val="31348876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C"/>
                  <a:t>USD millones</a:t>
                </a:r>
              </a:p>
            </c:rich>
          </c:tx>
          <c:layout>
            <c:manualLayout>
              <c:xMode val="edge"/>
              <c:yMode val="edge"/>
              <c:x val="0.10455495034975862"/>
              <c:y val="0.329045528429837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313485632"/>
        <c:crosses val="autoZero"/>
        <c:crossBetween val="between"/>
      </c:valAx>
      <c:valAx>
        <c:axId val="313486024"/>
        <c:scaling>
          <c:orientation val="minMax"/>
          <c:max val="1.1000000000000001"/>
          <c:min val="0"/>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crossAx val="313489160"/>
        <c:crosses val="max"/>
        <c:crossBetween val="between"/>
      </c:valAx>
      <c:catAx>
        <c:axId val="313489160"/>
        <c:scaling>
          <c:orientation val="minMax"/>
        </c:scaling>
        <c:delete val="1"/>
        <c:axPos val="b"/>
        <c:numFmt formatCode="General" sourceLinked="1"/>
        <c:majorTickMark val="none"/>
        <c:minorTickMark val="none"/>
        <c:tickLblPos val="nextTo"/>
        <c:crossAx val="31348602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C"/>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900">
                <a:solidFill>
                  <a:sysClr val="windowText" lastClr="000000"/>
                </a:solidFill>
                <a:latin typeface="Calibri Light" panose="020F0302020204030204" pitchFamily="34" charset="0"/>
                <a:cs typeface="Calibri Light" panose="020F0302020204030204" pitchFamily="34" charset="0"/>
              </a:defRPr>
            </a:pPr>
            <a:r>
              <a:rPr lang="es-EC" sz="900">
                <a:solidFill>
                  <a:sysClr val="windowText" lastClr="000000"/>
                </a:solidFill>
                <a:latin typeface="Calibri Light" panose="020F0302020204030204" pitchFamily="34" charset="0"/>
                <a:cs typeface="Calibri Light" panose="020F0302020204030204" pitchFamily="34" charset="0"/>
              </a:rPr>
              <a:t>Balanza Comercial Hidrocarburífera</a:t>
            </a:r>
          </a:p>
          <a:p>
            <a:pPr>
              <a:defRPr sz="900">
                <a:solidFill>
                  <a:sysClr val="windowText" lastClr="000000"/>
                </a:solidFill>
                <a:latin typeface="Calibri Light" panose="020F0302020204030204" pitchFamily="34" charset="0"/>
                <a:cs typeface="Calibri Light" panose="020F0302020204030204" pitchFamily="34" charset="0"/>
              </a:defRPr>
            </a:pPr>
            <a:r>
              <a:rPr lang="es-EC" sz="900">
                <a:solidFill>
                  <a:sysClr val="windowText" lastClr="000000"/>
                </a:solidFill>
                <a:latin typeface="Calibri Light" panose="020F0302020204030204" pitchFamily="34" charset="0"/>
                <a:cs typeface="Calibri Light" panose="020F0302020204030204" pitchFamily="34" charset="0"/>
              </a:rPr>
              <a:t>-Período: 2024, cifras en barriles- </a:t>
            </a:r>
          </a:p>
        </c:rich>
      </c:tx>
      <c:overlay val="0"/>
      <c:spPr>
        <a:noFill/>
        <a:ln>
          <a:noFill/>
        </a:ln>
        <a:effectLst/>
      </c:spPr>
    </c:title>
    <c:autoTitleDeleted val="0"/>
    <c:plotArea>
      <c:layout>
        <c:manualLayout>
          <c:layoutTarget val="inner"/>
          <c:xMode val="edge"/>
          <c:yMode val="edge"/>
          <c:x val="1.1858767662441143E-2"/>
          <c:y val="0.20025914446758072"/>
          <c:w val="0.96263399061800925"/>
          <c:h val="0.59447509985454716"/>
        </c:manualLayout>
      </c:layout>
      <c:barChart>
        <c:barDir val="col"/>
        <c:grouping val="clustered"/>
        <c:varyColors val="0"/>
        <c:ser>
          <c:idx val="1"/>
          <c:order val="1"/>
          <c:tx>
            <c:v>Resultado del Período</c:v>
          </c:tx>
          <c:spPr>
            <a:solidFill>
              <a:srgbClr val="0070C0"/>
            </a:solidFill>
            <a:ln w="9525" cap="rnd">
              <a:solidFill>
                <a:srgbClr val="54B6AD"/>
              </a:solidFill>
              <a:round/>
            </a:ln>
            <a:effectLst/>
          </c:spPr>
          <c:invertIfNegative val="0"/>
          <c:dLbls>
            <c:spPr>
              <a:noFill/>
              <a:ln>
                <a:noFill/>
              </a:ln>
              <a:effectLst/>
            </c:spPr>
            <c:txPr>
              <a:bodyPr rot="0" vert="horz"/>
              <a:lstStyle/>
              <a:p>
                <a:pPr>
                  <a:defRPr sz="900" b="1">
                    <a:solidFill>
                      <a:schemeClr val="bg1"/>
                    </a:solidFill>
                    <a:latin typeface="Calibri Light" panose="020F0302020204030204" pitchFamily="34" charset="0"/>
                    <a:cs typeface="Calibri Light" panose="020F0302020204030204" pitchFamily="34" charset="0"/>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'DAIEH-Balanza Comercial'!$B$6:$B$9</c:f>
              <c:strCache>
                <c:ptCount val="4"/>
                <c:pt idx="0">
                  <c:v>I</c:v>
                </c:pt>
                <c:pt idx="1">
                  <c:v>II</c:v>
                </c:pt>
                <c:pt idx="2">
                  <c:v>III</c:v>
                </c:pt>
                <c:pt idx="3">
                  <c:v>IV</c:v>
                </c:pt>
              </c:strCache>
            </c:strRef>
          </c:cat>
          <c:val>
            <c:numRef>
              <c:f>'DAIEH-Balanza Comercial'!$D$6:$D$9</c:f>
              <c:numCache>
                <c:formatCode>#,##0</c:formatCode>
                <c:ptCount val="4"/>
                <c:pt idx="0">
                  <c:v>17960807</c:v>
                </c:pt>
                <c:pt idx="1">
                  <c:v>15457438</c:v>
                </c:pt>
                <c:pt idx="2">
                  <c:v>15693428</c:v>
                </c:pt>
                <c:pt idx="3">
                  <c:v>14280560</c:v>
                </c:pt>
              </c:numCache>
            </c:numRef>
          </c:val>
          <c:extLst>
            <c:ext xmlns:c16="http://schemas.microsoft.com/office/drawing/2014/chart" uri="{C3380CC4-5D6E-409C-BE32-E72D297353CC}">
              <c16:uniqueId val="{00000000-D482-4CDD-91A6-0028AF3FF41C}"/>
            </c:ext>
          </c:extLst>
        </c:ser>
        <c:dLbls>
          <c:showLegendKey val="0"/>
          <c:showVal val="0"/>
          <c:showCatName val="0"/>
          <c:showSerName val="0"/>
          <c:showPercent val="0"/>
          <c:showBubbleSize val="0"/>
        </c:dLbls>
        <c:gapWidth val="30"/>
        <c:axId val="188651520"/>
        <c:axId val="162058752"/>
      </c:barChart>
      <c:lineChart>
        <c:grouping val="standard"/>
        <c:varyColors val="0"/>
        <c:ser>
          <c:idx val="0"/>
          <c:order val="0"/>
          <c:tx>
            <c:v>Meta del Período</c:v>
          </c:tx>
          <c:spPr>
            <a:ln w="28575" cap="rnd">
              <a:solidFill>
                <a:srgbClr val="FFC000"/>
              </a:solidFill>
              <a:prstDash val="solid"/>
              <a:round/>
            </a:ln>
            <a:effectLst/>
          </c:spPr>
          <c:marker>
            <c:symbol val="triangle"/>
            <c:size val="6"/>
            <c:spPr>
              <a:solidFill>
                <a:srgbClr val="FFC000"/>
              </a:solidFill>
              <a:ln w="15875">
                <a:solidFill>
                  <a:srgbClr val="FFC000"/>
                </a:solidFill>
              </a:ln>
            </c:spPr>
          </c:marker>
          <c:dPt>
            <c:idx val="0"/>
            <c:bubble3D val="0"/>
            <c:extLst>
              <c:ext xmlns:c16="http://schemas.microsoft.com/office/drawing/2014/chart" uri="{C3380CC4-5D6E-409C-BE32-E72D297353CC}">
                <c16:uniqueId val="{00000001-D482-4CDD-91A6-0028AF3FF41C}"/>
              </c:ext>
            </c:extLst>
          </c:dPt>
          <c:dLbls>
            <c:spPr>
              <a:noFill/>
              <a:ln>
                <a:noFill/>
              </a:ln>
              <a:effectLst/>
            </c:spPr>
            <c:txPr>
              <a:bodyPr rot="0" vert="horz"/>
              <a:lstStyle/>
              <a:p>
                <a:pPr>
                  <a:defRPr sz="900" b="1">
                    <a:solidFill>
                      <a:srgbClr val="FFC000"/>
                    </a:solidFill>
                    <a:latin typeface="Calibri Light" panose="020F0302020204030204" pitchFamily="34" charset="0"/>
                    <a:cs typeface="Calibri Light" panose="020F0302020204030204" pitchFamily="34"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'DAIEH-Balanza Comercial'!$B$6:$B$9</c:f>
              <c:strCache>
                <c:ptCount val="4"/>
                <c:pt idx="0">
                  <c:v>I</c:v>
                </c:pt>
                <c:pt idx="1">
                  <c:v>II</c:v>
                </c:pt>
                <c:pt idx="2">
                  <c:v>III</c:v>
                </c:pt>
                <c:pt idx="3">
                  <c:v>IV</c:v>
                </c:pt>
              </c:strCache>
            </c:strRef>
          </c:cat>
          <c:val>
            <c:numRef>
              <c:f>'DAIEH-Balanza Comercial'!$C$6:$C$9</c:f>
              <c:numCache>
                <c:formatCode>#,##0</c:formatCode>
                <c:ptCount val="4"/>
                <c:pt idx="0">
                  <c:v>16172918</c:v>
                </c:pt>
                <c:pt idx="1">
                  <c:v>17072836</c:v>
                </c:pt>
                <c:pt idx="2">
                  <c:v>16356815</c:v>
                </c:pt>
                <c:pt idx="3">
                  <c:v>41898804</c:v>
                </c:pt>
              </c:numCache>
            </c:numRef>
          </c:val>
          <c:smooth val="0"/>
          <c:extLst>
            <c:ext xmlns:c16="http://schemas.microsoft.com/office/drawing/2014/chart" uri="{C3380CC4-5D6E-409C-BE32-E72D297353CC}">
              <c16:uniqueId val="{00000002-D482-4CDD-91A6-0028AF3FF41C}"/>
            </c:ext>
          </c:extLst>
        </c:ser>
        <c:dLbls>
          <c:showLegendKey val="0"/>
          <c:showVal val="0"/>
          <c:showCatName val="0"/>
          <c:showSerName val="0"/>
          <c:showPercent val="0"/>
          <c:showBubbleSize val="0"/>
        </c:dLbls>
        <c:marker val="1"/>
        <c:smooth val="0"/>
        <c:axId val="188651520"/>
        <c:axId val="162058752"/>
      </c:lineChart>
      <c:lineChart>
        <c:grouping val="stacked"/>
        <c:varyColors val="0"/>
        <c:ser>
          <c:idx val="2"/>
          <c:order val="2"/>
          <c:tx>
            <c:strRef>
              <c:f>'DAIEH-Balanza Comercial'!$E$5</c:f>
              <c:strCache>
                <c:ptCount val="1"/>
                <c:pt idx="0">
                  <c:v>CUMPLIMIENTO</c:v>
                </c:pt>
              </c:strCache>
            </c:strRef>
          </c:tx>
          <c:spPr>
            <a:ln>
              <a:noFill/>
            </a:ln>
          </c:spPr>
          <c:dLbls>
            <c:dLbl>
              <c:idx val="0"/>
              <c:layout>
                <c:manualLayout>
                  <c:x val="-4.1739122813808455E-2"/>
                  <c:y val="-0.364536956322332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82-4CDD-91A6-0028AF3FF41C}"/>
                </c:ext>
              </c:extLst>
            </c:dLbl>
            <c:dLbl>
              <c:idx val="1"/>
              <c:layout>
                <c:manualLayout>
                  <c:x val="-4.9210098270775549E-2"/>
                  <c:y val="-0.326855025474756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82-4CDD-91A6-0028AF3FF41C}"/>
                </c:ext>
              </c:extLst>
            </c:dLbl>
            <c:dLbl>
              <c:idx val="2"/>
              <c:layout>
                <c:manualLayout>
                  <c:x val="-5.1529065030487174E-2"/>
                  <c:y val="-0.308239925891616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82-4CDD-91A6-0028AF3FF41C}"/>
                </c:ext>
              </c:extLst>
            </c:dLbl>
            <c:dLbl>
              <c:idx val="3"/>
              <c:layout>
                <c:manualLayout>
                  <c:x val="1.5538998977387728E-2"/>
                  <c:y val="-0.471148018262423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82-4CDD-91A6-0028AF3FF41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'DAIEH-Balanza Comercial'!$B$6:$B$9</c:f>
              <c:strCache>
                <c:ptCount val="4"/>
                <c:pt idx="0">
                  <c:v>I</c:v>
                </c:pt>
                <c:pt idx="1">
                  <c:v>II</c:v>
                </c:pt>
                <c:pt idx="2">
                  <c:v>III</c:v>
                </c:pt>
                <c:pt idx="3">
                  <c:v>IV</c:v>
                </c:pt>
              </c:strCache>
            </c:strRef>
          </c:cat>
          <c:val>
            <c:numRef>
              <c:f>'DAIEH-Balanza Comercial'!$E$6:$E$9</c:f>
              <c:numCache>
                <c:formatCode>0%</c:formatCode>
                <c:ptCount val="4"/>
                <c:pt idx="0">
                  <c:v>1.1105483252929373</c:v>
                </c:pt>
                <c:pt idx="1">
                  <c:v>0.90538197637463391</c:v>
                </c:pt>
                <c:pt idx="2">
                  <c:v>0.95944277660412491</c:v>
                </c:pt>
                <c:pt idx="3">
                  <c:v>0.34083454983583777</c:v>
                </c:pt>
              </c:numCache>
            </c:numRef>
          </c:val>
          <c:smooth val="0"/>
          <c:extLst>
            <c:ext xmlns:c16="http://schemas.microsoft.com/office/drawing/2014/chart" uri="{C3380CC4-5D6E-409C-BE32-E72D297353CC}">
              <c16:uniqueId val="{00000007-D482-4CDD-91A6-0028AF3FF41C}"/>
            </c:ext>
          </c:extLst>
        </c:ser>
        <c:dLbls>
          <c:showLegendKey val="0"/>
          <c:showVal val="0"/>
          <c:showCatName val="0"/>
          <c:showSerName val="0"/>
          <c:showPercent val="0"/>
          <c:showBubbleSize val="0"/>
        </c:dLbls>
        <c:marker val="1"/>
        <c:smooth val="0"/>
        <c:axId val="1086181120"/>
        <c:axId val="1143202400"/>
      </c:lineChart>
      <c:catAx>
        <c:axId val="18865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a:solidFill>
                  <a:srgbClr val="1F4460"/>
                </a:solidFill>
                <a:latin typeface="Calibri Light" panose="020F0302020204030204" pitchFamily="34" charset="0"/>
                <a:cs typeface="Calibri Light" panose="020F0302020204030204" pitchFamily="34" charset="0"/>
              </a:defRPr>
            </a:pPr>
            <a:endParaRPr lang="es-EC"/>
          </a:p>
        </c:txPr>
        <c:crossAx val="162058752"/>
        <c:crosses val="autoZero"/>
        <c:auto val="1"/>
        <c:lblAlgn val="ctr"/>
        <c:lblOffset val="100"/>
        <c:noMultiLvlLbl val="0"/>
      </c:catAx>
      <c:valAx>
        <c:axId val="162058752"/>
        <c:scaling>
          <c:orientation val="minMax"/>
          <c:min val="12000000"/>
        </c:scaling>
        <c:delete val="1"/>
        <c:axPos val="l"/>
        <c:majorGridlines>
          <c:spPr>
            <a:ln w="9525" cap="flat" cmpd="sng" algn="ctr">
              <a:noFill/>
              <a:round/>
            </a:ln>
            <a:effectLst/>
          </c:spPr>
        </c:majorGridlines>
        <c:numFmt formatCode="#,##0" sourceLinked="1"/>
        <c:majorTickMark val="none"/>
        <c:minorTickMark val="none"/>
        <c:tickLblPos val="nextTo"/>
        <c:crossAx val="188651520"/>
        <c:crosses val="autoZero"/>
        <c:crossBetween val="between"/>
      </c:valAx>
      <c:valAx>
        <c:axId val="1143202400"/>
        <c:scaling>
          <c:orientation val="minMax"/>
        </c:scaling>
        <c:delete val="0"/>
        <c:axPos val="r"/>
        <c:numFmt formatCode="0%" sourceLinked="1"/>
        <c:majorTickMark val="out"/>
        <c:minorTickMark val="none"/>
        <c:tickLblPos val="nextTo"/>
        <c:spPr>
          <a:noFill/>
          <a:ln>
            <a:noFill/>
          </a:ln>
        </c:spPr>
        <c:txPr>
          <a:bodyPr/>
          <a:lstStyle/>
          <a:p>
            <a:pPr>
              <a:defRPr>
                <a:solidFill>
                  <a:schemeClr val="bg1"/>
                </a:solidFill>
              </a:defRPr>
            </a:pPr>
            <a:endParaRPr lang="es-EC"/>
          </a:p>
        </c:txPr>
        <c:crossAx val="1086181120"/>
        <c:crosses val="max"/>
        <c:crossBetween val="between"/>
      </c:valAx>
      <c:catAx>
        <c:axId val="1086181120"/>
        <c:scaling>
          <c:orientation val="minMax"/>
        </c:scaling>
        <c:delete val="1"/>
        <c:axPos val="b"/>
        <c:numFmt formatCode="General" sourceLinked="1"/>
        <c:majorTickMark val="out"/>
        <c:minorTickMark val="none"/>
        <c:tickLblPos val="nextTo"/>
        <c:crossAx val="1143202400"/>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sz="900">
              <a:solidFill>
                <a:schemeClr val="tx1"/>
              </a:solidFill>
              <a:latin typeface="Calibri Light" panose="020F0302020204030204" pitchFamily="34" charset="0"/>
              <a:cs typeface="Calibri Light" panose="020F0302020204030204" pitchFamily="34"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ea typeface="Cambria" panose="02040503050406030204" pitchFamily="18" charset="0"/>
        </a:defRPr>
      </a:pPr>
      <a:endParaRPr lang="es-EC"/>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0" i="0" u="none" strike="noStrike" baseline="0">
                <a:solidFill>
                  <a:srgbClr val="1F4460"/>
                </a:solidFill>
                <a:latin typeface="Calibri Light" panose="020F0302020204030204" pitchFamily="34" charset="0"/>
                <a:ea typeface="Cambria" panose="02040503050406030204" pitchFamily="18" charset="0"/>
                <a:cs typeface="Calibri Light" panose="020F0302020204030204" pitchFamily="34" charset="0"/>
              </a:defRPr>
            </a:pPr>
            <a:r>
              <a:rPr lang="es-ES" sz="1050" b="1" i="0" u="none" strike="noStrike" baseline="0">
                <a:solidFill>
                  <a:sysClr val="windowText" lastClr="000000"/>
                </a:solidFill>
                <a:latin typeface="Calibri Light" panose="020F0302020204030204" pitchFamily="34" charset="0"/>
                <a:ea typeface="Cambria" panose="02040503050406030204" pitchFamily="18" charset="0"/>
                <a:cs typeface="Calibri Light" panose="020F0302020204030204" pitchFamily="34" charset="0"/>
              </a:rPr>
              <a:t>Producción de Petróleo Crudo de Campo.</a:t>
            </a:r>
          </a:p>
          <a:p>
            <a:pPr>
              <a:defRPr sz="1050" b="0" i="0" u="none" strike="noStrike" baseline="0">
                <a:solidFill>
                  <a:srgbClr val="1F4460"/>
                </a:solidFill>
                <a:latin typeface="Calibri Light" panose="020F0302020204030204" pitchFamily="34" charset="0"/>
                <a:ea typeface="Cambria" panose="02040503050406030204" pitchFamily="18" charset="0"/>
                <a:cs typeface="Calibri Light" panose="020F0302020204030204" pitchFamily="34" charset="0"/>
              </a:defRPr>
            </a:pPr>
            <a:r>
              <a:rPr lang="es-ES" sz="1050" b="1" i="0" u="none" strike="noStrike" baseline="0">
                <a:solidFill>
                  <a:sysClr val="windowText" lastClr="000000"/>
                </a:solidFill>
                <a:latin typeface="Calibri Light" panose="020F0302020204030204" pitchFamily="34" charset="0"/>
                <a:ea typeface="Cambria" panose="02040503050406030204" pitchFamily="18" charset="0"/>
                <a:cs typeface="Calibri Light" panose="020F0302020204030204" pitchFamily="34" charset="0"/>
              </a:rPr>
              <a:t>-Período: 2024, cifra en barriles- </a:t>
            </a:r>
          </a:p>
        </c:rich>
      </c:tx>
      <c:layout>
        <c:manualLayout>
          <c:xMode val="edge"/>
          <c:yMode val="edge"/>
          <c:x val="0.25399438022054471"/>
          <c:y val="0"/>
        </c:manualLayout>
      </c:layout>
      <c:overlay val="0"/>
      <c:spPr>
        <a:noFill/>
        <a:ln w="25400">
          <a:noFill/>
        </a:ln>
      </c:spPr>
    </c:title>
    <c:autoTitleDeleted val="0"/>
    <c:plotArea>
      <c:layout>
        <c:manualLayout>
          <c:layoutTarget val="inner"/>
          <c:xMode val="edge"/>
          <c:yMode val="edge"/>
          <c:x val="4.7036688617121351E-3"/>
          <c:y val="0.30339479362232746"/>
          <c:w val="0.83389974889074892"/>
          <c:h val="0.48793211346802295"/>
        </c:manualLayout>
      </c:layout>
      <c:barChart>
        <c:barDir val="col"/>
        <c:grouping val="stacked"/>
        <c:varyColors val="0"/>
        <c:ser>
          <c:idx val="1"/>
          <c:order val="1"/>
          <c:tx>
            <c:strRef>
              <c:f>'DAIEH-Producción de campo'!$H$23</c:f>
              <c:strCache>
                <c:ptCount val="1"/>
                <c:pt idx="0">
                  <c:v>Resultados del período</c:v>
                </c:pt>
              </c:strCache>
            </c:strRef>
          </c:tx>
          <c:spPr>
            <a:solidFill>
              <a:srgbClr val="0070C0"/>
            </a:solidFill>
            <a:ln w="25400">
              <a:noFill/>
            </a:ln>
          </c:spPr>
          <c:invertIfNegative val="0"/>
          <c:dLbls>
            <c:spPr>
              <a:noFill/>
              <a:ln w="25400">
                <a:noFill/>
              </a:ln>
            </c:spPr>
            <c:txPr>
              <a:bodyPr/>
              <a:lstStyle/>
              <a:p>
                <a:pPr>
                  <a:defRPr sz="900" b="1" i="0" u="none" strike="noStrike" baseline="0">
                    <a:solidFill>
                      <a:srgbClr val="FFFFFF"/>
                    </a:solidFill>
                    <a:latin typeface="Calibri Light" panose="020F0302020204030204" pitchFamily="34" charset="0"/>
                    <a:ea typeface="Cambria" panose="02040503050406030204" pitchFamily="18" charset="0"/>
                    <a:cs typeface="Calibri Light" panose="020F0302020204030204" pitchFamily="34" charset="0"/>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'[2]DAIEH- Producción de campo'!$B$14:$B$17</c:f>
              <c:numCache>
                <c:formatCode>General</c:formatCode>
                <c:ptCount val="4"/>
                <c:pt idx="0">
                  <c:v>0</c:v>
                </c:pt>
                <c:pt idx="1">
                  <c:v>0</c:v>
                </c:pt>
                <c:pt idx="2">
                  <c:v>0</c:v>
                </c:pt>
                <c:pt idx="3">
                  <c:v>0</c:v>
                </c:pt>
              </c:numCache>
            </c:numRef>
          </c:cat>
          <c:val>
            <c:numRef>
              <c:f>'DAIEH-Producción de campo'!$D$13:$D$16</c:f>
              <c:numCache>
                <c:formatCode>#,##0</c:formatCode>
                <c:ptCount val="4"/>
                <c:pt idx="0">
                  <c:v>44259820.419999994</c:v>
                </c:pt>
                <c:pt idx="1">
                  <c:v>42890720.289999999</c:v>
                </c:pt>
                <c:pt idx="2">
                  <c:v>43269718.130000003</c:v>
                </c:pt>
                <c:pt idx="3">
                  <c:v>43529310.349999994</c:v>
                </c:pt>
              </c:numCache>
            </c:numRef>
          </c:val>
          <c:extLst>
            <c:ext xmlns:c16="http://schemas.microsoft.com/office/drawing/2014/chart" uri="{C3380CC4-5D6E-409C-BE32-E72D297353CC}">
              <c16:uniqueId val="{00000004-5886-422A-AE33-99D90E7679E1}"/>
            </c:ext>
          </c:extLst>
        </c:ser>
        <c:dLbls>
          <c:showLegendKey val="0"/>
          <c:showVal val="0"/>
          <c:showCatName val="0"/>
          <c:showSerName val="0"/>
          <c:showPercent val="0"/>
          <c:showBubbleSize val="0"/>
        </c:dLbls>
        <c:gapWidth val="75"/>
        <c:overlap val="-17"/>
        <c:axId val="189689856"/>
        <c:axId val="162060480"/>
      </c:barChart>
      <c:lineChart>
        <c:grouping val="standard"/>
        <c:varyColors val="0"/>
        <c:ser>
          <c:idx val="0"/>
          <c:order val="0"/>
          <c:tx>
            <c:strRef>
              <c:f>'DAIEH-Producción de campo'!$H$22</c:f>
              <c:strCache>
                <c:ptCount val="1"/>
                <c:pt idx="0">
                  <c:v>Meta del periodo</c:v>
                </c:pt>
              </c:strCache>
            </c:strRef>
          </c:tx>
          <c:spPr>
            <a:ln w="22225" cap="rnd" cmpd="sng">
              <a:solidFill>
                <a:srgbClr val="FE9D1E"/>
              </a:solidFill>
              <a:prstDash val="solid"/>
              <a:round/>
            </a:ln>
            <a:effectLst/>
          </c:spPr>
          <c:marker>
            <c:symbol val="triangle"/>
            <c:size val="5"/>
            <c:spPr>
              <a:solidFill>
                <a:srgbClr val="FE9D1E"/>
              </a:solidFill>
              <a:ln w="25400" cmpd="sng">
                <a:solidFill>
                  <a:srgbClr val="FE9D1E"/>
                </a:solidFill>
                <a:prstDash val="solid"/>
              </a:ln>
              <a:effectLst/>
            </c:spPr>
          </c:marker>
          <c:dPt>
            <c:idx val="0"/>
            <c:bubble3D val="0"/>
            <c:extLst>
              <c:ext xmlns:c16="http://schemas.microsoft.com/office/drawing/2014/chart" uri="{C3380CC4-5D6E-409C-BE32-E72D297353CC}">
                <c16:uniqueId val="{00000005-5886-422A-AE33-99D90E7679E1}"/>
              </c:ext>
            </c:extLst>
          </c:dPt>
          <c:dLbls>
            <c:dLbl>
              <c:idx val="2"/>
              <c:layout>
                <c:manualLayout>
                  <c:x val="-6.7215428033866417E-2"/>
                  <c:y val="-5.4576320161814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95-4A7C-A95F-4275DC705740}"/>
                </c:ext>
              </c:extLst>
            </c:dLbl>
            <c:spPr>
              <a:noFill/>
              <a:ln w="25400">
                <a:noFill/>
              </a:ln>
            </c:spPr>
            <c:txPr>
              <a:bodyPr/>
              <a:lstStyle/>
              <a:p>
                <a:pPr>
                  <a:defRPr sz="900" b="1" i="0" u="none" strike="noStrike" baseline="0">
                    <a:solidFill>
                      <a:srgbClr val="FF9900"/>
                    </a:solidFill>
                    <a:latin typeface="Calibri Light" panose="020F0302020204030204" pitchFamily="34" charset="0"/>
                    <a:ea typeface="Cambria" panose="02040503050406030204" pitchFamily="18" charset="0"/>
                    <a:cs typeface="Calibri Light" panose="020F0302020204030204" pitchFamily="34"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'DAIEH-Producción de campo'!$B$13:$B$16</c:f>
              <c:strCache>
                <c:ptCount val="4"/>
                <c:pt idx="0">
                  <c:v>I</c:v>
                </c:pt>
                <c:pt idx="1">
                  <c:v>II</c:v>
                </c:pt>
                <c:pt idx="2">
                  <c:v>III</c:v>
                </c:pt>
                <c:pt idx="3">
                  <c:v>IV</c:v>
                </c:pt>
              </c:strCache>
            </c:strRef>
          </c:cat>
          <c:val>
            <c:numRef>
              <c:f>'DAIEH-Producción de campo'!$C$13:$C$16</c:f>
              <c:numCache>
                <c:formatCode>#,##0</c:formatCode>
                <c:ptCount val="4"/>
                <c:pt idx="0">
                  <c:v>43780648.175773375</c:v>
                </c:pt>
                <c:pt idx="1">
                  <c:v>43960684.997600026</c:v>
                </c:pt>
                <c:pt idx="2">
                  <c:v>43994335.022750199</c:v>
                </c:pt>
                <c:pt idx="3">
                  <c:v>42026101.910198756</c:v>
                </c:pt>
              </c:numCache>
            </c:numRef>
          </c:val>
          <c:smooth val="0"/>
          <c:extLst>
            <c:ext xmlns:c16="http://schemas.microsoft.com/office/drawing/2014/chart" uri="{C3380CC4-5D6E-409C-BE32-E72D297353CC}">
              <c16:uniqueId val="{00000006-5886-422A-AE33-99D90E7679E1}"/>
            </c:ext>
          </c:extLst>
        </c:ser>
        <c:dLbls>
          <c:showLegendKey val="0"/>
          <c:showVal val="0"/>
          <c:showCatName val="0"/>
          <c:showSerName val="0"/>
          <c:showPercent val="0"/>
          <c:showBubbleSize val="0"/>
        </c:dLbls>
        <c:marker val="1"/>
        <c:smooth val="0"/>
        <c:axId val="189689856"/>
        <c:axId val="162060480"/>
      </c:lineChart>
      <c:scatterChart>
        <c:scatterStyle val="lineMarker"/>
        <c:varyColors val="0"/>
        <c:ser>
          <c:idx val="2"/>
          <c:order val="2"/>
          <c:tx>
            <c:strRef>
              <c:f>'DAIEH-Producción de campo'!$E$12</c:f>
              <c:strCache>
                <c:ptCount val="1"/>
                <c:pt idx="0">
                  <c:v>CUMPLIMIENTO</c:v>
                </c:pt>
              </c:strCache>
            </c:strRef>
          </c:tx>
          <c:spPr>
            <a:ln w="19050">
              <a:noFill/>
            </a:ln>
          </c:spPr>
          <c:dLbls>
            <c:dLbl>
              <c:idx val="0"/>
              <c:layout>
                <c:manualLayout>
                  <c:x val="-5.2766973405432752E-2"/>
                  <c:y val="-0.5663229373908332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86-422A-AE33-99D90E7679E1}"/>
                </c:ext>
              </c:extLst>
            </c:dLbl>
            <c:dLbl>
              <c:idx val="1"/>
              <c:layout>
                <c:manualLayout>
                  <c:x val="-3.8282037034527309E-2"/>
                  <c:y val="-0.5781853335948664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86-422A-AE33-99D90E7679E1}"/>
                </c:ext>
              </c:extLst>
            </c:dLbl>
            <c:dLbl>
              <c:idx val="2"/>
              <c:layout>
                <c:manualLayout>
                  <c:x val="-4.5337706280690816E-2"/>
                  <c:y val="-0.560553796433808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86-422A-AE33-99D90E7679E1}"/>
                </c:ext>
              </c:extLst>
            </c:dLbl>
            <c:dLbl>
              <c:idx val="3"/>
              <c:layout>
                <c:manualLayout>
                  <c:x val="-4.7546541622056279E-2"/>
                  <c:y val="-0.563779994582527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886-422A-AE33-99D90E7679E1}"/>
                </c:ext>
              </c:extLst>
            </c:dLbl>
            <c:numFmt formatCode="0%" sourceLinked="0"/>
            <c:spPr>
              <a:noFill/>
              <a:ln>
                <a:noFill/>
              </a:ln>
              <a:effectLst/>
            </c:spPr>
            <c:txPr>
              <a:bodyPr wrap="square" lIns="38100" tIns="19050" rIns="38100" bIns="19050" anchor="ctr">
                <a:spAutoFit/>
              </a:bodyPr>
              <a:lstStyle/>
              <a:p>
                <a:pPr>
                  <a:defRPr sz="900"/>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'DAIEH-Producción de campo'!$B$13:$B$16</c:f>
              <c:strCache>
                <c:ptCount val="4"/>
                <c:pt idx="0">
                  <c:v>I</c:v>
                </c:pt>
                <c:pt idx="1">
                  <c:v>II</c:v>
                </c:pt>
                <c:pt idx="2">
                  <c:v>III</c:v>
                </c:pt>
                <c:pt idx="3">
                  <c:v>IV</c:v>
                </c:pt>
              </c:strCache>
            </c:strRef>
          </c:xVal>
          <c:yVal>
            <c:numRef>
              <c:f>'DAIEH-Producción de campo'!$E$13:$E$16</c:f>
              <c:numCache>
                <c:formatCode>0%</c:formatCode>
                <c:ptCount val="4"/>
                <c:pt idx="0">
                  <c:v>1.0109448412527564</c:v>
                </c:pt>
                <c:pt idx="1">
                  <c:v>0.97566087271710078</c:v>
                </c:pt>
                <c:pt idx="2">
                  <c:v>0.98352931366332763</c:v>
                </c:pt>
                <c:pt idx="3">
                  <c:v>1.0357684479758149</c:v>
                </c:pt>
              </c:numCache>
            </c:numRef>
          </c:yVal>
          <c:smooth val="0"/>
          <c:extLst>
            <c:ext xmlns:c16="http://schemas.microsoft.com/office/drawing/2014/chart" uri="{C3380CC4-5D6E-409C-BE32-E72D297353CC}">
              <c16:uniqueId val="{0000000B-5886-422A-AE33-99D90E7679E1}"/>
            </c:ext>
          </c:extLst>
        </c:ser>
        <c:dLbls>
          <c:showLegendKey val="0"/>
          <c:showVal val="0"/>
          <c:showCatName val="0"/>
          <c:showSerName val="0"/>
          <c:showPercent val="0"/>
          <c:showBubbleSize val="0"/>
        </c:dLbls>
        <c:axId val="1127789520"/>
        <c:axId val="1127787856"/>
      </c:scatterChart>
      <c:catAx>
        <c:axId val="18968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1" i="0" u="none" strike="noStrike" baseline="0">
                <a:solidFill>
                  <a:srgbClr val="333333"/>
                </a:solidFill>
                <a:latin typeface="Calibri Light" panose="020F0302020204030204" pitchFamily="34" charset="0"/>
                <a:ea typeface="Calibri"/>
                <a:cs typeface="Calibri Light" panose="020F0302020204030204" pitchFamily="34" charset="0"/>
              </a:defRPr>
            </a:pPr>
            <a:endParaRPr lang="es-EC"/>
          </a:p>
        </c:txPr>
        <c:crossAx val="162060480"/>
        <c:crosses val="autoZero"/>
        <c:auto val="1"/>
        <c:lblAlgn val="ctr"/>
        <c:lblOffset val="100"/>
        <c:noMultiLvlLbl val="0"/>
      </c:catAx>
      <c:valAx>
        <c:axId val="162060480"/>
        <c:scaling>
          <c:orientation val="minMax"/>
          <c:min val="15000000"/>
        </c:scaling>
        <c:delete val="1"/>
        <c:axPos val="l"/>
        <c:numFmt formatCode="#,##0" sourceLinked="1"/>
        <c:majorTickMark val="out"/>
        <c:minorTickMark val="none"/>
        <c:tickLblPos val="nextTo"/>
        <c:crossAx val="189689856"/>
        <c:crosses val="autoZero"/>
        <c:crossBetween val="between"/>
      </c:valAx>
      <c:valAx>
        <c:axId val="1127787856"/>
        <c:scaling>
          <c:orientation val="minMax"/>
        </c:scaling>
        <c:delete val="0"/>
        <c:axPos val="r"/>
        <c:numFmt formatCode="0%" sourceLinked="1"/>
        <c:majorTickMark val="out"/>
        <c:minorTickMark val="none"/>
        <c:tickLblPos val="nextTo"/>
        <c:spPr>
          <a:noFill/>
          <a:ln>
            <a:noFill/>
          </a:ln>
        </c:spPr>
        <c:txPr>
          <a:bodyPr/>
          <a:lstStyle/>
          <a:p>
            <a:pPr>
              <a:defRPr>
                <a:solidFill>
                  <a:schemeClr val="bg1"/>
                </a:solidFill>
              </a:defRPr>
            </a:pPr>
            <a:endParaRPr lang="es-EC"/>
          </a:p>
        </c:txPr>
        <c:crossAx val="1127789520"/>
        <c:crosses val="max"/>
        <c:crossBetween val="midCat"/>
      </c:valAx>
      <c:valAx>
        <c:axId val="1127789520"/>
        <c:scaling>
          <c:orientation val="minMax"/>
        </c:scaling>
        <c:delete val="1"/>
        <c:axPos val="t"/>
        <c:majorTickMark val="out"/>
        <c:minorTickMark val="none"/>
        <c:tickLblPos val="nextTo"/>
        <c:crossAx val="1127787856"/>
        <c:crosses val="max"/>
        <c:crossBetween val="midCat"/>
      </c:valAx>
      <c:spPr>
        <a:noFill/>
        <a:ln w="25400">
          <a:noFill/>
        </a:ln>
      </c:spPr>
    </c:plotArea>
    <c:legend>
      <c:legendPos val="b"/>
      <c:overlay val="0"/>
      <c:spPr>
        <a:noFill/>
        <a:ln w="25400">
          <a:noFill/>
        </a:ln>
      </c:spPr>
      <c:txPr>
        <a:bodyPr/>
        <a:lstStyle/>
        <a:p>
          <a:pPr>
            <a:defRPr sz="800" b="0" i="0" u="none" strike="noStrike" baseline="0">
              <a:solidFill>
                <a:srgbClr val="333333"/>
              </a:solidFill>
              <a:latin typeface="Calibri"/>
              <a:ea typeface="Calibri"/>
              <a:cs typeface="Calibri"/>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EC"/>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rgbClr val="1F4460"/>
                </a:solidFill>
                <a:latin typeface="Calibri Light" panose="020F0302020204030204" pitchFamily="34" charset="0"/>
                <a:ea typeface="Cambria" panose="02040503050406030204" pitchFamily="18" charset="0"/>
                <a:cs typeface="Calibri Light" panose="020F0302020204030204" pitchFamily="34" charset="0"/>
              </a:defRPr>
            </a:pPr>
            <a:r>
              <a:rPr lang="es-EC" sz="1050" b="1">
                <a:solidFill>
                  <a:sysClr val="windowText" lastClr="000000"/>
                </a:solidFill>
                <a:latin typeface="Calibri Light" panose="020F0302020204030204" pitchFamily="34" charset="0"/>
                <a:ea typeface="Cambria" panose="02040503050406030204" pitchFamily="18" charset="0"/>
                <a:cs typeface="Calibri Light" panose="020F0302020204030204" pitchFamily="34" charset="0"/>
              </a:rPr>
              <a:t>Exportaciones de Crudo. </a:t>
            </a:r>
          </a:p>
          <a:p>
            <a:pPr>
              <a:defRPr sz="1050" b="1" i="0" u="none" strike="noStrike" kern="1200" spc="0" baseline="0">
                <a:solidFill>
                  <a:srgbClr val="1F4460"/>
                </a:solidFill>
                <a:latin typeface="Calibri Light" panose="020F0302020204030204" pitchFamily="34" charset="0"/>
                <a:ea typeface="Cambria" panose="02040503050406030204" pitchFamily="18" charset="0"/>
                <a:cs typeface="Calibri Light" panose="020F0302020204030204" pitchFamily="34" charset="0"/>
              </a:defRPr>
            </a:pPr>
            <a:r>
              <a:rPr lang="es-EC" sz="1050" b="1">
                <a:solidFill>
                  <a:sysClr val="windowText" lastClr="000000"/>
                </a:solidFill>
                <a:latin typeface="Calibri Light" panose="020F0302020204030204" pitchFamily="34" charset="0"/>
                <a:ea typeface="Cambria" panose="02040503050406030204" pitchFamily="18" charset="0"/>
                <a:cs typeface="Calibri Light" panose="020F0302020204030204" pitchFamily="34" charset="0"/>
              </a:rPr>
              <a:t>-Período: 2024, c</a:t>
            </a:r>
            <a:r>
              <a:rPr lang="es-EC" sz="1050" b="1" baseline="0">
                <a:solidFill>
                  <a:sysClr val="windowText" lastClr="000000"/>
                </a:solidFill>
                <a:latin typeface="Calibri Light" panose="020F0302020204030204" pitchFamily="34" charset="0"/>
                <a:ea typeface="Cambria" panose="02040503050406030204" pitchFamily="18" charset="0"/>
                <a:cs typeface="Calibri Light" panose="020F0302020204030204" pitchFamily="34" charset="0"/>
              </a:rPr>
              <a:t>ifras en barriles- </a:t>
            </a:r>
            <a:endParaRPr lang="es-EC" sz="1050" b="1">
              <a:solidFill>
                <a:sysClr val="windowText" lastClr="000000"/>
              </a:solidFill>
              <a:latin typeface="Calibri Light" panose="020F0302020204030204" pitchFamily="34" charset="0"/>
              <a:ea typeface="Cambria" panose="02040503050406030204" pitchFamily="18" charset="0"/>
              <a:cs typeface="Calibri Light" panose="020F0302020204030204" pitchFamily="34" charset="0"/>
            </a:endParaRPr>
          </a:p>
        </c:rich>
      </c:tx>
      <c:layout>
        <c:manualLayout>
          <c:xMode val="edge"/>
          <c:yMode val="edge"/>
          <c:x val="0.28854824205470136"/>
          <c:y val="3.1472790039176126E-3"/>
        </c:manualLayout>
      </c:layout>
      <c:overlay val="0"/>
      <c:spPr>
        <a:noFill/>
        <a:ln>
          <a:noFill/>
        </a:ln>
        <a:effectLst/>
      </c:spPr>
    </c:title>
    <c:autoTitleDeleted val="0"/>
    <c:plotArea>
      <c:layout>
        <c:manualLayout>
          <c:layoutTarget val="inner"/>
          <c:xMode val="edge"/>
          <c:yMode val="edge"/>
          <c:x val="1.1308191739190492E-2"/>
          <c:y val="0.13309918156782127"/>
          <c:w val="0.7710564578093293"/>
          <c:h val="0.71241030216050583"/>
        </c:manualLayout>
      </c:layout>
      <c:barChart>
        <c:barDir val="col"/>
        <c:grouping val="stacked"/>
        <c:varyColors val="0"/>
        <c:ser>
          <c:idx val="1"/>
          <c:order val="1"/>
          <c:tx>
            <c:strRef>
              <c:f>'DAIEH-Exportaciones de crudo'!$H$19</c:f>
              <c:strCache>
                <c:ptCount val="1"/>
                <c:pt idx="0">
                  <c:v>Resultados del período</c:v>
                </c:pt>
              </c:strCache>
            </c:strRef>
          </c:tx>
          <c:spPr>
            <a:solidFill>
              <a:srgbClr val="0070C0"/>
            </a:solidFill>
            <a:ln w="28575" cap="rnd">
              <a:noFill/>
              <a:round/>
            </a:ln>
            <a:effectLst/>
          </c:spPr>
          <c:invertIfNegative val="0"/>
          <c:dLbls>
            <c:spPr>
              <a:noFill/>
              <a:ln>
                <a:noFill/>
              </a:ln>
              <a:effectLst/>
            </c:spPr>
            <c:txPr>
              <a:bodyPr/>
              <a:lstStyle/>
              <a:p>
                <a:pPr>
                  <a:defRPr sz="900" b="1">
                    <a:solidFill>
                      <a:schemeClr val="bg1"/>
                    </a:solidFill>
                    <a:latin typeface="Calibri Light" panose="020F0302020204030204" pitchFamily="34" charset="0"/>
                    <a:ea typeface="Cambria" panose="02040503050406030204" pitchFamily="18" charset="0"/>
                    <a:cs typeface="Calibri Light" panose="020F030202020403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'DAIEH-Exportaciones de crudo'!$B$5:$B$8</c:f>
              <c:strCache>
                <c:ptCount val="4"/>
                <c:pt idx="0">
                  <c:v>I</c:v>
                </c:pt>
                <c:pt idx="1">
                  <c:v>II</c:v>
                </c:pt>
                <c:pt idx="2">
                  <c:v>III</c:v>
                </c:pt>
                <c:pt idx="3">
                  <c:v>IV</c:v>
                </c:pt>
              </c:strCache>
            </c:strRef>
          </c:cat>
          <c:val>
            <c:numRef>
              <c:f>'DAIEH-Exportaciones de crudo'!$D$5:$D$8</c:f>
              <c:numCache>
                <c:formatCode>#,##0</c:formatCode>
                <c:ptCount val="4"/>
                <c:pt idx="0">
                  <c:v>32541226.950000003</c:v>
                </c:pt>
                <c:pt idx="1">
                  <c:v>29855349.210000001</c:v>
                </c:pt>
                <c:pt idx="2">
                  <c:v>30467709.049999997</c:v>
                </c:pt>
                <c:pt idx="3">
                  <c:v>32766111.150000002</c:v>
                </c:pt>
              </c:numCache>
            </c:numRef>
          </c:val>
          <c:extLst>
            <c:ext xmlns:c16="http://schemas.microsoft.com/office/drawing/2014/chart" uri="{C3380CC4-5D6E-409C-BE32-E72D297353CC}">
              <c16:uniqueId val="{00000000-3F6E-46E3-949D-A23E4CD8D547}"/>
            </c:ext>
          </c:extLst>
        </c:ser>
        <c:dLbls>
          <c:showLegendKey val="0"/>
          <c:showVal val="0"/>
          <c:showCatName val="0"/>
          <c:showSerName val="0"/>
          <c:showPercent val="0"/>
          <c:showBubbleSize val="0"/>
        </c:dLbls>
        <c:gapWidth val="50"/>
        <c:overlap val="39"/>
        <c:axId val="189693440"/>
        <c:axId val="190029824"/>
      </c:barChart>
      <c:lineChart>
        <c:grouping val="standard"/>
        <c:varyColors val="0"/>
        <c:ser>
          <c:idx val="0"/>
          <c:order val="0"/>
          <c:tx>
            <c:strRef>
              <c:f>'DAIEH-Exportaciones de crudo'!$H$18</c:f>
              <c:strCache>
                <c:ptCount val="1"/>
                <c:pt idx="0">
                  <c:v>Meta del periodo</c:v>
                </c:pt>
              </c:strCache>
            </c:strRef>
          </c:tx>
          <c:spPr>
            <a:ln w="22225" cap="rnd" cmpd="sng">
              <a:solidFill>
                <a:srgbClr val="FE9D1E"/>
              </a:solidFill>
              <a:prstDash val="solid"/>
              <a:round/>
            </a:ln>
            <a:effectLst/>
          </c:spPr>
          <c:marker>
            <c:symbol val="triangle"/>
            <c:size val="5"/>
            <c:spPr>
              <a:solidFill>
                <a:srgbClr val="FE9D1E"/>
              </a:solidFill>
              <a:ln w="12700" cmpd="sng">
                <a:solidFill>
                  <a:srgbClr val="FE9D1E"/>
                </a:solidFill>
                <a:prstDash val="solid"/>
              </a:ln>
              <a:effectLst/>
            </c:spPr>
          </c:marker>
          <c:dPt>
            <c:idx val="0"/>
            <c:bubble3D val="0"/>
            <c:extLst>
              <c:ext xmlns:c16="http://schemas.microsoft.com/office/drawing/2014/chart" uri="{C3380CC4-5D6E-409C-BE32-E72D297353CC}">
                <c16:uniqueId val="{00000001-3F6E-46E3-949D-A23E4CD8D547}"/>
              </c:ext>
            </c:extLst>
          </c:dPt>
          <c:dLbls>
            <c:dLbl>
              <c:idx val="1"/>
              <c:layout>
                <c:manualLayout>
                  <c:x val="-7.9446639567166064E-2"/>
                  <c:y val="-6.2465368912219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6E-46E3-949D-A23E4CD8D547}"/>
                </c:ext>
              </c:extLst>
            </c:dLbl>
            <c:dLbl>
              <c:idx val="2"/>
              <c:layout>
                <c:manualLayout>
                  <c:x val="-7.2358960949070766E-2"/>
                  <c:y val="-4.40911319597530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6E-46E3-949D-A23E4CD8D547}"/>
                </c:ext>
              </c:extLst>
            </c:dLbl>
            <c:dLbl>
              <c:idx val="3"/>
              <c:layout>
                <c:manualLayout>
                  <c:x val="-7.2226233453670186E-2"/>
                  <c:y val="-7.17249927092447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6E-46E3-949D-A23E4CD8D54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E9D1E"/>
                    </a:solidFill>
                    <a:latin typeface="Calibri Light" panose="020F0302020204030204" pitchFamily="34" charset="0"/>
                    <a:ea typeface="Cambria" panose="02040503050406030204" pitchFamily="18" charset="0"/>
                    <a:cs typeface="Calibri Light" panose="020F0302020204030204" pitchFamily="34"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'DAIEH-Exportaciones de crudo'!$B$5:$B$8</c:f>
              <c:strCache>
                <c:ptCount val="4"/>
                <c:pt idx="0">
                  <c:v>I</c:v>
                </c:pt>
                <c:pt idx="1">
                  <c:v>II</c:v>
                </c:pt>
                <c:pt idx="2">
                  <c:v>III</c:v>
                </c:pt>
                <c:pt idx="3">
                  <c:v>IV</c:v>
                </c:pt>
              </c:strCache>
            </c:strRef>
          </c:cat>
          <c:val>
            <c:numRef>
              <c:f>'DAIEH-Exportaciones de crudo'!$C$5:$C$8</c:f>
              <c:numCache>
                <c:formatCode>#,##0</c:formatCode>
                <c:ptCount val="4"/>
                <c:pt idx="0">
                  <c:v>27558057.105410781</c:v>
                </c:pt>
                <c:pt idx="1">
                  <c:v>27771049.420121934</c:v>
                </c:pt>
                <c:pt idx="2">
                  <c:v>30815547.16470864</c:v>
                </c:pt>
                <c:pt idx="3">
                  <c:v>26573731.547494438</c:v>
                </c:pt>
              </c:numCache>
            </c:numRef>
          </c:val>
          <c:smooth val="0"/>
          <c:extLst>
            <c:ext xmlns:c16="http://schemas.microsoft.com/office/drawing/2014/chart" uri="{C3380CC4-5D6E-409C-BE32-E72D297353CC}">
              <c16:uniqueId val="{00000005-3F6E-46E3-949D-A23E4CD8D547}"/>
            </c:ext>
          </c:extLst>
        </c:ser>
        <c:dLbls>
          <c:showLegendKey val="0"/>
          <c:showVal val="0"/>
          <c:showCatName val="0"/>
          <c:showSerName val="0"/>
          <c:showPercent val="0"/>
          <c:showBubbleSize val="0"/>
        </c:dLbls>
        <c:marker val="1"/>
        <c:smooth val="0"/>
        <c:axId val="189693440"/>
        <c:axId val="190029824"/>
      </c:lineChart>
      <c:scatterChart>
        <c:scatterStyle val="lineMarker"/>
        <c:varyColors val="0"/>
        <c:ser>
          <c:idx val="2"/>
          <c:order val="2"/>
          <c:tx>
            <c:strRef>
              <c:f>'DAIEH-Exportaciones de crudo'!$E$4</c:f>
              <c:strCache>
                <c:ptCount val="1"/>
                <c:pt idx="0">
                  <c:v>CUMPLIMIENTO</c:v>
                </c:pt>
              </c:strCache>
            </c:strRef>
          </c:tx>
          <c:spPr>
            <a:ln w="19050">
              <a:noFill/>
            </a:ln>
          </c:spPr>
          <c:dLbls>
            <c:dLbl>
              <c:idx val="0"/>
              <c:layout>
                <c:manualLayout>
                  <c:x val="-3.9786021598705187E-2"/>
                  <c:y val="-0.614175200527322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6E-46E3-949D-A23E4CD8D547}"/>
                </c:ext>
              </c:extLst>
            </c:dLbl>
            <c:dLbl>
              <c:idx val="1"/>
              <c:layout>
                <c:manualLayout>
                  <c:x val="-5.1487792657147875E-2"/>
                  <c:y val="-0.646126511537414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6E-46E3-949D-A23E4CD8D547}"/>
                </c:ext>
              </c:extLst>
            </c:dLbl>
            <c:dLbl>
              <c:idx val="2"/>
              <c:layout>
                <c:manualLayout>
                  <c:x val="-4.4466694448709231E-2"/>
                  <c:y val="-0.663299328963189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6E-46E3-949D-A23E4CD8D547}"/>
                </c:ext>
              </c:extLst>
            </c:dLbl>
            <c:dLbl>
              <c:idx val="3"/>
              <c:layout>
                <c:manualLayout>
                  <c:x val="-4.6807084233770793E-2"/>
                  <c:y val="-0.649676657205202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F6E-46E3-949D-A23E4CD8D547}"/>
                </c:ext>
              </c:extLst>
            </c:dLbl>
            <c:spPr>
              <a:noFill/>
              <a:ln>
                <a:noFill/>
              </a:ln>
              <a:effectLst/>
            </c:spPr>
            <c:txPr>
              <a:bodyPr wrap="square" lIns="38100" tIns="19050" rIns="38100" bIns="19050" anchor="ctr">
                <a:spAutoFit/>
              </a:bodyPr>
              <a:lstStyle/>
              <a:p>
                <a:pPr>
                  <a:defRPr sz="900"/>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'DAIEH-Exportaciones de crudo'!$B$5:$B$8</c:f>
              <c:strCache>
                <c:ptCount val="4"/>
                <c:pt idx="0">
                  <c:v>I</c:v>
                </c:pt>
                <c:pt idx="1">
                  <c:v>II</c:v>
                </c:pt>
                <c:pt idx="2">
                  <c:v>III</c:v>
                </c:pt>
                <c:pt idx="3">
                  <c:v>IV</c:v>
                </c:pt>
              </c:strCache>
            </c:strRef>
          </c:xVal>
          <c:yVal>
            <c:numRef>
              <c:f>'DAIEH-Exportaciones de crudo'!$E$5:$E$8</c:f>
              <c:numCache>
                <c:formatCode>0%</c:formatCode>
                <c:ptCount val="4"/>
                <c:pt idx="0">
                  <c:v>1.1808244255220308</c:v>
                </c:pt>
                <c:pt idx="1">
                  <c:v>1.0750529718321646</c:v>
                </c:pt>
                <c:pt idx="2">
                  <c:v>0.98871225252469297</c:v>
                </c:pt>
                <c:pt idx="3">
                  <c:v>1.2330263475205998</c:v>
                </c:pt>
              </c:numCache>
            </c:numRef>
          </c:yVal>
          <c:smooth val="0"/>
          <c:extLst>
            <c:ext xmlns:c16="http://schemas.microsoft.com/office/drawing/2014/chart" uri="{C3380CC4-5D6E-409C-BE32-E72D297353CC}">
              <c16:uniqueId val="{0000000A-3F6E-46E3-949D-A23E4CD8D547}"/>
            </c:ext>
          </c:extLst>
        </c:ser>
        <c:dLbls>
          <c:showLegendKey val="0"/>
          <c:showVal val="0"/>
          <c:showCatName val="0"/>
          <c:showSerName val="0"/>
          <c:showPercent val="0"/>
          <c:showBubbleSize val="0"/>
        </c:dLbls>
        <c:axId val="1134907424"/>
        <c:axId val="1134907840"/>
      </c:scatterChart>
      <c:catAx>
        <c:axId val="18969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s-EC"/>
          </a:p>
        </c:txPr>
        <c:crossAx val="190029824"/>
        <c:crosses val="autoZero"/>
        <c:auto val="1"/>
        <c:lblAlgn val="ctr"/>
        <c:lblOffset val="100"/>
        <c:noMultiLvlLbl val="0"/>
      </c:catAx>
      <c:valAx>
        <c:axId val="190029824"/>
        <c:scaling>
          <c:orientation val="minMax"/>
          <c:min val="15000000"/>
        </c:scaling>
        <c:delete val="1"/>
        <c:axPos val="l"/>
        <c:majorGridlines>
          <c:spPr>
            <a:ln w="9525" cap="flat" cmpd="sng" algn="ctr">
              <a:noFill/>
              <a:round/>
            </a:ln>
            <a:effectLst/>
          </c:spPr>
        </c:majorGridlines>
        <c:numFmt formatCode="#,##0" sourceLinked="1"/>
        <c:majorTickMark val="none"/>
        <c:minorTickMark val="none"/>
        <c:tickLblPos val="nextTo"/>
        <c:crossAx val="189693440"/>
        <c:crosses val="autoZero"/>
        <c:crossBetween val="between"/>
      </c:valAx>
      <c:valAx>
        <c:axId val="1134907840"/>
        <c:scaling>
          <c:orientation val="minMax"/>
        </c:scaling>
        <c:delete val="0"/>
        <c:axPos val="r"/>
        <c:numFmt formatCode="0%" sourceLinked="1"/>
        <c:majorTickMark val="out"/>
        <c:minorTickMark val="none"/>
        <c:tickLblPos val="nextTo"/>
        <c:spPr>
          <a:noFill/>
          <a:ln>
            <a:noFill/>
          </a:ln>
        </c:spPr>
        <c:txPr>
          <a:bodyPr/>
          <a:lstStyle/>
          <a:p>
            <a:pPr>
              <a:defRPr>
                <a:solidFill>
                  <a:schemeClr val="bg1"/>
                </a:solidFill>
              </a:defRPr>
            </a:pPr>
            <a:endParaRPr lang="es-EC"/>
          </a:p>
        </c:txPr>
        <c:crossAx val="1134907424"/>
        <c:crosses val="max"/>
        <c:crossBetween val="midCat"/>
      </c:valAx>
      <c:valAx>
        <c:axId val="1134907424"/>
        <c:scaling>
          <c:orientation val="minMax"/>
        </c:scaling>
        <c:delete val="1"/>
        <c:axPos val="t"/>
        <c:majorTickMark val="out"/>
        <c:minorTickMark val="none"/>
        <c:tickLblPos val="nextTo"/>
        <c:crossAx val="1134907840"/>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sz="900"/>
              <a:t>POTENCIAL HIDROCABURÍFERO DEL ECUADOR </a:t>
            </a:r>
          </a:p>
          <a:p>
            <a:pPr>
              <a:defRPr/>
            </a:pPr>
            <a:r>
              <a:rPr lang="en-US" sz="900"/>
              <a:t>(31 de diciembre de 2024)</a:t>
            </a:r>
          </a:p>
        </c:rich>
      </c:tx>
      <c:overlay val="0"/>
      <c:spPr>
        <a:noFill/>
        <a:ln w="25400">
          <a:noFill/>
        </a:ln>
      </c:spPr>
    </c:title>
    <c:autoTitleDeleted val="0"/>
    <c:plotArea>
      <c:layout/>
      <c:barChart>
        <c:barDir val="col"/>
        <c:grouping val="clustered"/>
        <c:varyColors val="0"/>
        <c:ser>
          <c:idx val="0"/>
          <c:order val="0"/>
          <c:spPr>
            <a:solidFill>
              <a:schemeClr val="accent1">
                <a:alpha val="85000"/>
              </a:schemeClr>
            </a:solidFill>
            <a:ln w="9525" cap="flat" cmpd="sng" algn="ctr">
              <a:noFill/>
              <a:round/>
            </a:ln>
            <a:effectLst/>
            <a:scene3d>
              <a:camera prst="orthographicFront"/>
              <a:lightRig rig="threePt" dir="t"/>
            </a:scene3d>
            <a:sp3d>
              <a:bevelT/>
              <a:contourClr>
                <a:srgbClr val="000000"/>
              </a:contourClr>
            </a:sp3d>
          </c:spPr>
          <c:invertIfNegative val="0"/>
          <c:dPt>
            <c:idx val="0"/>
            <c:invertIfNegative val="0"/>
            <c:bubble3D val="0"/>
            <c:spPr>
              <a:solidFill>
                <a:srgbClr val="00B050"/>
              </a:solidFill>
              <a:ln w="25400">
                <a:noFill/>
              </a:ln>
              <a:scene3d>
                <a:camera prst="orthographicFront"/>
                <a:lightRig rig="threePt" dir="t"/>
              </a:scene3d>
              <a:sp3d>
                <a:bevelT/>
                <a:contourClr>
                  <a:srgbClr val="000000"/>
                </a:contourClr>
              </a:sp3d>
            </c:spPr>
            <c:extLst>
              <c:ext xmlns:c16="http://schemas.microsoft.com/office/drawing/2014/chart" uri="{C3380CC4-5D6E-409C-BE32-E72D297353CC}">
                <c16:uniqueId val="{00000001-AFAD-4387-9850-EF3CBCDF4BB2}"/>
              </c:ext>
            </c:extLst>
          </c:dPt>
          <c:dPt>
            <c:idx val="1"/>
            <c:invertIfNegative val="0"/>
            <c:bubble3D val="0"/>
            <c:spPr>
              <a:solidFill>
                <a:srgbClr val="FFC000"/>
              </a:solidFill>
              <a:ln w="25400">
                <a:noFill/>
              </a:ln>
              <a:scene3d>
                <a:camera prst="orthographicFront"/>
                <a:lightRig rig="threePt" dir="t"/>
              </a:scene3d>
              <a:sp3d>
                <a:bevelT/>
                <a:contourClr>
                  <a:srgbClr val="000000"/>
                </a:contourClr>
              </a:sp3d>
            </c:spPr>
            <c:extLst>
              <c:ext xmlns:c16="http://schemas.microsoft.com/office/drawing/2014/chart" uri="{C3380CC4-5D6E-409C-BE32-E72D297353CC}">
                <c16:uniqueId val="{00000003-AFAD-4387-9850-EF3CBCDF4BB2}"/>
              </c:ext>
            </c:extLst>
          </c:dPt>
          <c:dPt>
            <c:idx val="2"/>
            <c:invertIfNegative val="0"/>
            <c:bubble3D val="0"/>
            <c:spPr>
              <a:solidFill>
                <a:srgbClr val="0070C0"/>
              </a:solidFill>
              <a:ln w="25400">
                <a:noFill/>
              </a:ln>
              <a:scene3d>
                <a:camera prst="orthographicFront"/>
                <a:lightRig rig="threePt" dir="t"/>
              </a:scene3d>
              <a:sp3d>
                <a:bevelT/>
                <a:contourClr>
                  <a:srgbClr val="000000"/>
                </a:contourClr>
              </a:sp3d>
            </c:spPr>
            <c:extLst>
              <c:ext xmlns:c16="http://schemas.microsoft.com/office/drawing/2014/chart" uri="{C3380CC4-5D6E-409C-BE32-E72D297353CC}">
                <c16:uniqueId val="{00000005-AFAD-4387-9850-EF3CBCDF4BB2}"/>
              </c:ext>
            </c:extLst>
          </c:dPt>
          <c:dPt>
            <c:idx val="3"/>
            <c:invertIfNegative val="0"/>
            <c:bubble3D val="0"/>
            <c:spPr>
              <a:solidFill>
                <a:srgbClr val="00B0F0"/>
              </a:solidFill>
              <a:ln w="25400">
                <a:noFill/>
              </a:ln>
              <a:scene3d>
                <a:camera prst="orthographicFront"/>
                <a:lightRig rig="threePt" dir="t"/>
              </a:scene3d>
              <a:sp3d>
                <a:bevelT/>
                <a:contourClr>
                  <a:srgbClr val="000000"/>
                </a:contourClr>
              </a:sp3d>
            </c:spPr>
            <c:extLst>
              <c:ext xmlns:c16="http://schemas.microsoft.com/office/drawing/2014/chart" uri="{C3380CC4-5D6E-409C-BE32-E72D297353CC}">
                <c16:uniqueId val="{00000007-AFAD-4387-9850-EF3CBCDF4BB2}"/>
              </c:ext>
            </c:extLst>
          </c:dPt>
          <c:dLbls>
            <c:dLbl>
              <c:idx val="0"/>
              <c:layout>
                <c:manualLayout>
                  <c:x val="6.6277286834912335E-4"/>
                  <c:y val="-2.000995584757562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AD-4387-9850-EF3CBCDF4BB2}"/>
                </c:ext>
              </c:extLst>
            </c:dLbl>
            <c:dLbl>
              <c:idx val="1"/>
              <c:layout>
                <c:manualLayout>
                  <c:x val="3.69344467372560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AD-4387-9850-EF3CBCDF4BB2}"/>
                </c:ext>
              </c:extLst>
            </c:dLbl>
            <c:dLbl>
              <c:idx val="2"/>
              <c:layout>
                <c:manualLayout>
                  <c:x val="1.0101777023873897E-3"/>
                  <c:y val="-6.5333188950595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AD-4387-9850-EF3CBCDF4BB2}"/>
                </c:ext>
              </c:extLst>
            </c:dLbl>
            <c:dLbl>
              <c:idx val="3"/>
              <c:layout>
                <c:manualLayout>
                  <c:x val="-6.2029170154295149E-3"/>
                  <c:y val="-1.3799552069743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AD-4387-9850-EF3CBCDF4BB2}"/>
                </c:ext>
              </c:extLst>
            </c:dLbl>
            <c:spPr>
              <a:noFill/>
              <a:ln w="25400">
                <a:noFill/>
              </a:ln>
            </c:spPr>
            <c:txPr>
              <a:bodyPr rot="0" vert="horz"/>
              <a:lstStyle/>
              <a:p>
                <a:pPr>
                  <a:defRPr sz="900"/>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'Fig.1_Pot. Hidrocarburifero2022'!$A$3:$A$6</c:f>
              <c:strCache>
                <c:ptCount val="4"/>
                <c:pt idx="0">
                  <c:v>Producción acumulada</c:v>
                </c:pt>
                <c:pt idx="1">
                  <c:v>Reservas Totales 
3P</c:v>
                </c:pt>
                <c:pt idx="2">
                  <c:v>Recursos Contingentes 
3C</c:v>
                </c:pt>
                <c:pt idx="3">
                  <c:v>Recursos Prospectivos 
3U</c:v>
                </c:pt>
              </c:strCache>
            </c:strRef>
          </c:cat>
          <c:val>
            <c:numRef>
              <c:f>'Fig.1_Pot. Hidrocarburifero2022'!$B$3:$B$6</c:f>
              <c:numCache>
                <c:formatCode>#,##0</c:formatCode>
                <c:ptCount val="4"/>
                <c:pt idx="0">
                  <c:v>7140</c:v>
                </c:pt>
                <c:pt idx="1">
                  <c:v>1651</c:v>
                </c:pt>
                <c:pt idx="2">
                  <c:v>1970</c:v>
                </c:pt>
                <c:pt idx="3">
                  <c:v>876</c:v>
                </c:pt>
              </c:numCache>
            </c:numRef>
          </c:val>
          <c:extLst>
            <c:ext xmlns:c16="http://schemas.microsoft.com/office/drawing/2014/chart" uri="{C3380CC4-5D6E-409C-BE32-E72D297353CC}">
              <c16:uniqueId val="{00000008-AFAD-4387-9850-EF3CBCDF4BB2}"/>
            </c:ext>
          </c:extLst>
        </c:ser>
        <c:dLbls>
          <c:showLegendKey val="0"/>
          <c:showVal val="0"/>
          <c:showCatName val="0"/>
          <c:showSerName val="0"/>
          <c:showPercent val="0"/>
          <c:showBubbleSize val="0"/>
        </c:dLbls>
        <c:gapWidth val="150"/>
        <c:axId val="647712431"/>
        <c:axId val="1"/>
      </c:barChart>
      <c:catAx>
        <c:axId val="64771243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sz="800"/>
            </a:pPr>
            <a:endParaRPr lang="es-EC"/>
          </a:p>
        </c:txPr>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647712431"/>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dk1">
          <a:lumMod val="25000"/>
          <a:lumOff val="75000"/>
        </a:schemeClr>
      </a:solidFill>
      <a:round/>
    </a:ln>
    <a:effectLst>
      <a:outerShdw blurRad="50800" dist="38100" dir="2700000" algn="tl" rotWithShape="0">
        <a:prstClr val="black">
          <a:alpha val="40000"/>
        </a:prstClr>
      </a:outerShdw>
    </a:effectLst>
  </c:spPr>
  <c:txPr>
    <a:bodyPr/>
    <a:lstStyle/>
    <a:p>
      <a:pPr>
        <a:defRPr sz="700"/>
      </a:pPr>
      <a:endParaRPr lang="es-EC"/>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cap="all" baseline="0">
                <a:solidFill>
                  <a:sysClr val="windowText" lastClr="000000"/>
                </a:solidFill>
                <a:latin typeface="+mj-lt"/>
                <a:ea typeface="+mn-ea"/>
                <a:cs typeface="+mn-cs"/>
              </a:defRPr>
            </a:pPr>
            <a:r>
              <a:rPr lang="es-EC" sz="900" b="1">
                <a:latin typeface="+mj-lt"/>
              </a:rPr>
              <a:t>TOTAL POZOS PERFORADOS - 2024</a:t>
            </a:r>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1933360999693975"/>
          <c:y val="0.14855014871320066"/>
          <c:w val="0.81416185476815395"/>
          <c:h val="0.72088764946048411"/>
        </c:manualLayout>
      </c:layout>
      <c:bar3DChart>
        <c:barDir val="col"/>
        <c:grouping val="standard"/>
        <c:varyColors val="0"/>
        <c:ser>
          <c:idx val="0"/>
          <c:order val="0"/>
          <c:tx>
            <c:strRef>
              <c:f>'Fig.2_Pozos Perforados 2023'!$A$2:$A$4</c:f>
              <c:strCache>
                <c:ptCount val="3"/>
                <c:pt idx="0">
                  <c:v>Empresa Pública</c:v>
                </c:pt>
                <c:pt idx="1">
                  <c:v>Empresa Privada</c:v>
                </c:pt>
                <c:pt idx="2">
                  <c:v>Total EP + EP</c:v>
                </c:pt>
              </c:strCache>
            </c:strRef>
          </c:tx>
          <c:spPr>
            <a:solidFill>
              <a:schemeClr val="accent1">
                <a:alpha val="88000"/>
              </a:schemeClr>
            </a:solidFill>
            <a:ln>
              <a:solidFill>
                <a:schemeClr val="accent1">
                  <a:lumMod val="50000"/>
                </a:schemeClr>
              </a:solidFill>
            </a:ln>
            <a:effectLst>
              <a:outerShdw blurRad="50800" dist="38100" dir="2700000" algn="tl" rotWithShape="0">
                <a:prstClr val="black">
                  <a:alpha val="40000"/>
                </a:prstClr>
              </a:outerShdw>
            </a:effectLst>
            <a:scene3d>
              <a:camera prst="orthographicFront"/>
              <a:lightRig rig="threePt" dir="t"/>
            </a:scene3d>
            <a:sp3d prstMaterial="flat">
              <a:contourClr>
                <a:schemeClr val="accent1">
                  <a:lumMod val="50000"/>
                </a:schemeClr>
              </a:contourClr>
            </a:sp3d>
          </c:spPr>
          <c:invertIfNegative val="0"/>
          <c:dPt>
            <c:idx val="2"/>
            <c:invertIfNegative val="0"/>
            <c:bubble3D val="0"/>
            <c:spPr>
              <a:solidFill>
                <a:srgbClr val="BCF0F0">
                  <a:alpha val="88000"/>
                </a:srgbClr>
              </a:solidFill>
              <a:ln>
                <a:solidFill>
                  <a:schemeClr val="accent1">
                    <a:lumMod val="50000"/>
                  </a:schemeClr>
                </a:solidFill>
              </a:ln>
              <a:effectLst>
                <a:outerShdw blurRad="50800" dist="38100" dir="2700000" algn="tl" rotWithShape="0">
                  <a:prstClr val="black">
                    <a:alpha val="40000"/>
                  </a:prstClr>
                </a:outerShdw>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BFEE-44DA-B881-490447B4C61A}"/>
              </c:ext>
            </c:extLst>
          </c:dPt>
          <c:dLbls>
            <c:spPr>
              <a:noFill/>
              <a:ln w="25400">
                <a:noFill/>
              </a:ln>
            </c:spPr>
            <c:txPr>
              <a:bodyPr rot="0" spcFirstLastPara="1" vertOverflow="ellipsis" horzOverflow="clip" vert="horz" wrap="square" lIns="252000" tIns="144000" rIns="36576" bIns="792000" anchor="ctr" anchorCtr="0">
                <a:spAutoFit/>
              </a:bodyPr>
              <a:lstStyle/>
              <a:p>
                <a:pPr algn="ctr">
                  <a:defRPr sz="1100" b="1"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'Fig.2_Pozos Perforados 2023'!$A$2:$A$4</c:f>
              <c:strCache>
                <c:ptCount val="3"/>
                <c:pt idx="0">
                  <c:v>Empresa Pública</c:v>
                </c:pt>
                <c:pt idx="1">
                  <c:v>Empresa Privada</c:v>
                </c:pt>
                <c:pt idx="2">
                  <c:v>Total EP + EP</c:v>
                </c:pt>
              </c:strCache>
            </c:strRef>
          </c:cat>
          <c:val>
            <c:numRef>
              <c:f>'Fig.2_Pozos Perforados 2023'!$B$2:$B$4</c:f>
              <c:numCache>
                <c:formatCode>General</c:formatCode>
                <c:ptCount val="3"/>
                <c:pt idx="0">
                  <c:v>70</c:v>
                </c:pt>
                <c:pt idx="1">
                  <c:v>52</c:v>
                </c:pt>
                <c:pt idx="2">
                  <c:v>122</c:v>
                </c:pt>
              </c:numCache>
            </c:numRef>
          </c:val>
          <c:shape val="cylinder"/>
          <c:extLst>
            <c:ext xmlns:c16="http://schemas.microsoft.com/office/drawing/2014/chart" uri="{C3380CC4-5D6E-409C-BE32-E72D297353CC}">
              <c16:uniqueId val="{00000002-BFEE-44DA-B881-490447B4C61A}"/>
            </c:ext>
          </c:extLst>
        </c:ser>
        <c:dLbls>
          <c:showLegendKey val="0"/>
          <c:showVal val="0"/>
          <c:showCatName val="0"/>
          <c:showSerName val="0"/>
          <c:showPercent val="0"/>
          <c:showBubbleSize val="0"/>
        </c:dLbls>
        <c:gapWidth val="99"/>
        <c:gapDepth val="145"/>
        <c:shape val="box"/>
        <c:axId val="362401504"/>
        <c:axId val="1"/>
        <c:axId val="2"/>
      </c:bar3DChart>
      <c:catAx>
        <c:axId val="362401504"/>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es-EC"/>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362401504"/>
        <c:crosses val="autoZero"/>
        <c:crossBetween val="between"/>
      </c:valAx>
      <c:serAx>
        <c:axId val="2"/>
        <c:scaling>
          <c:orientation val="minMax"/>
        </c:scaling>
        <c:delete val="1"/>
        <c:axPos val="b"/>
        <c:majorTickMark val="out"/>
        <c:minorTickMark val="none"/>
        <c:tickLblPos val="nextTo"/>
        <c:crossAx val="1"/>
        <c:crosses val="autoZero"/>
      </c:serAx>
      <c:spPr>
        <a:noFill/>
        <a:ln w="25400">
          <a:noFill/>
        </a:ln>
      </c:spPr>
    </c:plotArea>
    <c:plotVisOnly val="1"/>
    <c:dispBlanksAs val="gap"/>
    <c:showDLblsOverMax val="0"/>
  </c:chart>
  <c:spPr>
    <a:solidFill>
      <a:schemeClr val="bg1"/>
    </a:solidFill>
    <a:ln w="6350" cap="flat" cmpd="sng" algn="ctr">
      <a:solidFill>
        <a:schemeClr val="dk1">
          <a:tint val="75000"/>
        </a:schemeClr>
      </a:solidFill>
      <a:round/>
    </a:ln>
    <a:effectLst>
      <a:outerShdw blurRad="50800" dist="38100" dir="5400000" algn="t" rotWithShape="0">
        <a:prstClr val="black">
          <a:alpha val="40000"/>
        </a:prstClr>
      </a:outerShdw>
    </a:effectLst>
  </c:spPr>
  <c:txPr>
    <a:bodyPr/>
    <a:lstStyle/>
    <a:p>
      <a:pPr>
        <a:defRPr>
          <a:solidFill>
            <a:sysClr val="windowText" lastClr="000000"/>
          </a:solidFill>
        </a:defRPr>
      </a:pPr>
      <a:endParaRPr lang="es-EC"/>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cap="all" baseline="0">
                <a:solidFill>
                  <a:sysClr val="windowText" lastClr="000000"/>
                </a:solidFill>
                <a:latin typeface="+mj-lt"/>
                <a:ea typeface="+mn-ea"/>
                <a:cs typeface="+mn-cs"/>
              </a:defRPr>
            </a:pPr>
            <a:r>
              <a:rPr lang="es-EC" sz="1050" b="1">
                <a:latin typeface="+mj-lt"/>
              </a:rPr>
              <a:t>POZOS</a:t>
            </a:r>
            <a:r>
              <a:rPr lang="es-EC" sz="1050" b="1" baseline="0">
                <a:latin typeface="+mj-lt"/>
              </a:rPr>
              <a:t> PERFORADOS RONDA INTRACAMPOS I</a:t>
            </a:r>
            <a:r>
              <a:rPr lang="es-EC" sz="1050" b="1">
                <a:latin typeface="+mj-lt"/>
              </a:rPr>
              <a:t> - 2024</a:t>
            </a:r>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3.1847133757961783E-2"/>
          <c:y val="0.15459391658827218"/>
          <c:w val="0.93630573248407645"/>
          <c:h val="0.55328676577704361"/>
        </c:manualLayout>
      </c:layout>
      <c:bar3DChart>
        <c:barDir val="col"/>
        <c:grouping val="standard"/>
        <c:varyColors val="0"/>
        <c:ser>
          <c:idx val="0"/>
          <c:order val="0"/>
          <c:tx>
            <c:strRef>
              <c:f>'Fig.2_Pozos Perforados 2023'!$I$2:$I$6</c:f>
              <c:strCache>
                <c:ptCount val="5"/>
                <c:pt idx="0">
                  <c:v>Consorcio Frontera Geopark Bloque Perico</c:v>
                </c:pt>
                <c:pt idx="1">
                  <c:v>Consorcio Geopark Frontera Bloque Espejo</c:v>
                </c:pt>
                <c:pt idx="2">
                  <c:v>Gran Tierra Energy GMBH</c:v>
                </c:pt>
                <c:pt idx="3">
                  <c:v>PCR Ecuador S.A.</c:v>
                </c:pt>
                <c:pt idx="4">
                  <c:v>Total</c:v>
                </c:pt>
              </c:strCache>
            </c:strRef>
          </c:tx>
          <c:spPr>
            <a:solidFill>
              <a:schemeClr val="accent1">
                <a:alpha val="88000"/>
              </a:schemeClr>
            </a:solidFill>
            <a:ln>
              <a:solidFill>
                <a:schemeClr val="accent1">
                  <a:lumMod val="50000"/>
                </a:schemeClr>
              </a:solidFill>
            </a:ln>
            <a:effectLst>
              <a:outerShdw blurRad="50800" dist="38100" dir="2700000" algn="tl" rotWithShape="0">
                <a:prstClr val="black">
                  <a:alpha val="40000"/>
                </a:prstClr>
              </a:outerShdw>
            </a:effectLst>
            <a:scene3d>
              <a:camera prst="orthographicFront"/>
              <a:lightRig rig="threePt" dir="t"/>
            </a:scene3d>
            <a:sp3d prstMaterial="flat">
              <a:contourClr>
                <a:schemeClr val="accent1">
                  <a:lumMod val="50000"/>
                </a:schemeClr>
              </a:contourClr>
            </a:sp3d>
          </c:spPr>
          <c:invertIfNegative val="0"/>
          <c:dPt>
            <c:idx val="2"/>
            <c:invertIfNegative val="0"/>
            <c:bubble3D val="0"/>
            <c:spPr>
              <a:solidFill>
                <a:srgbClr val="5B9BD5">
                  <a:lumMod val="75000"/>
                  <a:alpha val="88000"/>
                </a:srgbClr>
              </a:solidFill>
              <a:ln>
                <a:solidFill>
                  <a:schemeClr val="accent1">
                    <a:lumMod val="50000"/>
                  </a:schemeClr>
                </a:solidFill>
              </a:ln>
              <a:effectLst>
                <a:outerShdw blurRad="50800" dist="38100" dir="2700000" algn="tl" rotWithShape="0">
                  <a:prstClr val="black">
                    <a:alpha val="40000"/>
                  </a:prstClr>
                </a:outerShdw>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6095-4A27-A7CC-BE43858DB581}"/>
              </c:ext>
            </c:extLst>
          </c:dPt>
          <c:dPt>
            <c:idx val="4"/>
            <c:invertIfNegative val="0"/>
            <c:bubble3D val="0"/>
            <c:spPr>
              <a:solidFill>
                <a:srgbClr val="5B9BD5">
                  <a:lumMod val="60000"/>
                  <a:lumOff val="40000"/>
                  <a:alpha val="88000"/>
                </a:srgbClr>
              </a:solidFill>
              <a:ln>
                <a:solidFill>
                  <a:schemeClr val="accent1">
                    <a:lumMod val="50000"/>
                  </a:schemeClr>
                </a:solidFill>
              </a:ln>
              <a:effectLst>
                <a:outerShdw blurRad="50800" dist="38100" dir="2700000" algn="tl" rotWithShape="0">
                  <a:prstClr val="black">
                    <a:alpha val="40000"/>
                  </a:prstClr>
                </a:outerShdw>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3-6095-4A27-A7CC-BE43858DB581}"/>
              </c:ext>
            </c:extLst>
          </c:dPt>
          <c:dLbls>
            <c:dLbl>
              <c:idx val="3"/>
              <c:layout>
                <c:manualLayout>
                  <c:x val="1.5968063872255488E-2"/>
                  <c:y val="-2.6548672566371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95-4A27-A7CC-BE43858DB581}"/>
                </c:ext>
              </c:extLst>
            </c:dLbl>
            <c:dLbl>
              <c:idx val="4"/>
              <c:layout>
                <c:manualLayout>
                  <c:x val="0"/>
                  <c:y val="-2.949852507374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95-4A27-A7CC-BE43858DB581}"/>
                </c:ext>
              </c:extLst>
            </c:dLbl>
            <c:spPr>
              <a:noFill/>
              <a:ln>
                <a:noFill/>
              </a:ln>
              <a:effectLst/>
            </c:spPr>
            <c:txPr>
              <a:bodyPr wrap="square" lIns="38100" tIns="19050" rIns="38100" bIns="19050" anchor="ctr">
                <a:spAutoFit/>
              </a:bodyPr>
              <a:lstStyle/>
              <a:p>
                <a:pPr>
                  <a:defRPr sz="1100" b="1"/>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'Fig.2_Pozos Perforados 2023'!$I$2:$I$6</c:f>
              <c:strCache>
                <c:ptCount val="5"/>
                <c:pt idx="0">
                  <c:v>Consorcio Frontera Geopark Bloque Perico</c:v>
                </c:pt>
                <c:pt idx="1">
                  <c:v>Consorcio Geopark Frontera Bloque Espejo</c:v>
                </c:pt>
                <c:pt idx="2">
                  <c:v>Gran Tierra Energy GMBH</c:v>
                </c:pt>
                <c:pt idx="3">
                  <c:v>PCR Ecuador S.A.</c:v>
                </c:pt>
                <c:pt idx="4">
                  <c:v>Total</c:v>
                </c:pt>
              </c:strCache>
            </c:strRef>
          </c:cat>
          <c:val>
            <c:numRef>
              <c:f>'Fig.2_Pozos Perforados 2023'!$J$2:$J$6</c:f>
              <c:numCache>
                <c:formatCode>General</c:formatCode>
                <c:ptCount val="5"/>
                <c:pt idx="0">
                  <c:v>3</c:v>
                </c:pt>
                <c:pt idx="1">
                  <c:v>2</c:v>
                </c:pt>
                <c:pt idx="2">
                  <c:v>7</c:v>
                </c:pt>
                <c:pt idx="3">
                  <c:v>5</c:v>
                </c:pt>
                <c:pt idx="4">
                  <c:v>17</c:v>
                </c:pt>
              </c:numCache>
            </c:numRef>
          </c:val>
          <c:shape val="cylinder"/>
          <c:extLst>
            <c:ext xmlns:c16="http://schemas.microsoft.com/office/drawing/2014/chart" uri="{C3380CC4-5D6E-409C-BE32-E72D297353CC}">
              <c16:uniqueId val="{00000005-6095-4A27-A7CC-BE43858DB581}"/>
            </c:ext>
          </c:extLst>
        </c:ser>
        <c:dLbls>
          <c:showLegendKey val="0"/>
          <c:showVal val="1"/>
          <c:showCatName val="0"/>
          <c:showSerName val="0"/>
          <c:showPercent val="0"/>
          <c:showBubbleSize val="0"/>
        </c:dLbls>
        <c:gapWidth val="150"/>
        <c:shape val="box"/>
        <c:axId val="362401504"/>
        <c:axId val="1"/>
        <c:axId val="2"/>
      </c:bar3DChart>
      <c:catAx>
        <c:axId val="362401504"/>
        <c:scaling>
          <c:orientation val="minMax"/>
        </c:scaling>
        <c:delete val="0"/>
        <c:axPos val="b"/>
        <c:numFmt formatCode="General" sourceLinked="1"/>
        <c:majorTickMark val="none"/>
        <c:minorTickMark val="none"/>
        <c:tickLblPos val="nextTo"/>
        <c:txPr>
          <a:bodyPr rot="-6000000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es-EC"/>
          </a:p>
        </c:txPr>
        <c:crossAx val="1"/>
        <c:crosses val="autoZero"/>
        <c:auto val="1"/>
        <c:lblAlgn val="ctr"/>
        <c:lblOffset val="100"/>
        <c:noMultiLvlLbl val="0"/>
      </c:catAx>
      <c:valAx>
        <c:axId val="1"/>
        <c:scaling>
          <c:orientation val="minMax"/>
        </c:scaling>
        <c:delete val="1"/>
        <c:axPos val="l"/>
        <c:numFmt formatCode="General" sourceLinked="1"/>
        <c:majorTickMark val="none"/>
        <c:minorTickMark val="none"/>
        <c:tickLblPos val="nextTo"/>
        <c:crossAx val="362401504"/>
        <c:crosses val="autoZero"/>
        <c:crossBetween val="between"/>
      </c:valAx>
      <c:serAx>
        <c:axId val="2"/>
        <c:scaling>
          <c:orientation val="minMax"/>
        </c:scaling>
        <c:delete val="1"/>
        <c:axPos val="b"/>
        <c:majorTickMark val="out"/>
        <c:minorTickMark val="none"/>
        <c:tickLblPos val="nextTo"/>
        <c:crossAx val="1"/>
        <c:crosses val="autoZero"/>
      </c:serAx>
      <c:spPr>
        <a:noFill/>
        <a:ln w="25400">
          <a:noFill/>
        </a:ln>
      </c:spPr>
    </c:plotArea>
    <c:plotVisOnly val="1"/>
    <c:dispBlanksAs val="gap"/>
    <c:showDLblsOverMax val="0"/>
  </c:chart>
  <c:spPr>
    <a:solidFill>
      <a:schemeClr val="bg1"/>
    </a:solidFill>
    <a:ln w="6350" cap="flat" cmpd="sng" algn="ctr">
      <a:solidFill>
        <a:schemeClr val="dk1">
          <a:tint val="75000"/>
        </a:schemeClr>
      </a:solidFill>
      <a:round/>
    </a:ln>
    <a:effectLst>
      <a:outerShdw blurRad="50800" dist="38100" dir="5400000" algn="t" rotWithShape="0">
        <a:prstClr val="black">
          <a:alpha val="40000"/>
        </a:prstClr>
      </a:outerShdw>
    </a:effectLst>
  </c:spPr>
  <c:txPr>
    <a:bodyPr/>
    <a:lstStyle/>
    <a:p>
      <a:pPr>
        <a:defRPr>
          <a:solidFill>
            <a:sysClr val="windowText" lastClr="000000"/>
          </a:solidFill>
        </a:defRPr>
      </a:pPr>
      <a:endParaRPr lang="es-EC"/>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209139983920162E-2"/>
          <c:y val="6.6889632107023408E-2"/>
          <c:w val="0.95222584147665579"/>
          <c:h val="0.6823311300134306"/>
        </c:manualLayout>
      </c:layout>
      <c:barChart>
        <c:barDir val="col"/>
        <c:grouping val="stacked"/>
        <c:varyColors val="0"/>
        <c:ser>
          <c:idx val="1"/>
          <c:order val="0"/>
          <c:tx>
            <c:strRef>
              <c:f>'Fig.3._Producción 2024'!$A$6</c:f>
              <c:strCache>
                <c:ptCount val="1"/>
                <c:pt idx="0">
                  <c:v>Empresa Pública</c:v>
                </c:pt>
              </c:strCache>
            </c:strRef>
          </c:tx>
          <c:spPr>
            <a:solidFill>
              <a:srgbClr val="00B050"/>
            </a:solidFill>
            <a:ln w="25400">
              <a:no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'Fig.3._Producción 2024'!$B$3:$M$4</c:f>
              <c:multiLvlStrCache>
                <c:ptCount val="12"/>
                <c:lvl>
                  <c:pt idx="0">
                    <c:v>ene</c:v>
                  </c:pt>
                  <c:pt idx="1">
                    <c:v>feb</c:v>
                  </c:pt>
                  <c:pt idx="2">
                    <c:v>mar</c:v>
                  </c:pt>
                  <c:pt idx="3">
                    <c:v>abr</c:v>
                  </c:pt>
                  <c:pt idx="4">
                    <c:v>may</c:v>
                  </c:pt>
                  <c:pt idx="5">
                    <c:v>jun</c:v>
                  </c:pt>
                  <c:pt idx="6">
                    <c:v>jul</c:v>
                  </c:pt>
                  <c:pt idx="7">
                    <c:v>ago</c:v>
                  </c:pt>
                  <c:pt idx="8">
                    <c:v>sep</c:v>
                  </c:pt>
                  <c:pt idx="9">
                    <c:v>oct</c:v>
                  </c:pt>
                  <c:pt idx="10">
                    <c:v>nov</c:v>
                  </c:pt>
                  <c:pt idx="11">
                    <c:v>dic</c:v>
                  </c:pt>
                </c:lvl>
                <c:lvl>
                  <c:pt idx="0">
                    <c:v>2024</c:v>
                  </c:pt>
                </c:lvl>
              </c:multiLvlStrCache>
            </c:multiLvlStrRef>
          </c:cat>
          <c:val>
            <c:numRef>
              <c:f>'Fig.3._Producción 2024'!$B$6:$M$6</c:f>
              <c:numCache>
                <c:formatCode>_(* #,##0_);_(* \(#,##0\);_(* "-"??_);_(@_)</c:formatCode>
                <c:ptCount val="12"/>
                <c:pt idx="0">
                  <c:v>401399.25870967732</c:v>
                </c:pt>
                <c:pt idx="1">
                  <c:v>395608.81517241383</c:v>
                </c:pt>
                <c:pt idx="2">
                  <c:v>391722.54935483867</c:v>
                </c:pt>
                <c:pt idx="3">
                  <c:v>390051.45366666664</c:v>
                </c:pt>
                <c:pt idx="4">
                  <c:v>390185.18774193543</c:v>
                </c:pt>
                <c:pt idx="5">
                  <c:v>356175.80266666668</c:v>
                </c:pt>
                <c:pt idx="6">
                  <c:v>373800.14903225808</c:v>
                </c:pt>
                <c:pt idx="7">
                  <c:v>379217.09322580649</c:v>
                </c:pt>
                <c:pt idx="8">
                  <c:v>372068.50633333332</c:v>
                </c:pt>
                <c:pt idx="9">
                  <c:v>374322.40516129031</c:v>
                </c:pt>
                <c:pt idx="10">
                  <c:v>376775.8673333333</c:v>
                </c:pt>
                <c:pt idx="11">
                  <c:v>377245.30096774193</c:v>
                </c:pt>
              </c:numCache>
            </c:numRef>
          </c:val>
          <c:extLst>
            <c:ext xmlns:c16="http://schemas.microsoft.com/office/drawing/2014/chart" uri="{C3380CC4-5D6E-409C-BE32-E72D297353CC}">
              <c16:uniqueId val="{00000000-7056-4528-B151-41F9ADCAFC12}"/>
            </c:ext>
          </c:extLst>
        </c:ser>
        <c:ser>
          <c:idx val="3"/>
          <c:order val="1"/>
          <c:tx>
            <c:strRef>
              <c:f>'Fig.3._Producción 2024'!$A$7</c:f>
              <c:strCache>
                <c:ptCount val="1"/>
                <c:pt idx="0">
                  <c:v>Gas Natural BEP</c:v>
                </c:pt>
              </c:strCache>
            </c:strRef>
          </c:tx>
          <c:spPr>
            <a:effectLst>
              <a:outerShdw blurRad="50800" dist="50800" dir="5400000" algn="ctr" rotWithShape="0">
                <a:schemeClr val="accent6">
                  <a:lumMod val="50000"/>
                </a:schemeClr>
              </a:outerShdw>
            </a:effectLst>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'Fig.3._Producción 2024'!$B$3:$M$4</c:f>
              <c:multiLvlStrCache>
                <c:ptCount val="12"/>
                <c:lvl>
                  <c:pt idx="0">
                    <c:v>ene</c:v>
                  </c:pt>
                  <c:pt idx="1">
                    <c:v>feb</c:v>
                  </c:pt>
                  <c:pt idx="2">
                    <c:v>mar</c:v>
                  </c:pt>
                  <c:pt idx="3">
                    <c:v>abr</c:v>
                  </c:pt>
                  <c:pt idx="4">
                    <c:v>may</c:v>
                  </c:pt>
                  <c:pt idx="5">
                    <c:v>jun</c:v>
                  </c:pt>
                  <c:pt idx="6">
                    <c:v>jul</c:v>
                  </c:pt>
                  <c:pt idx="7">
                    <c:v>ago</c:v>
                  </c:pt>
                  <c:pt idx="8">
                    <c:v>sep</c:v>
                  </c:pt>
                  <c:pt idx="9">
                    <c:v>oct</c:v>
                  </c:pt>
                  <c:pt idx="10">
                    <c:v>nov</c:v>
                  </c:pt>
                  <c:pt idx="11">
                    <c:v>dic</c:v>
                  </c:pt>
                </c:lvl>
                <c:lvl>
                  <c:pt idx="0">
                    <c:v>2024</c:v>
                  </c:pt>
                </c:lvl>
              </c:multiLvlStrCache>
            </c:multiLvlStrRef>
          </c:cat>
          <c:val>
            <c:numRef>
              <c:f>'Fig.3._Producción 2024'!$B$7:$M$7</c:f>
              <c:numCache>
                <c:formatCode>_(* #,##0_);_(* \(#,##0\);_(* "-"??_);_(@_)</c:formatCode>
                <c:ptCount val="12"/>
                <c:pt idx="0">
                  <c:v>3506.9507611601316</c:v>
                </c:pt>
                <c:pt idx="1">
                  <c:v>3505.8561430912773</c:v>
                </c:pt>
                <c:pt idx="2">
                  <c:v>3499.9419495906823</c:v>
                </c:pt>
                <c:pt idx="3">
                  <c:v>3469.1385778246736</c:v>
                </c:pt>
                <c:pt idx="4">
                  <c:v>3449.522817000056</c:v>
                </c:pt>
                <c:pt idx="5">
                  <c:v>3431.3359820590499</c:v>
                </c:pt>
                <c:pt idx="6">
                  <c:v>3413.8311075439246</c:v>
                </c:pt>
                <c:pt idx="7">
                  <c:v>3340.1930105811257</c:v>
                </c:pt>
                <c:pt idx="8">
                  <c:v>3334.0436966622624</c:v>
                </c:pt>
                <c:pt idx="9">
                  <c:v>3297.5969424581244</c:v>
                </c:pt>
                <c:pt idx="10">
                  <c:v>3287.1603366196059</c:v>
                </c:pt>
                <c:pt idx="11">
                  <c:v>3227.8188054713942</c:v>
                </c:pt>
              </c:numCache>
            </c:numRef>
          </c:val>
          <c:extLst>
            <c:ext xmlns:c16="http://schemas.microsoft.com/office/drawing/2014/chart" uri="{C3380CC4-5D6E-409C-BE32-E72D297353CC}">
              <c16:uniqueId val="{00000001-7056-4528-B151-41F9ADCAFC12}"/>
            </c:ext>
          </c:extLst>
        </c:ser>
        <c:ser>
          <c:idx val="0"/>
          <c:order val="2"/>
          <c:tx>
            <c:strRef>
              <c:f>'Fig.3._Producción 2024'!$A$5</c:f>
              <c:strCache>
                <c:ptCount val="1"/>
                <c:pt idx="0">
                  <c:v>Compañías Privadas</c:v>
                </c:pt>
              </c:strCache>
            </c:strRef>
          </c:tx>
          <c:spPr>
            <a:solidFill>
              <a:srgbClr val="FFC000"/>
            </a:solidFill>
            <a:ln w="25400">
              <a:noFill/>
            </a:ln>
          </c:spPr>
          <c:invertIfNegative val="0"/>
          <c:dLbls>
            <c:dLbl>
              <c:idx val="2"/>
              <c:layout>
                <c:manualLayout>
                  <c:x val="-1.3029315960912053E-2"/>
                  <c:y val="0"/>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es-EC"/>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56-4528-B151-41F9ADCAFC12}"/>
                </c:ext>
              </c:extLst>
            </c:dLbl>
            <c:spPr>
              <a:noFill/>
              <a:ln w="25400">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'Fig.3._Producción 2024'!$B$3:$M$4</c:f>
              <c:multiLvlStrCache>
                <c:ptCount val="12"/>
                <c:lvl>
                  <c:pt idx="0">
                    <c:v>ene</c:v>
                  </c:pt>
                  <c:pt idx="1">
                    <c:v>feb</c:v>
                  </c:pt>
                  <c:pt idx="2">
                    <c:v>mar</c:v>
                  </c:pt>
                  <c:pt idx="3">
                    <c:v>abr</c:v>
                  </c:pt>
                  <c:pt idx="4">
                    <c:v>may</c:v>
                  </c:pt>
                  <c:pt idx="5">
                    <c:v>jun</c:v>
                  </c:pt>
                  <c:pt idx="6">
                    <c:v>jul</c:v>
                  </c:pt>
                  <c:pt idx="7">
                    <c:v>ago</c:v>
                  </c:pt>
                  <c:pt idx="8">
                    <c:v>sep</c:v>
                  </c:pt>
                  <c:pt idx="9">
                    <c:v>oct</c:v>
                  </c:pt>
                  <c:pt idx="10">
                    <c:v>nov</c:v>
                  </c:pt>
                  <c:pt idx="11">
                    <c:v>dic</c:v>
                  </c:pt>
                </c:lvl>
                <c:lvl>
                  <c:pt idx="0">
                    <c:v>2024</c:v>
                  </c:pt>
                </c:lvl>
              </c:multiLvlStrCache>
            </c:multiLvlStrRef>
          </c:cat>
          <c:val>
            <c:numRef>
              <c:f>'Fig.3._Producción 2024'!$B$5:$M$5</c:f>
              <c:numCache>
                <c:formatCode>_(* #,##0_);_(* \(#,##0\);_(* "-"??_);_(@_)</c:formatCode>
                <c:ptCount val="12"/>
                <c:pt idx="0">
                  <c:v>89072.720000000016</c:v>
                </c:pt>
                <c:pt idx="1">
                  <c:v>90068.226551724147</c:v>
                </c:pt>
                <c:pt idx="2">
                  <c:v>91198.575483870984</c:v>
                </c:pt>
                <c:pt idx="3">
                  <c:v>92238.494666666695</c:v>
                </c:pt>
                <c:pt idx="4">
                  <c:v>94309.525483870966</c:v>
                </c:pt>
                <c:pt idx="5">
                  <c:v>90580.388333333351</c:v>
                </c:pt>
                <c:pt idx="6">
                  <c:v>90776.806451612909</c:v>
                </c:pt>
                <c:pt idx="7">
                  <c:v>97903.419677419341</c:v>
                </c:pt>
                <c:pt idx="8">
                  <c:v>97168.047333333365</c:v>
                </c:pt>
                <c:pt idx="9">
                  <c:v>97406.323548387081</c:v>
                </c:pt>
                <c:pt idx="10">
                  <c:v>97418.619333333307</c:v>
                </c:pt>
                <c:pt idx="11">
                  <c:v>96299.381612903235</c:v>
                </c:pt>
              </c:numCache>
            </c:numRef>
          </c:val>
          <c:extLst>
            <c:ext xmlns:c16="http://schemas.microsoft.com/office/drawing/2014/chart" uri="{C3380CC4-5D6E-409C-BE32-E72D297353CC}">
              <c16:uniqueId val="{00000003-7056-4528-B151-41F9ADCAFC12}"/>
            </c:ext>
          </c:extLst>
        </c:ser>
        <c:dLbls>
          <c:showLegendKey val="0"/>
          <c:showVal val="0"/>
          <c:showCatName val="0"/>
          <c:showSerName val="0"/>
          <c:showPercent val="0"/>
          <c:showBubbleSize val="0"/>
        </c:dLbls>
        <c:gapWidth val="150"/>
        <c:overlap val="100"/>
        <c:axId val="38876735"/>
        <c:axId val="1"/>
      </c:barChart>
      <c:lineChart>
        <c:grouping val="standard"/>
        <c:varyColors val="0"/>
        <c:ser>
          <c:idx val="2"/>
          <c:order val="3"/>
          <c:tx>
            <c:strRef>
              <c:f>'Fig.3._Producción 2024'!$A$8</c:f>
              <c:strCache>
                <c:ptCount val="1"/>
                <c:pt idx="0">
                  <c:v>Total Nacional</c:v>
                </c:pt>
              </c:strCache>
            </c:strRef>
          </c:tx>
          <c:spPr>
            <a:ln w="28575" cap="rnd">
              <a:solidFill>
                <a:schemeClr val="tx1"/>
              </a:solidFill>
              <a:round/>
            </a:ln>
            <a:effectLst/>
          </c:spPr>
          <c:marker>
            <c:symbol val="circle"/>
            <c:size val="5"/>
            <c:spPr>
              <a:solidFill>
                <a:schemeClr val="tx1"/>
              </a:solidFill>
              <a:ln w="9525">
                <a:noFill/>
              </a:ln>
              <a:effectLst/>
            </c:spPr>
          </c:marker>
          <c:dLbls>
            <c:dLbl>
              <c:idx val="3"/>
              <c:layout>
                <c:manualLayout>
                  <c:x val="-3.114656048869098E-2"/>
                  <c:y val="-6.0320403093426039E-2"/>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es-EC"/>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56-4528-B151-41F9ADCAFC12}"/>
                </c:ext>
              </c:extLst>
            </c:dLbl>
            <c:dLbl>
              <c:idx val="4"/>
              <c:layout>
                <c:manualLayout>
                  <c:x val="-4.4207511520343384E-2"/>
                  <c:y val="-5.5801306479676335E-2"/>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es-EC"/>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56-4528-B151-41F9ADCAFC12}"/>
                </c:ext>
              </c:extLst>
            </c:dLbl>
            <c:dLbl>
              <c:idx val="11"/>
              <c:layout>
                <c:manualLayout>
                  <c:x val="-3.5348417752481258E-2"/>
                  <c:y val="-5.5708003054802099E-2"/>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es-EC"/>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56-4528-B151-41F9ADCAFC12}"/>
                </c:ext>
              </c:extLst>
            </c:dLbl>
            <c:spPr>
              <a:noFill/>
              <a:ln w="25400">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'Fig.3._Producción 2024'!$B$4:$M$4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'Fig.3._Producción 2024'!$B$8:$M$8</c:f>
              <c:numCache>
                <c:formatCode>_(* #,##0_);_(* \(#,##0\);_(* "-"??_);_(@_)</c:formatCode>
                <c:ptCount val="12"/>
                <c:pt idx="0">
                  <c:v>493978.92947083747</c:v>
                </c:pt>
                <c:pt idx="1">
                  <c:v>489182.89786722924</c:v>
                </c:pt>
                <c:pt idx="2">
                  <c:v>486421.06678830035</c:v>
                </c:pt>
                <c:pt idx="3">
                  <c:v>485759.08691115805</c:v>
                </c:pt>
                <c:pt idx="4">
                  <c:v>487944.23604280641</c:v>
                </c:pt>
                <c:pt idx="5">
                  <c:v>450187.52698205912</c:v>
                </c:pt>
                <c:pt idx="6">
                  <c:v>467990.78659141489</c:v>
                </c:pt>
                <c:pt idx="7">
                  <c:v>480460.70591380697</c:v>
                </c:pt>
                <c:pt idx="8">
                  <c:v>472570.59736332891</c:v>
                </c:pt>
                <c:pt idx="9">
                  <c:v>475026.32565213554</c:v>
                </c:pt>
                <c:pt idx="10">
                  <c:v>477481.64700328617</c:v>
                </c:pt>
                <c:pt idx="11">
                  <c:v>476772.50138611661</c:v>
                </c:pt>
              </c:numCache>
            </c:numRef>
          </c:val>
          <c:smooth val="0"/>
          <c:extLst>
            <c:ext xmlns:c16="http://schemas.microsoft.com/office/drawing/2014/chart" uri="{C3380CC4-5D6E-409C-BE32-E72D297353CC}">
              <c16:uniqueId val="{00000007-7056-4528-B151-41F9ADCAFC12}"/>
            </c:ext>
          </c:extLst>
        </c:ser>
        <c:dLbls>
          <c:showLegendKey val="0"/>
          <c:showVal val="0"/>
          <c:showCatName val="0"/>
          <c:showSerName val="0"/>
          <c:showPercent val="0"/>
          <c:showBubbleSize val="0"/>
        </c:dLbls>
        <c:marker val="1"/>
        <c:smooth val="0"/>
        <c:axId val="38876735"/>
        <c:axId val="1"/>
      </c:lineChart>
      <c:catAx>
        <c:axId val="38876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Calibri"/>
                <a:ea typeface="Calibri"/>
                <a:cs typeface="Calibri"/>
              </a:defRPr>
            </a:pPr>
            <a:endParaRPr lang="es-EC"/>
          </a:p>
        </c:txPr>
        <c:crossAx val="1"/>
        <c:crosses val="autoZero"/>
        <c:auto val="1"/>
        <c:lblAlgn val="ctr"/>
        <c:lblOffset val="100"/>
        <c:noMultiLvlLbl val="0"/>
      </c:catAx>
      <c:valAx>
        <c:axId val="1"/>
        <c:scaling>
          <c:orientation val="minMax"/>
        </c:scaling>
        <c:delete val="1"/>
        <c:axPos val="l"/>
        <c:numFmt formatCode="_(* #,##0_);_(* \(#,##0\);_(* &quot;-&quot;??_);_(@_)" sourceLinked="1"/>
        <c:majorTickMark val="out"/>
        <c:minorTickMark val="none"/>
        <c:tickLblPos val="nextTo"/>
        <c:crossAx val="38876735"/>
        <c:crosses val="autoZero"/>
        <c:crossBetween val="between"/>
        <c:dispUnits>
          <c:builtInUnit val="thousands"/>
        </c:dispUnits>
      </c:valAx>
      <c:spPr>
        <a:noFill/>
        <a:ln w="25400">
          <a:noFill/>
        </a:ln>
      </c:spPr>
    </c:plotArea>
    <c:legend>
      <c:legendPos val="b"/>
      <c:layout>
        <c:manualLayout>
          <c:xMode val="edge"/>
          <c:yMode val="edge"/>
          <c:x val="6.0764047130565942E-2"/>
          <c:y val="0.89321331424481032"/>
          <c:w val="0.87335371441082732"/>
          <c:h val="7.9548317823908365E-2"/>
        </c:manualLayout>
      </c:layout>
      <c:overlay val="0"/>
      <c:spPr>
        <a:noFill/>
        <a:ln w="25400">
          <a:noFill/>
        </a:ln>
      </c:spPr>
      <c:txPr>
        <a:bodyPr/>
        <a:lstStyle/>
        <a:p>
          <a:pPr>
            <a:defRPr sz="800" b="0" i="0" u="none" strike="noStrike" baseline="0">
              <a:solidFill>
                <a:srgbClr val="000000"/>
              </a:solidFill>
              <a:latin typeface="Calibri"/>
              <a:ea typeface="Calibri"/>
              <a:cs typeface="Calibri"/>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s-EC"/>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vert="horz"/>
          <a:lstStyle/>
          <a:p>
            <a:pPr>
              <a:defRPr/>
            </a:pPr>
            <a:r>
              <a:rPr lang="es-EC"/>
              <a:t>Trámites Atendidos SEEPGN</a:t>
            </a:r>
          </a:p>
        </c:rich>
      </c:tx>
      <c:layout>
        <c:manualLayout>
          <c:xMode val="edge"/>
          <c:yMode val="edge"/>
          <c:x val="0.32102065502681726"/>
          <c:y val="3.1662032344966777E-2"/>
        </c:manualLayout>
      </c:layout>
      <c:overlay val="0"/>
      <c:spPr>
        <a:noFill/>
        <a:ln w="25387">
          <a:noFill/>
        </a:ln>
      </c:spPr>
    </c:title>
    <c:autoTitleDeleted val="0"/>
    <c:plotArea>
      <c:layout>
        <c:manualLayout>
          <c:layoutTarget val="inner"/>
          <c:xMode val="edge"/>
          <c:yMode val="edge"/>
          <c:x val="1.9337002314952688E-2"/>
          <c:y val="3.8387233885633663E-2"/>
          <c:w val="0.97553937687569381"/>
          <c:h val="0.68292350085460796"/>
        </c:manualLayout>
      </c:layout>
      <c:barChart>
        <c:barDir val="col"/>
        <c:grouping val="stacked"/>
        <c:varyColors val="0"/>
        <c:ser>
          <c:idx val="0"/>
          <c:order val="0"/>
          <c:tx>
            <c:strRef>
              <c:f>'Fig.4._Trámites Atendidos 2024'!$A$5</c:f>
              <c:strCache>
                <c:ptCount val="1"/>
                <c:pt idx="0">
                  <c:v>Total Publica</c:v>
                </c:pt>
              </c:strCache>
            </c:strRef>
          </c:tx>
          <c:spPr>
            <a:solidFill>
              <a:srgbClr val="0070C0"/>
            </a:solidFill>
            <a:ln w="6347" cap="flat" cmpd="sng" algn="ctr">
              <a:solidFill>
                <a:schemeClr val="accent4">
                  <a:shade val="40000"/>
                  <a:shade val="50000"/>
                </a:schemeClr>
              </a:solidFill>
              <a:prstDash val="solid"/>
              <a:round/>
            </a:ln>
            <a:effectLst/>
          </c:spPr>
          <c:invertIfNegative val="0"/>
          <c:dLbls>
            <c:spPr>
              <a:noFill/>
              <a:ln w="25387">
                <a:noFill/>
              </a:ln>
            </c:spPr>
            <c:txPr>
              <a:bodyPr rot="0" vert="horz"/>
              <a:lstStyle/>
              <a:p>
                <a:pPr>
                  <a:defRPr sz="800" b="1">
                    <a:solidFill>
                      <a:schemeClr val="bg1"/>
                    </a:solidFill>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'Fig.4._Trámites Atendidos 2024'!$B$2:$O$4</c:f>
              <c:multiLvlStrCache>
                <c:ptCount val="14"/>
                <c:lvl>
                  <c:pt idx="0">
                    <c:v>Taponamiento 
abandono</c:v>
                  </c:pt>
                  <c:pt idx="1">
                    <c:v>Perforación</c:v>
                  </c:pt>
                  <c:pt idx="2">
                    <c:v>Alternos</c:v>
                  </c:pt>
                  <c:pt idx="3">
                    <c:v>Reclasificaciones</c:v>
                  </c:pt>
                  <c:pt idx="4">
                    <c:v>Sísmica</c:v>
                  </c:pt>
                  <c:pt idx="5">
                    <c:v>Tasas </c:v>
                  </c:pt>
                  <c:pt idx="6">
                    <c:v>Pruebas de
Producción</c:v>
                  </c:pt>
                  <c:pt idx="7">
                    <c:v>Planes 
Pilotos</c:v>
                  </c:pt>
                  <c:pt idx="8">
                    <c:v>Cambios de 
Zona</c:v>
                  </c:pt>
                  <c:pt idx="9">
                    <c:v>CPI</c:v>
                  </c:pt>
                  <c:pt idx="10">
                    <c:v>Wos</c:v>
                  </c:pt>
                  <c:pt idx="11">
                    <c:v>Uso y Quema
de Gas</c:v>
                  </c:pt>
                  <c:pt idx="12">
                    <c:v>Facilidades</c:v>
                  </c:pt>
                  <c:pt idx="13">
                    <c:v>Soporte
Técnico</c:v>
                  </c:pt>
                </c:lvl>
                <c:lvl>
                  <c:pt idx="0">
                    <c:v>DGP</c:v>
                  </c:pt>
                  <c:pt idx="5">
                    <c:v>DDOY</c:v>
                  </c:pt>
                  <c:pt idx="9">
                    <c:v>DOP</c:v>
                  </c:pt>
                </c:lvl>
              </c:multiLvlStrCache>
            </c:multiLvlStrRef>
          </c:cat>
          <c:val>
            <c:numRef>
              <c:f>'Fig.4._Trámites Atendidos 2024'!$B$5:$O$5</c:f>
              <c:numCache>
                <c:formatCode>General</c:formatCode>
                <c:ptCount val="14"/>
                <c:pt idx="0">
                  <c:v>26</c:v>
                </c:pt>
                <c:pt idx="1">
                  <c:v>50</c:v>
                </c:pt>
                <c:pt idx="2">
                  <c:v>17</c:v>
                </c:pt>
                <c:pt idx="3">
                  <c:v>11</c:v>
                </c:pt>
                <c:pt idx="4">
                  <c:v>0</c:v>
                </c:pt>
                <c:pt idx="5">
                  <c:v>240</c:v>
                </c:pt>
                <c:pt idx="6">
                  <c:v>67</c:v>
                </c:pt>
                <c:pt idx="7">
                  <c:v>11</c:v>
                </c:pt>
                <c:pt idx="8">
                  <c:v>114</c:v>
                </c:pt>
                <c:pt idx="9">
                  <c:v>85</c:v>
                </c:pt>
                <c:pt idx="10">
                  <c:v>1032</c:v>
                </c:pt>
                <c:pt idx="11">
                  <c:v>8</c:v>
                </c:pt>
                <c:pt idx="12">
                  <c:v>35</c:v>
                </c:pt>
                <c:pt idx="13">
                  <c:v>166</c:v>
                </c:pt>
              </c:numCache>
            </c:numRef>
          </c:val>
          <c:extLst>
            <c:ext xmlns:c16="http://schemas.microsoft.com/office/drawing/2014/chart" uri="{C3380CC4-5D6E-409C-BE32-E72D297353CC}">
              <c16:uniqueId val="{00000000-EC13-49A9-9185-FED946E03F9E}"/>
            </c:ext>
          </c:extLst>
        </c:ser>
        <c:ser>
          <c:idx val="10"/>
          <c:order val="4"/>
          <c:tx>
            <c:strRef>
              <c:f>'Fig.4._Trámites Atendidos 2024'!$A$15</c:f>
              <c:strCache>
                <c:ptCount val="1"/>
                <c:pt idx="0">
                  <c:v>Total Privadas</c:v>
                </c:pt>
              </c:strCache>
            </c:strRef>
          </c:tx>
          <c:spPr>
            <a:solidFill>
              <a:schemeClr val="accent1">
                <a:lumMod val="60000"/>
                <a:lumOff val="40000"/>
              </a:schemeClr>
            </a:solidFill>
            <a:ln w="6347" cap="flat" cmpd="sng" algn="ctr">
              <a:solidFill>
                <a:schemeClr val="accent4">
                  <a:tint val="52000"/>
                  <a:shade val="50000"/>
                </a:schemeClr>
              </a:solidFill>
              <a:prstDash val="solid"/>
              <a:round/>
            </a:ln>
            <a:effectLst/>
          </c:spPr>
          <c:invertIfNegative val="0"/>
          <c:dLbls>
            <c:dLbl>
              <c:idx val="0"/>
              <c:layout>
                <c:manualLayout>
                  <c:x val="0"/>
                  <c:y val="8.36470096194061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13-49A9-9185-FED946E03F9E}"/>
                </c:ext>
              </c:extLst>
            </c:dLbl>
            <c:dLbl>
              <c:idx val="1"/>
              <c:layout>
                <c:manualLayout>
                  <c:x val="-6.2228974095629355E-4"/>
                  <c:y val="4.149418587419358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13-49A9-9185-FED946E03F9E}"/>
                </c:ext>
              </c:extLst>
            </c:dLbl>
            <c:dLbl>
              <c:idx val="2"/>
              <c:layout>
                <c:manualLayout>
                  <c:x val="-2.2644927536232093E-3"/>
                  <c:y val="4.182350480970228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13-49A9-9185-FED946E03F9E}"/>
                </c:ext>
              </c:extLst>
            </c:dLbl>
            <c:dLbl>
              <c:idx val="3"/>
              <c:layout>
                <c:manualLayout>
                  <c:x val="1.1118465056502772E-2"/>
                  <c:y val="-2.05831948424672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13-49A9-9185-FED946E03F9E}"/>
                </c:ext>
              </c:extLst>
            </c:dLbl>
            <c:dLbl>
              <c:idx val="5"/>
              <c:layout>
                <c:manualLayout>
                  <c:x val="-2.6684316135606793E-2"/>
                  <c:y val="-3.773542128838313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13-49A9-9185-FED946E03F9E}"/>
                </c:ext>
              </c:extLst>
            </c:dLbl>
            <c:dLbl>
              <c:idx val="6"/>
              <c:layout>
                <c:manualLayout>
                  <c:x val="-4.4473860226012067E-3"/>
                  <c:y val="4.116638968493449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13-49A9-9185-FED946E03F9E}"/>
                </c:ext>
              </c:extLst>
            </c:dLbl>
            <c:dLbl>
              <c:idx val="7"/>
              <c:layout>
                <c:manualLayout>
                  <c:x val="-2.5572469629956553E-2"/>
                  <c:y val="-8.23327793698697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13-49A9-9185-FED946E03F9E}"/>
                </c:ext>
              </c:extLst>
            </c:dLbl>
            <c:dLbl>
              <c:idx val="8"/>
              <c:layout>
                <c:manualLayout>
                  <c:x val="-2.6684316135606755E-2"/>
                  <c:y val="4.116638968493449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C13-49A9-9185-FED946E03F9E}"/>
                </c:ext>
              </c:extLst>
            </c:dLbl>
            <c:dLbl>
              <c:idx val="9"/>
              <c:layout>
                <c:manualLayout>
                  <c:x val="4.4473860226011252E-3"/>
                  <c:y val="6.174958452740099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C13-49A9-9185-FED946E03F9E}"/>
                </c:ext>
              </c:extLst>
            </c:dLbl>
            <c:dLbl>
              <c:idx val="10"/>
              <c:layout>
                <c:manualLayout>
                  <c:x val="-3.9077834360378864E-2"/>
                  <c:y val="2.058243346934167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C13-49A9-9185-FED946E03F9E}"/>
                </c:ext>
              </c:extLst>
            </c:dLbl>
            <c:dLbl>
              <c:idx val="13"/>
              <c:layout>
                <c:manualLayout>
                  <c:x val="-3.0019855652557596E-2"/>
                  <c:y val="-2.05831948424672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C13-49A9-9185-FED946E03F9E}"/>
                </c:ext>
              </c:extLst>
            </c:dLbl>
            <c:spPr>
              <a:noFill/>
              <a:ln w="25387">
                <a:noFill/>
              </a:ln>
            </c:spPr>
            <c:txPr>
              <a:bodyPr rot="0" vert="horz"/>
              <a:lstStyle/>
              <a:p>
                <a:pPr>
                  <a:defRPr sz="800" b="1"/>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'Fig.4._Trámites Atendidos 2024'!$B$2:$O$4</c:f>
              <c:multiLvlStrCache>
                <c:ptCount val="14"/>
                <c:lvl>
                  <c:pt idx="0">
                    <c:v>Taponamiento 
abandono</c:v>
                  </c:pt>
                  <c:pt idx="1">
                    <c:v>Perforación</c:v>
                  </c:pt>
                  <c:pt idx="2">
                    <c:v>Alternos</c:v>
                  </c:pt>
                  <c:pt idx="3">
                    <c:v>Reclasificaciones</c:v>
                  </c:pt>
                  <c:pt idx="4">
                    <c:v>Sísmica</c:v>
                  </c:pt>
                  <c:pt idx="5">
                    <c:v>Tasas </c:v>
                  </c:pt>
                  <c:pt idx="6">
                    <c:v>Pruebas de
Producción</c:v>
                  </c:pt>
                  <c:pt idx="7">
                    <c:v>Planes 
Pilotos</c:v>
                  </c:pt>
                  <c:pt idx="8">
                    <c:v>Cambios de 
Zona</c:v>
                  </c:pt>
                  <c:pt idx="9">
                    <c:v>CPI</c:v>
                  </c:pt>
                  <c:pt idx="10">
                    <c:v>Wos</c:v>
                  </c:pt>
                  <c:pt idx="11">
                    <c:v>Uso y Quema
de Gas</c:v>
                  </c:pt>
                  <c:pt idx="12">
                    <c:v>Facilidades</c:v>
                  </c:pt>
                  <c:pt idx="13">
                    <c:v>Soporte
Técnico</c:v>
                  </c:pt>
                </c:lvl>
                <c:lvl>
                  <c:pt idx="0">
                    <c:v>DGP</c:v>
                  </c:pt>
                  <c:pt idx="5">
                    <c:v>DDOY</c:v>
                  </c:pt>
                  <c:pt idx="9">
                    <c:v>DOP</c:v>
                  </c:pt>
                </c:lvl>
              </c:multiLvlStrCache>
            </c:multiLvlStrRef>
          </c:cat>
          <c:val>
            <c:numRef>
              <c:f>'Fig.4._Trámites Atendidos 2024'!$B$15:$O$15</c:f>
              <c:numCache>
                <c:formatCode>General</c:formatCode>
                <c:ptCount val="14"/>
                <c:pt idx="0">
                  <c:v>23</c:v>
                </c:pt>
                <c:pt idx="1">
                  <c:v>45</c:v>
                </c:pt>
                <c:pt idx="2">
                  <c:v>10</c:v>
                </c:pt>
                <c:pt idx="3">
                  <c:v>4</c:v>
                </c:pt>
                <c:pt idx="4">
                  <c:v>0</c:v>
                </c:pt>
                <c:pt idx="5">
                  <c:v>72</c:v>
                </c:pt>
                <c:pt idx="6">
                  <c:v>45</c:v>
                </c:pt>
                <c:pt idx="7">
                  <c:v>3</c:v>
                </c:pt>
                <c:pt idx="8">
                  <c:v>9</c:v>
                </c:pt>
                <c:pt idx="9">
                  <c:v>58</c:v>
                </c:pt>
                <c:pt idx="10">
                  <c:v>257</c:v>
                </c:pt>
                <c:pt idx="11">
                  <c:v>17</c:v>
                </c:pt>
                <c:pt idx="12">
                  <c:v>29</c:v>
                </c:pt>
                <c:pt idx="13">
                  <c:v>43</c:v>
                </c:pt>
              </c:numCache>
            </c:numRef>
          </c:val>
          <c:extLst>
            <c:ext xmlns:c16="http://schemas.microsoft.com/office/drawing/2014/chart" uri="{C3380CC4-5D6E-409C-BE32-E72D297353CC}">
              <c16:uniqueId val="{0000000C-EC13-49A9-9185-FED946E03F9E}"/>
            </c:ext>
          </c:extLst>
        </c:ser>
        <c:dLbls>
          <c:showLegendKey val="0"/>
          <c:showVal val="0"/>
          <c:showCatName val="0"/>
          <c:showSerName val="0"/>
          <c:showPercent val="0"/>
          <c:showBubbleSize val="0"/>
        </c:dLbls>
        <c:gapWidth val="95"/>
        <c:overlap val="100"/>
        <c:axId val="1659735167"/>
        <c:axId val="1"/>
      </c:barChart>
      <c:barChart>
        <c:barDir val="col"/>
        <c:grouping val="clustered"/>
        <c:varyColors val="0"/>
        <c:ser>
          <c:idx val="3"/>
          <c:order val="1"/>
          <c:tx>
            <c:strRef>
              <c:f>'C:\DATOSMERNNR\Desktop\DGP\14.-SUBROGACION\RENDICIÓN DE CUENTAS\2021\[4.-SEEPGN_Carga.xlsx]SEEPGN CONS'!$A$8</c:f>
              <c:strCache>
                <c:ptCount val="1"/>
              </c:strCache>
            </c:strRef>
          </c:tx>
          <c:spPr>
            <a:solidFill>
              <a:schemeClr val="accent4">
                <a:shade val="73000"/>
              </a:schemeClr>
            </a:solidFill>
            <a:ln w="6347" cap="flat" cmpd="sng" algn="ctr">
              <a:solidFill>
                <a:schemeClr val="accent4">
                  <a:shade val="73000"/>
                  <a:shade val="50000"/>
                </a:schemeClr>
              </a:solidFill>
              <a:prstDash val="solid"/>
              <a:round/>
            </a:ln>
            <a:effectLst/>
          </c:spPr>
          <c:invertIfNegative val="0"/>
          <c:cat>
            <c:strRef>
              <c:f>'[1]SEEPGN CONS'!$B$2:$O$4</c:f>
              <c:strCache>
                <c:ptCount val="14"/>
                <c:pt idx="0">
                  <c:v>#¡REF!
#¡REF!
#¡REF!</c:v>
                </c:pt>
                <c:pt idx="1">
                  <c:v>#¡REF!
#¡REF!
#¡REF!</c:v>
                </c:pt>
                <c:pt idx="2">
                  <c:v>#¡REF!
#¡REF!
#¡REF!</c:v>
                </c:pt>
                <c:pt idx="3">
                  <c:v>#¡REF!
#¡REF!
#¡REF!</c:v>
                </c:pt>
                <c:pt idx="4">
                  <c:v>#¡REF!
#¡REF!
#¡REF!</c:v>
                </c:pt>
                <c:pt idx="5">
                  <c:v>#¡REF!
#¡REF!
#¡REF!</c:v>
                </c:pt>
                <c:pt idx="6">
                  <c:v>#¡REF!
#¡REF!
#¡REF!</c:v>
                </c:pt>
                <c:pt idx="7">
                  <c:v>#¡REF!
#¡REF!
#¡REF!</c:v>
                </c:pt>
                <c:pt idx="8">
                  <c:v>#¡REF!
#¡REF!
#¡REF!</c:v>
                </c:pt>
                <c:pt idx="9">
                  <c:v>#¡REF!
#¡REF!
#¡REF!</c:v>
                </c:pt>
                <c:pt idx="10">
                  <c:v>#¡REF!
#¡REF!
#¡REF!</c:v>
                </c:pt>
                <c:pt idx="11">
                  <c:v>#¡REF!
#¡REF!
#¡REF!</c:v>
                </c:pt>
                <c:pt idx="12">
                  <c:v>#¡REF!
#¡REF!
#¡REF!</c:v>
                </c:pt>
                <c:pt idx="13">
                  <c:v>#¡REF!
#¡REF!
#¡REF!</c:v>
                </c:pt>
              </c:strCache>
            </c:strRef>
          </c:cat>
          <c:val>
            <c:numRef>
              <c:f>'[1]SEEPGN CONS'!$B$8:$O$8</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D-EC13-49A9-9185-FED946E03F9E}"/>
            </c:ext>
          </c:extLst>
        </c:ser>
        <c:ser>
          <c:idx val="5"/>
          <c:order val="2"/>
          <c:tx>
            <c:strRef>
              <c:f>'C:\DATOSMERNNR\Desktop\DGP\14.-SUBROGACION\RENDICIÓN DE CUENTAS\2021\[4.-SEEPGN_Carga.xlsx]SEEPGN CONS'!$A$10</c:f>
              <c:strCache>
                <c:ptCount val="1"/>
              </c:strCache>
            </c:strRef>
          </c:tx>
          <c:spPr>
            <a:solidFill>
              <a:schemeClr val="accent4">
                <a:shade val="94000"/>
              </a:schemeClr>
            </a:solidFill>
            <a:ln w="6347" cap="flat" cmpd="sng" algn="ctr">
              <a:solidFill>
                <a:schemeClr val="accent4">
                  <a:shade val="94000"/>
                  <a:shade val="50000"/>
                </a:schemeClr>
              </a:solidFill>
              <a:prstDash val="solid"/>
              <a:round/>
            </a:ln>
            <a:effectLst/>
          </c:spPr>
          <c:invertIfNegative val="0"/>
          <c:cat>
            <c:strRef>
              <c:f>'[1]SEEPGN CONS'!$B$2:$O$4</c:f>
              <c:strCache>
                <c:ptCount val="14"/>
                <c:pt idx="0">
                  <c:v>#¡REF!
#¡REF!
#¡REF!</c:v>
                </c:pt>
                <c:pt idx="1">
                  <c:v>#¡REF!
#¡REF!
#¡REF!</c:v>
                </c:pt>
                <c:pt idx="2">
                  <c:v>#¡REF!
#¡REF!
#¡REF!</c:v>
                </c:pt>
                <c:pt idx="3">
                  <c:v>#¡REF!
#¡REF!
#¡REF!</c:v>
                </c:pt>
                <c:pt idx="4">
                  <c:v>#¡REF!
#¡REF!
#¡REF!</c:v>
                </c:pt>
                <c:pt idx="5">
                  <c:v>#¡REF!
#¡REF!
#¡REF!</c:v>
                </c:pt>
                <c:pt idx="6">
                  <c:v>#¡REF!
#¡REF!
#¡REF!</c:v>
                </c:pt>
                <c:pt idx="7">
                  <c:v>#¡REF!
#¡REF!
#¡REF!</c:v>
                </c:pt>
                <c:pt idx="8">
                  <c:v>#¡REF!
#¡REF!
#¡REF!</c:v>
                </c:pt>
                <c:pt idx="9">
                  <c:v>#¡REF!
#¡REF!
#¡REF!</c:v>
                </c:pt>
                <c:pt idx="10">
                  <c:v>#¡REF!
#¡REF!
#¡REF!</c:v>
                </c:pt>
                <c:pt idx="11">
                  <c:v>#¡REF!
#¡REF!
#¡REF!</c:v>
                </c:pt>
                <c:pt idx="12">
                  <c:v>#¡REF!
#¡REF!
#¡REF!</c:v>
                </c:pt>
                <c:pt idx="13">
                  <c:v>#¡REF!
#¡REF!
#¡REF!</c:v>
                </c:pt>
              </c:strCache>
            </c:strRef>
          </c:cat>
          <c:val>
            <c:numRef>
              <c:f>'[1]SEEPGN CONS'!$B$10:$O$10</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E-EC13-49A9-9185-FED946E03F9E}"/>
            </c:ext>
          </c:extLst>
        </c:ser>
        <c:ser>
          <c:idx val="6"/>
          <c:order val="3"/>
          <c:tx>
            <c:strRef>
              <c:f>'C:\DATOSMERNNR\Desktop\DGP\14.-SUBROGACION\RENDICIÓN DE CUENTAS\2021\[4.-SEEPGN_Carga.xlsx]SEEPGN CONS'!$A$11</c:f>
              <c:strCache>
                <c:ptCount val="1"/>
              </c:strCache>
            </c:strRef>
          </c:tx>
          <c:spPr>
            <a:solidFill>
              <a:schemeClr val="accent4">
                <a:tint val="95000"/>
              </a:schemeClr>
            </a:solidFill>
            <a:ln w="6347" cap="flat" cmpd="sng" algn="ctr">
              <a:solidFill>
                <a:schemeClr val="accent4">
                  <a:tint val="95000"/>
                  <a:shade val="50000"/>
                </a:schemeClr>
              </a:solidFill>
              <a:prstDash val="solid"/>
              <a:round/>
            </a:ln>
            <a:effectLst/>
          </c:spPr>
          <c:invertIfNegative val="0"/>
          <c:cat>
            <c:strRef>
              <c:f>'[1]SEEPGN CONS'!$B$2:$O$4</c:f>
              <c:strCache>
                <c:ptCount val="14"/>
                <c:pt idx="0">
                  <c:v>#¡REF!
#¡REF!
#¡REF!</c:v>
                </c:pt>
                <c:pt idx="1">
                  <c:v>#¡REF!
#¡REF!
#¡REF!</c:v>
                </c:pt>
                <c:pt idx="2">
                  <c:v>#¡REF!
#¡REF!
#¡REF!</c:v>
                </c:pt>
                <c:pt idx="3">
                  <c:v>#¡REF!
#¡REF!
#¡REF!</c:v>
                </c:pt>
                <c:pt idx="4">
                  <c:v>#¡REF!
#¡REF!
#¡REF!</c:v>
                </c:pt>
                <c:pt idx="5">
                  <c:v>#¡REF!
#¡REF!
#¡REF!</c:v>
                </c:pt>
                <c:pt idx="6">
                  <c:v>#¡REF!
#¡REF!
#¡REF!</c:v>
                </c:pt>
                <c:pt idx="7">
                  <c:v>#¡REF!
#¡REF!
#¡REF!</c:v>
                </c:pt>
                <c:pt idx="8">
                  <c:v>#¡REF!
#¡REF!
#¡REF!</c:v>
                </c:pt>
                <c:pt idx="9">
                  <c:v>#¡REF!
#¡REF!
#¡REF!</c:v>
                </c:pt>
                <c:pt idx="10">
                  <c:v>#¡REF!
#¡REF!
#¡REF!</c:v>
                </c:pt>
                <c:pt idx="11">
                  <c:v>#¡REF!
#¡REF!
#¡REF!</c:v>
                </c:pt>
                <c:pt idx="12">
                  <c:v>#¡REF!
#¡REF!
#¡REF!</c:v>
                </c:pt>
                <c:pt idx="13">
                  <c:v>#¡REF!
#¡REF!
#¡REF!</c:v>
                </c:pt>
              </c:strCache>
            </c:strRef>
          </c:cat>
          <c:val>
            <c:numRef>
              <c:f>'[1]SEEPGN CONS'!$B$11:$O$11</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F-EC13-49A9-9185-FED946E03F9E}"/>
            </c:ext>
          </c:extLst>
        </c:ser>
        <c:dLbls>
          <c:showLegendKey val="0"/>
          <c:showVal val="0"/>
          <c:showCatName val="0"/>
          <c:showSerName val="0"/>
          <c:showPercent val="0"/>
          <c:showBubbleSize val="0"/>
        </c:dLbls>
        <c:gapWidth val="95"/>
        <c:overlap val="100"/>
        <c:axId val="1659735167"/>
        <c:axId val="1"/>
      </c:barChart>
      <c:lineChart>
        <c:grouping val="standard"/>
        <c:varyColors val="0"/>
        <c:ser>
          <c:idx val="11"/>
          <c:order val="5"/>
          <c:tx>
            <c:strRef>
              <c:f>'Fig.4._Trámites Atendidos 2024'!$A$16</c:f>
              <c:strCache>
                <c:ptCount val="1"/>
                <c:pt idx="0">
                  <c:v>Total</c:v>
                </c:pt>
              </c:strCache>
            </c:strRef>
          </c:tx>
          <c:spPr>
            <a:ln w="31734" cap="rnd" cmpd="sng" algn="ctr">
              <a:solidFill>
                <a:schemeClr val="accent5">
                  <a:lumMod val="50000"/>
                </a:schemeClr>
              </a:solidFill>
              <a:prstDash val="solid"/>
              <a:round/>
            </a:ln>
            <a:effectLst/>
          </c:spPr>
          <c:marker>
            <c:symbol val="circle"/>
            <c:size val="5"/>
            <c:spPr>
              <a:solidFill>
                <a:schemeClr val="accent5">
                  <a:lumMod val="50000"/>
                </a:schemeClr>
              </a:solidFill>
              <a:ln w="6347" cap="flat" cmpd="sng" algn="ctr">
                <a:solidFill>
                  <a:schemeClr val="accent4">
                    <a:tint val="41000"/>
                  </a:schemeClr>
                </a:solidFill>
                <a:prstDash val="solid"/>
                <a:round/>
              </a:ln>
              <a:effectLst/>
            </c:spPr>
          </c:marker>
          <c:dLbls>
            <c:dLbl>
              <c:idx val="0"/>
              <c:layout>
                <c:manualLayout>
                  <c:x val="-1.9991000171592065E-2"/>
                  <c:y val="-3.5536804859319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C13-49A9-9185-FED946E03F9E}"/>
                </c:ext>
              </c:extLst>
            </c:dLbl>
            <c:dLbl>
              <c:idx val="2"/>
              <c:layout>
                <c:manualLayout>
                  <c:x val="-2.6843867682300623E-2"/>
                  <c:y val="-4.1711865690565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C13-49A9-9185-FED946E03F9E}"/>
                </c:ext>
              </c:extLst>
            </c:dLbl>
            <c:dLbl>
              <c:idx val="3"/>
              <c:layout>
                <c:manualLayout>
                  <c:x val="-2.9393115942029029E-2"/>
                  <c:y val="-3.92409857174377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C13-49A9-9185-FED946E03F9E}"/>
                </c:ext>
              </c:extLst>
            </c:dLbl>
            <c:dLbl>
              <c:idx val="4"/>
              <c:layout>
                <c:manualLayout>
                  <c:x val="-1.5543614148990975E-2"/>
                  <c:y val="-6.8469916607267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C13-49A9-9185-FED946E03F9E}"/>
                </c:ext>
              </c:extLst>
            </c:dLbl>
            <c:dLbl>
              <c:idx val="5"/>
              <c:layout>
                <c:manualLayout>
                  <c:x val="-2.3282065828316892E-2"/>
                  <c:y val="-4.9945041249046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C13-49A9-9185-FED946E03F9E}"/>
                </c:ext>
              </c:extLst>
            </c:dLbl>
            <c:dLbl>
              <c:idx val="6"/>
              <c:layout>
                <c:manualLayout>
                  <c:x val="-1.1073991196276884E-2"/>
                  <c:y val="-3.75951243435662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C13-49A9-9185-FED946E03F9E}"/>
                </c:ext>
              </c:extLst>
            </c:dLbl>
            <c:dLbl>
              <c:idx val="9"/>
              <c:layout>
                <c:manualLayout>
                  <c:x val="-3.108722829798195E-2"/>
                  <c:y val="-3.96534438278129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C13-49A9-9185-FED946E03F9E}"/>
                </c:ext>
              </c:extLst>
            </c:dLbl>
            <c:dLbl>
              <c:idx val="10"/>
              <c:layout>
                <c:manualLayout>
                  <c:x val="-4.0408535889535628E-2"/>
                  <c:y val="-4.17774001587317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C13-49A9-9185-FED946E03F9E}"/>
                </c:ext>
              </c:extLst>
            </c:dLbl>
            <c:dLbl>
              <c:idx val="11"/>
              <c:layout>
                <c:manualLayout>
                  <c:x val="-1.3431105788255399E-2"/>
                  <c:y val="-4.69810611917313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C13-49A9-9185-FED946E03F9E}"/>
                </c:ext>
              </c:extLst>
            </c:dLbl>
            <c:dLbl>
              <c:idx val="12"/>
              <c:layout>
                <c:manualLayout>
                  <c:x val="-2.5527995769730461E-2"/>
                  <c:y val="-3.5536804859319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C13-49A9-9185-FED946E03F9E}"/>
                </c:ext>
              </c:extLst>
            </c:dLbl>
            <c:dLbl>
              <c:idx val="13"/>
              <c:layout>
                <c:manualLayout>
                  <c:x val="-1.5499140288764923E-2"/>
                  <c:y val="-3.5536804859319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C13-49A9-9185-FED946E03F9E}"/>
                </c:ext>
              </c:extLst>
            </c:dLbl>
            <c:spPr>
              <a:noFill/>
              <a:ln w="25387">
                <a:noFill/>
              </a:ln>
            </c:spPr>
            <c:txPr>
              <a:bodyPr rot="0" vert="horz"/>
              <a:lstStyle/>
              <a:p>
                <a:pPr>
                  <a:defRPr sz="800" b="1"/>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'Fig.4._Trámites Atendidos 2024'!$B$2:$O$4</c:f>
              <c:multiLvlStrCache>
                <c:ptCount val="14"/>
                <c:lvl>
                  <c:pt idx="0">
                    <c:v>Taponamiento 
abandono</c:v>
                  </c:pt>
                  <c:pt idx="1">
                    <c:v>Perforación</c:v>
                  </c:pt>
                  <c:pt idx="2">
                    <c:v>Alternos</c:v>
                  </c:pt>
                  <c:pt idx="3">
                    <c:v>Reclasificaciones</c:v>
                  </c:pt>
                  <c:pt idx="4">
                    <c:v>Sísmica</c:v>
                  </c:pt>
                  <c:pt idx="5">
                    <c:v>Tasas </c:v>
                  </c:pt>
                  <c:pt idx="6">
                    <c:v>Pruebas de
Producción</c:v>
                  </c:pt>
                  <c:pt idx="7">
                    <c:v>Planes 
Pilotos</c:v>
                  </c:pt>
                  <c:pt idx="8">
                    <c:v>Cambios de 
Zona</c:v>
                  </c:pt>
                  <c:pt idx="9">
                    <c:v>CPI</c:v>
                  </c:pt>
                  <c:pt idx="10">
                    <c:v>Wos</c:v>
                  </c:pt>
                  <c:pt idx="11">
                    <c:v>Uso y Quema
de Gas</c:v>
                  </c:pt>
                  <c:pt idx="12">
                    <c:v>Facilidades</c:v>
                  </c:pt>
                  <c:pt idx="13">
                    <c:v>Soporte
Técnico</c:v>
                  </c:pt>
                </c:lvl>
                <c:lvl>
                  <c:pt idx="0">
                    <c:v>DGP</c:v>
                  </c:pt>
                  <c:pt idx="5">
                    <c:v>DDOY</c:v>
                  </c:pt>
                  <c:pt idx="9">
                    <c:v>DOP</c:v>
                  </c:pt>
                </c:lvl>
              </c:multiLvlStrCache>
            </c:multiLvlStrRef>
          </c:cat>
          <c:val>
            <c:numRef>
              <c:f>'Fig.4._Trámites Atendidos 2024'!$B$16:$O$16</c:f>
              <c:numCache>
                <c:formatCode>General</c:formatCode>
                <c:ptCount val="14"/>
                <c:pt idx="0">
                  <c:v>49</c:v>
                </c:pt>
                <c:pt idx="1">
                  <c:v>95</c:v>
                </c:pt>
                <c:pt idx="2">
                  <c:v>27</c:v>
                </c:pt>
                <c:pt idx="3">
                  <c:v>15</c:v>
                </c:pt>
                <c:pt idx="4">
                  <c:v>0</c:v>
                </c:pt>
                <c:pt idx="5">
                  <c:v>312</c:v>
                </c:pt>
                <c:pt idx="6">
                  <c:v>112</c:v>
                </c:pt>
                <c:pt idx="7">
                  <c:v>14</c:v>
                </c:pt>
                <c:pt idx="8">
                  <c:v>123</c:v>
                </c:pt>
                <c:pt idx="9">
                  <c:v>143</c:v>
                </c:pt>
                <c:pt idx="10">
                  <c:v>1289</c:v>
                </c:pt>
                <c:pt idx="11">
                  <c:v>25</c:v>
                </c:pt>
                <c:pt idx="12">
                  <c:v>64</c:v>
                </c:pt>
                <c:pt idx="13">
                  <c:v>209</c:v>
                </c:pt>
              </c:numCache>
            </c:numRef>
          </c:val>
          <c:smooth val="0"/>
          <c:extLst>
            <c:ext xmlns:c16="http://schemas.microsoft.com/office/drawing/2014/chart" uri="{C3380CC4-5D6E-409C-BE32-E72D297353CC}">
              <c16:uniqueId val="{0000001B-EC13-49A9-9185-FED946E03F9E}"/>
            </c:ext>
          </c:extLst>
        </c:ser>
        <c:dLbls>
          <c:showLegendKey val="0"/>
          <c:showVal val="0"/>
          <c:showCatName val="0"/>
          <c:showSerName val="0"/>
          <c:showPercent val="0"/>
          <c:showBubbleSize val="0"/>
        </c:dLbls>
        <c:marker val="1"/>
        <c:smooth val="0"/>
        <c:axId val="1659735167"/>
        <c:axId val="1"/>
      </c:lineChart>
      <c:catAx>
        <c:axId val="1659735167"/>
        <c:scaling>
          <c:orientation val="minMax"/>
        </c:scaling>
        <c:delete val="0"/>
        <c:axPos val="b"/>
        <c:numFmt formatCode="General" sourceLinked="1"/>
        <c:majorTickMark val="none"/>
        <c:minorTickMark val="none"/>
        <c:tickLblPos val="nextTo"/>
        <c:spPr>
          <a:noFill/>
          <a:ln w="6347" cap="flat" cmpd="sng" algn="ctr">
            <a:solidFill>
              <a:schemeClr val="dk1">
                <a:tint val="75000"/>
              </a:schemeClr>
            </a:solidFill>
            <a:prstDash val="solid"/>
            <a:round/>
          </a:ln>
          <a:effectLst/>
        </c:spPr>
        <c:txPr>
          <a:bodyPr rot="-5400000"/>
          <a:lstStyle/>
          <a:p>
            <a:pPr>
              <a:defRPr sz="700"/>
            </a:pPr>
            <a:endParaRPr lang="es-EC"/>
          </a:p>
        </c:txPr>
        <c:crossAx val="1"/>
        <c:crosses val="autoZero"/>
        <c:auto val="1"/>
        <c:lblAlgn val="ctr"/>
        <c:lblOffset val="100"/>
        <c:noMultiLvlLbl val="0"/>
      </c:catAx>
      <c:valAx>
        <c:axId val="1"/>
        <c:scaling>
          <c:logBase val="10"/>
          <c:orientation val="minMax"/>
        </c:scaling>
        <c:delete val="1"/>
        <c:axPos val="l"/>
        <c:numFmt formatCode="General" sourceLinked="1"/>
        <c:majorTickMark val="out"/>
        <c:minorTickMark val="none"/>
        <c:tickLblPos val="nextTo"/>
        <c:crossAx val="1659735167"/>
        <c:crosses val="autoZero"/>
        <c:crossBetween val="between"/>
      </c:valAx>
      <c:spPr>
        <a:noFill/>
        <a:ln w="25387">
          <a:noFill/>
        </a:ln>
      </c:spPr>
    </c:plotArea>
    <c:legend>
      <c:legendPos val="b"/>
      <c:legendEntry>
        <c:idx val="2"/>
        <c:delete val="1"/>
      </c:legendEntry>
      <c:legendEntry>
        <c:idx val="3"/>
        <c:delete val="1"/>
      </c:legendEntry>
      <c:legendEntry>
        <c:idx val="4"/>
        <c:delete val="1"/>
      </c:legendEntry>
      <c:layout>
        <c:manualLayout>
          <c:xMode val="edge"/>
          <c:yMode val="edge"/>
          <c:x val="1.7452006980802793E-3"/>
          <c:y val="0.13621262458471761"/>
          <c:w val="0.4607329842931937"/>
          <c:h val="8.3056478405315617E-2"/>
        </c:manualLayout>
      </c:layout>
      <c:overlay val="0"/>
      <c:spPr>
        <a:noFill/>
        <a:ln w="25387">
          <a:noFill/>
        </a:ln>
      </c:spPr>
      <c:txPr>
        <a:bodyPr rot="0" vert="horz"/>
        <a:lstStyle/>
        <a:p>
          <a:pPr>
            <a:defRPr sz="800"/>
          </a:pPr>
          <a:endParaRPr lang="es-EC"/>
        </a:p>
      </c:txPr>
    </c:legend>
    <c:plotVisOnly val="1"/>
    <c:dispBlanksAs val="gap"/>
    <c:showDLblsOverMax val="0"/>
  </c:chart>
  <c:spPr>
    <a:solidFill>
      <a:schemeClr val="lt1"/>
    </a:solidFill>
    <a:ln w="6347" cap="flat" cmpd="sng" algn="ctr">
      <a:solidFill>
        <a:schemeClr val="dk1">
          <a:tint val="75000"/>
        </a:schemeClr>
      </a:solidFill>
      <a:prstDash val="solid"/>
      <a:round/>
    </a:ln>
    <a:effectLst>
      <a:outerShdw blurRad="50800" dist="38100" dir="2700000" algn="tl" rotWithShape="0">
        <a:prstClr val="black">
          <a:alpha val="40000"/>
        </a:prstClr>
      </a:outerShdw>
    </a:effectLst>
  </c:spPr>
  <c:txPr>
    <a:bodyPr/>
    <a:lstStyle/>
    <a:p>
      <a:pPr>
        <a:defRPr sz="1000">
          <a:latin typeface="+mj-lt"/>
        </a:defRPr>
      </a:pPr>
      <a:endParaRPr lang="es-EC"/>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0.1148</cdr:x>
      <cdr:y>0.00169</cdr:y>
    </cdr:from>
    <cdr:to>
      <cdr:x>0.11652</cdr:x>
      <cdr:y>0.00169</cdr:y>
    </cdr:to>
    <cdr:sp macro="" textlink="">
      <cdr:nvSpPr>
        <cdr:cNvPr id="2" name="CuadroTexto 1"/>
        <cdr:cNvSpPr txBox="1"/>
      </cdr:nvSpPr>
      <cdr:spPr>
        <a:xfrm xmlns:a="http://schemas.openxmlformats.org/drawingml/2006/main">
          <a:off x="714364" y="3"/>
          <a:ext cx="838226" cy="6286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C" sz="900" b="1">
              <a:latin typeface="+mn-lt"/>
              <a:ea typeface="+mn-ea"/>
              <a:cs typeface="+mn-cs"/>
            </a:rPr>
            <a:t> Suspensión</a:t>
          </a:r>
          <a:r>
            <a:rPr lang="es-EC" sz="900" b="1" baseline="0">
              <a:latin typeface="+mn-lt"/>
              <a:ea typeface="+mn-ea"/>
              <a:cs typeface="+mn-cs"/>
            </a:rPr>
            <a:t> Operación </a:t>
          </a:r>
          <a:r>
            <a:rPr lang="es-ES" sz="900" b="1">
              <a:latin typeface="+mn-lt"/>
              <a:ea typeface="+mn-ea"/>
              <a:cs typeface="+mn-cs"/>
            </a:rPr>
            <a:t>     OCP</a:t>
          </a:r>
          <a:endParaRPr lang="es-EC" sz="900" b="1">
            <a:latin typeface="+mn-lt"/>
            <a:ea typeface="+mn-ea"/>
            <a:cs typeface="+mn-cs"/>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0.83119</cdr:x>
      <cdr:y>0.06832</cdr:y>
    </cdr:from>
    <cdr:to>
      <cdr:x>0.95225</cdr:x>
      <cdr:y>0.25783</cdr:y>
    </cdr:to>
    <cdr:sp macro="" textlink="">
      <cdr:nvSpPr>
        <cdr:cNvPr id="2" name="CuadroTexto 1">
          <a:extLst xmlns:a="http://schemas.openxmlformats.org/drawingml/2006/main">
            <a:ext uri="{FF2B5EF4-FFF2-40B4-BE49-F238E27FC236}">
              <a16:creationId xmlns:a16="http://schemas.microsoft.com/office/drawing/2014/main" id="{EAD701CF-3360-4835-A6EF-BE53529EDC99}"/>
            </a:ext>
          </a:extLst>
        </cdr:cNvPr>
        <cdr:cNvSpPr txBox="1"/>
      </cdr:nvSpPr>
      <cdr:spPr>
        <a:xfrm xmlns:a="http://schemas.openxmlformats.org/drawingml/2006/main">
          <a:off x="4476750" y="158778"/>
          <a:ext cx="652032" cy="4404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C" sz="800" b="1">
              <a:solidFill>
                <a:schemeClr val="accent1">
                  <a:lumMod val="50000"/>
                </a:schemeClr>
              </a:solidFill>
              <a:latin typeface="+mj-lt"/>
            </a:rPr>
            <a:t>Meta</a:t>
          </a:r>
        </a:p>
        <a:p xmlns:a="http://schemas.openxmlformats.org/drawingml/2006/main">
          <a:pPr algn="ctr"/>
          <a:r>
            <a:rPr lang="es-EC" sz="800" b="1">
              <a:solidFill>
                <a:schemeClr val="accent1">
                  <a:lumMod val="50000"/>
                </a:schemeClr>
              </a:solidFill>
              <a:latin typeface="+mj-lt"/>
            </a:rPr>
            <a:t>2024</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ABE63-3303-4A68-995B-5B04670F9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34266</Words>
  <Characters>188467</Characters>
  <Application>Microsoft Office Word</Application>
  <DocSecurity>0</DocSecurity>
  <Lines>1570</Lines>
  <Paragraphs>444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Ministerio de Energía y Minas</dc:creator>
  <cp:keywords/>
  <dc:description/>
  <cp:lastModifiedBy>GEOVANNA ALEXANDRA OREJUELA MEDINA</cp:lastModifiedBy>
  <cp:revision>2</cp:revision>
  <dcterms:created xsi:type="dcterms:W3CDTF">2025-06-02T17:31:00Z</dcterms:created>
  <dcterms:modified xsi:type="dcterms:W3CDTF">2025-06-02T17:31:00Z</dcterms:modified>
</cp:coreProperties>
</file>